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840" w:after="360"/>
        <w:jc w:val="center"/>
      </w:pPr>
      <w:r>
        <w:rPr>
          <w:rFonts w:ascii="Arial" w:hAnsi="Arial" w:eastAsia="Arial" w:cs="Arial"/>
          <w:b/>
          <w:color w:val="000000"/>
          <w:sz w:val="56"/>
          <w:lang w:val="en-US" w:bidi="en-US"/>
        </w:rPr>
        <w:t>NextOps Project Status Brief</w:t>
      </w:r>
    </w:p>
    <w:p>
      <w:pPr>
        <w:spacing w:after="320"/>
        <w:jc w:val="center"/>
      </w:pPr>
      <w:r>
        <w:rPr>
          <w:rFonts w:ascii="Arial" w:hAnsi="Arial" w:eastAsia="Arial" w:cs="Arial"/>
          <w:b w:val="0"/>
          <w:color w:val="373737"/>
          <w:sz w:val="30"/>
          <w:lang w:val="en-US" w:bidi="en-US"/>
        </w:rPr>
        <w:t>Completed Work and Remaining Delivery Plan</w:t>
      </w:r>
    </w:p>
    <w:p>
      <w:pPr>
        <w:spacing w:after="560"/>
        <w:jc w:val="left"/>
      </w:pPr>
      <w:r>
        <w:rPr>
          <w:rFonts w:ascii="Arial" w:hAnsi="Arial" w:eastAsia="Arial" w:cs="Arial"/>
          <w:b w:val="0"/>
          <w:color w:val="4B4B4B"/>
          <w:sz w:val="22"/>
          <w:lang w:val="en-US" w:bidi="en-US"/>
        </w:rPr>
        <w:t>Status date  21 September 2026</w:t>
      </w:r>
    </w:p>
    <w:p>
      <w:pPr>
        <w:keepNext w:val="0"/>
        <w:keepLines/>
        <w:spacing w:after="760" w:line="283" w:lineRule="auto" w:before="320"/>
        <w:ind w:left="864" w:right="864"/>
        <w:jc w:val="center"/>
      </w:pPr>
      <w:r>
        <w:rPr>
          <w:rFonts w:ascii="Arial" w:hAnsi="Arial" w:eastAsia="Arial" w:cs="Arial"/>
          <w:b w:val="0"/>
          <w:color w:val="000000"/>
          <w:sz w:val="21"/>
          <w:lang w:val="en-US" w:bidi="en-US"/>
        </w:rPr>
        <w:t>The four Ubuntu servers and their role package layers are prepared, and the local CPU model has passed a bounded authenticated smoke test. The next phase is controlled service deployment, read-only Zabbix integration, recovery proof, and full offline acceptance.</w:t>
      </w:r>
    </w:p>
    <w:p>
      <w:pPr>
        <w:jc w:val="center"/>
      </w:pPr>
      <w:r>
        <w:rPr>
          <w:rFonts w:ascii="Arial" w:hAnsi="Arial" w:eastAsia="Arial" w:cs="Arial"/>
          <w:b w:val="0"/>
          <w:color w:val="5A5A5A"/>
          <w:sz w:val="20"/>
        </w:rPr>
        <w:t>Prepared for project presentation</w:t>
      </w:r>
    </w:p>
    <w:p>
      <w:r>
        <w:br w:type="page"/>
      </w:r>
    </w:p>
    <w:p>
      <w:pPr>
        <w:pStyle w:val="Heading1"/>
        <w:keepNext/>
        <w:keepLines/>
        <w:spacing w:before="240" w:after="100"/>
        <w:jc w:val="left"/>
      </w:pPr>
      <w:r>
        <w:rPr>
          <w:rFonts w:ascii="Arial" w:hAnsi="Arial" w:eastAsia="Arial" w:cs="Arial"/>
          <w:b/>
          <w:color w:val="000000"/>
          <w:sz w:val="32"/>
          <w:lang w:val="en-US" w:bidi="en-US"/>
        </w:rPr>
        <w:t>Executive Summary</w:t>
      </w:r>
    </w:p>
    <w:p>
      <w:pPr>
        <w:keepNext w:val="0"/>
        <w:keepLines/>
        <w:spacing w:after="140" w:line="283" w:lineRule="auto"/>
        <w:jc w:val="left"/>
      </w:pPr>
      <w:r>
        <w:rPr>
          <w:rFonts w:ascii="Arial" w:hAnsi="Arial" w:eastAsia="Arial" w:cs="Arial"/>
          <w:b w:val="0"/>
          <w:color w:val="000000"/>
          <w:sz w:val="21"/>
          <w:lang w:val="en-US" w:bidi="en-US"/>
        </w:rPr>
        <w:t>NextOps has moved beyond architecture-only planning. The repository contains tested application and inference foundations, all four role servers have passed a sanitized qualification, the required native packages are installed, and the pinned local model has generated fresh Persian and English responses on the AI server. The project is not yet a production deployment: the production databases and Zabbix are not initialized, the application and connector are not deployed, and Internet-blocked end-to-end acceptance has not run.</w:t>
      </w:r>
    </w:p>
    <w:p>
      <w:pPr>
        <w:pStyle w:val="Heading1"/>
        <w:keepNext/>
        <w:keepLines/>
        <w:spacing w:before="240" w:after="100"/>
        <w:jc w:val="left"/>
      </w:pPr>
      <w:r>
        <w:rPr>
          <w:rFonts w:ascii="Arial" w:hAnsi="Arial" w:eastAsia="Arial" w:cs="Arial"/>
          <w:b/>
          <w:color w:val="000000"/>
          <w:sz w:val="32"/>
          <w:lang w:val="en-US" w:bidi="en-US"/>
        </w:rPr>
        <w:t>Status at a Glance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41"/>
        <w:gridCol w:w="2541"/>
        <w:gridCol w:w="2541"/>
        <w:gridCol w:w="2541"/>
      </w:tblGrid>
      <w:tr>
        <w:trPr>
          <w:tblHeader w:val="true"/>
        </w:trPr>
        <w:tc>
          <w:tcPr>
            <w:tcW w:type="dxa" w:w="1800"/>
            <w:vAlign w:val="center"/>
            <w:shd w:fill="17365D"/>
            <w:tcMar>
              <w:top w:w="95" w:type="dxa"/>
              <w:start w:w="120" w:type="dxa"/>
              <w:bottom w:w="95" w:type="dxa"/>
              <w:end w:w="120" w:type="dxa"/>
            </w:tcMar>
          </w:tcPr>
          <w:p>
            <w:pPr>
              <w:jc w:val="center"/>
            </w:pPr>
            <w:r>
              <w:rPr>
                <w:rFonts w:ascii="Arial" w:hAnsi="Arial" w:eastAsia="Arial" w:cs="Arial"/>
                <w:b/>
                <w:color w:val="FFFFFF"/>
                <w:sz w:val="18"/>
                <w:lang w:val="en-US" w:bidi="en-US"/>
              </w:rPr>
              <w:t>Workstream</w:t>
            </w:r>
          </w:p>
        </w:tc>
        <w:tc>
          <w:tcPr>
            <w:tcW w:type="dxa" w:w="1800"/>
            <w:vAlign w:val="center"/>
            <w:shd w:fill="17365D"/>
            <w:tcMar>
              <w:top w:w="95" w:type="dxa"/>
              <w:start w:w="120" w:type="dxa"/>
              <w:bottom w:w="95" w:type="dxa"/>
              <w:end w:w="120" w:type="dxa"/>
            </w:tcMar>
          </w:tcPr>
          <w:p>
            <w:pPr>
              <w:jc w:val="center"/>
            </w:pPr>
            <w:r>
              <w:rPr>
                <w:rFonts w:ascii="Arial" w:hAnsi="Arial" w:eastAsia="Arial" w:cs="Arial"/>
                <w:b/>
                <w:color w:val="FFFFFF"/>
                <w:sz w:val="18"/>
                <w:lang w:val="en-US" w:bidi="en-US"/>
              </w:rPr>
              <w:t>Status</w:t>
            </w:r>
          </w:p>
        </w:tc>
        <w:tc>
          <w:tcPr>
            <w:tcW w:type="dxa" w:w="3240"/>
            <w:vAlign w:val="center"/>
            <w:shd w:fill="17365D"/>
            <w:tcMar>
              <w:top w:w="95" w:type="dxa"/>
              <w:start w:w="120" w:type="dxa"/>
              <w:bottom w:w="95" w:type="dxa"/>
              <w:end w:w="120" w:type="dxa"/>
            </w:tcMar>
          </w:tcPr>
          <w:p>
            <w:pPr>
              <w:jc w:val="center"/>
            </w:pPr>
            <w:r>
              <w:rPr>
                <w:rFonts w:ascii="Arial" w:hAnsi="Arial" w:eastAsia="Arial" w:cs="Arial"/>
                <w:b/>
                <w:color w:val="FFFFFF"/>
                <w:sz w:val="18"/>
                <w:lang w:val="en-US" w:bidi="en-US"/>
              </w:rPr>
              <w:t>Verified result</w:t>
            </w:r>
          </w:p>
        </w:tc>
        <w:tc>
          <w:tcPr>
            <w:tcW w:type="dxa" w:w="3384"/>
            <w:vAlign w:val="center"/>
            <w:shd w:fill="17365D"/>
            <w:tcMar>
              <w:top w:w="95" w:type="dxa"/>
              <w:start w:w="120" w:type="dxa"/>
              <w:bottom w:w="95" w:type="dxa"/>
              <w:end w:w="120" w:type="dxa"/>
            </w:tcMar>
          </w:tcPr>
          <w:p>
            <w:pPr>
              <w:jc w:val="center"/>
            </w:pPr>
            <w:r>
              <w:rPr>
                <w:rFonts w:ascii="Arial" w:hAnsi="Arial" w:eastAsia="Arial" w:cs="Arial"/>
                <w:b/>
                <w:color w:val="FFFFFF"/>
                <w:sz w:val="18"/>
                <w:lang w:val="en-US" w:bidi="en-US"/>
              </w:rPr>
              <w:t>Remaining acceptance</w:t>
            </w:r>
          </w:p>
        </w:tc>
      </w:tr>
      <w:tr>
        <w:tc>
          <w:tcPr>
            <w:tcW w:type="dxa" w:w="1800"/>
            <w:vAlign w:val="center"/>
            <w:tcMar>
              <w:top w:w="95" w:type="dxa"/>
              <w:start w:w="120" w:type="dxa"/>
              <w:bottom w:w="95" w:type="dxa"/>
              <w:end w:w="120" w:type="dxa"/>
            </w:tcMar>
            <w:shd w:fill="FFFFFF"/>
          </w:tcPr>
          <w:p>
            <w:pPr>
              <w:spacing w:after="0" w:line="252" w:lineRule="auto"/>
              <w:jc w:val="left"/>
            </w:pPr>
            <w:r>
              <w:rPr>
                <w:rFonts w:ascii="Arial" w:hAnsi="Arial" w:eastAsia="Arial" w:cs="Arial"/>
                <w:b w:val="0"/>
                <w:color w:val="000000"/>
                <w:sz w:val="17"/>
                <w:lang w:val="en-US" w:bidi="en-US"/>
              </w:rPr>
              <w:t>Architecture</w:t>
            </w:r>
          </w:p>
        </w:tc>
        <w:tc>
          <w:tcPr>
            <w:tcW w:type="dxa" w:w="1800"/>
            <w:vAlign w:val="center"/>
            <w:tcMar>
              <w:top w:w="95" w:type="dxa"/>
              <w:start w:w="120" w:type="dxa"/>
              <w:bottom w:w="95" w:type="dxa"/>
              <w:end w:w="120" w:type="dxa"/>
            </w:tcMar>
            <w:shd w:fill="FFFFFF"/>
          </w:tcPr>
          <w:p>
            <w:pPr>
              <w:spacing w:after="0" w:line="252" w:lineRule="auto"/>
              <w:jc w:val="left"/>
            </w:pPr>
            <w:r>
              <w:rPr>
                <w:rFonts w:ascii="Arial" w:hAnsi="Arial" w:eastAsia="Arial" w:cs="Arial"/>
                <w:b w:val="0"/>
                <w:color w:val="000000"/>
                <w:sz w:val="17"/>
                <w:lang w:val="en-US" w:bidi="en-US"/>
              </w:rPr>
              <w:t>Accepted baseline</w:t>
            </w:r>
          </w:p>
        </w:tc>
        <w:tc>
          <w:tcPr>
            <w:tcW w:type="dxa" w:w="3240"/>
            <w:vAlign w:val="center"/>
            <w:tcMar>
              <w:top w:w="95" w:type="dxa"/>
              <w:start w:w="120" w:type="dxa"/>
              <w:bottom w:w="95" w:type="dxa"/>
              <w:end w:w="120" w:type="dxa"/>
            </w:tcMar>
            <w:shd w:fill="FFFFFF"/>
          </w:tcPr>
          <w:p>
            <w:pPr>
              <w:spacing w:after="0" w:line="252" w:lineRule="auto"/>
              <w:jc w:val="left"/>
            </w:pPr>
            <w:r>
              <w:rPr>
                <w:rFonts w:ascii="Arial" w:hAnsi="Arial" w:eastAsia="Arial" w:cs="Arial"/>
                <w:b w:val="0"/>
                <w:color w:val="000000"/>
                <w:sz w:val="17"/>
                <w:lang w:val="en-US" w:bidi="en-US"/>
              </w:rPr>
              <w:t>Phase 0 and ADRs 0001–0006 accepted</w:t>
            </w:r>
          </w:p>
        </w:tc>
        <w:tc>
          <w:tcPr>
            <w:tcW w:type="dxa" w:w="3384"/>
            <w:vAlign w:val="center"/>
            <w:tcMar>
              <w:top w:w="95" w:type="dxa"/>
              <w:start w:w="120" w:type="dxa"/>
              <w:bottom w:w="95" w:type="dxa"/>
              <w:end w:w="120" w:type="dxa"/>
            </w:tcMar>
            <w:shd w:fill="FFFFFF"/>
          </w:tcPr>
          <w:p>
            <w:pPr>
              <w:spacing w:after="0" w:line="252" w:lineRule="auto"/>
              <w:jc w:val="left"/>
            </w:pPr>
            <w:r>
              <w:rPr>
                <w:rFonts w:ascii="Arial" w:hAnsi="Arial" w:eastAsia="Arial" w:cs="Arial"/>
                <w:b w:val="0"/>
                <w:color w:val="000000"/>
                <w:sz w:val="17"/>
                <w:lang w:val="en-US" w:bidi="en-US"/>
              </w:rPr>
              <w:t>Continue operation-specific approvals</w:t>
            </w:r>
          </w:p>
        </w:tc>
      </w:tr>
      <w:tr>
        <w:tc>
          <w:tcPr>
            <w:tcW w:type="dxa" w:w="1800"/>
            <w:vAlign w:val="center"/>
            <w:tcMar>
              <w:top w:w="95" w:type="dxa"/>
              <w:start w:w="120" w:type="dxa"/>
              <w:bottom w:w="95" w:type="dxa"/>
              <w:end w:w="120" w:type="dxa"/>
            </w:tcMar>
            <w:shd w:fill="EAF2F8"/>
          </w:tcPr>
          <w:p>
            <w:pPr>
              <w:spacing w:after="0" w:line="252" w:lineRule="auto"/>
              <w:jc w:val="left"/>
            </w:pPr>
            <w:r>
              <w:rPr>
                <w:rFonts w:ascii="Arial" w:hAnsi="Arial" w:eastAsia="Arial" w:cs="Arial"/>
                <w:b w:val="0"/>
                <w:color w:val="000000"/>
                <w:sz w:val="17"/>
                <w:lang w:val="en-US" w:bidi="en-US"/>
              </w:rPr>
              <w:t>Application</w:t>
            </w:r>
          </w:p>
        </w:tc>
        <w:tc>
          <w:tcPr>
            <w:tcW w:type="dxa" w:w="1800"/>
            <w:vAlign w:val="center"/>
            <w:tcMar>
              <w:top w:w="95" w:type="dxa"/>
              <w:start w:w="120" w:type="dxa"/>
              <w:bottom w:w="95" w:type="dxa"/>
              <w:end w:w="120" w:type="dxa"/>
            </w:tcMar>
            <w:shd w:fill="EAF2F8"/>
          </w:tcPr>
          <w:p>
            <w:pPr>
              <w:spacing w:after="0" w:line="252" w:lineRule="auto"/>
              <w:jc w:val="left"/>
            </w:pPr>
            <w:r>
              <w:rPr>
                <w:rFonts w:ascii="Arial" w:hAnsi="Arial" w:eastAsia="Arial" w:cs="Arial"/>
                <w:b w:val="0"/>
                <w:color w:val="000000"/>
                <w:sz w:val="17"/>
                <w:lang w:val="en-US" w:bidi="en-US"/>
              </w:rPr>
              <w:t>Source implemented</w:t>
            </w:r>
          </w:p>
        </w:tc>
        <w:tc>
          <w:tcPr>
            <w:tcW w:type="dxa" w:w="3240"/>
            <w:vAlign w:val="center"/>
            <w:tcMar>
              <w:top w:w="95" w:type="dxa"/>
              <w:start w:w="120" w:type="dxa"/>
              <w:bottom w:w="95" w:type="dxa"/>
              <w:end w:w="120" w:type="dxa"/>
            </w:tcMar>
            <w:shd w:fill="EAF2F8"/>
          </w:tcPr>
          <w:p>
            <w:pPr>
              <w:spacing w:after="0" w:line="252" w:lineRule="auto"/>
              <w:jc w:val="left"/>
            </w:pPr>
            <w:r>
              <w:rPr>
                <w:rFonts w:ascii="Arial" w:hAnsi="Arial" w:eastAsia="Arial" w:cs="Arial"/>
                <w:b w:val="0"/>
                <w:color w:val="000000"/>
                <w:sz w:val="17"/>
                <w:lang w:val="en-US" w:bidi="en-US"/>
              </w:rPr>
              <w:t>Identity, policy, PostgreSQL, durable work, audit, API</w:t>
            </w:r>
          </w:p>
        </w:tc>
        <w:tc>
          <w:tcPr>
            <w:tcW w:type="dxa" w:w="3384"/>
            <w:vAlign w:val="center"/>
            <w:tcMar>
              <w:top w:w="95" w:type="dxa"/>
              <w:start w:w="120" w:type="dxa"/>
              <w:bottom w:w="95" w:type="dxa"/>
              <w:end w:w="120" w:type="dxa"/>
            </w:tcMar>
            <w:shd w:fill="EAF2F8"/>
          </w:tcPr>
          <w:p>
            <w:pPr>
              <w:spacing w:after="0" w:line="252" w:lineRule="auto"/>
              <w:jc w:val="left"/>
            </w:pPr>
            <w:r>
              <w:rPr>
                <w:rFonts w:ascii="Arial" w:hAnsi="Arial" w:eastAsia="Arial" w:cs="Arial"/>
                <w:b w:val="0"/>
                <w:color w:val="000000"/>
                <w:sz w:val="17"/>
                <w:lang w:val="en-US" w:bidi="en-US"/>
              </w:rPr>
              <w:t>Package and deploy; add TLS, UI, backup and restore</w:t>
            </w:r>
          </w:p>
        </w:tc>
      </w:tr>
      <w:tr>
        <w:tc>
          <w:tcPr>
            <w:tcW w:type="dxa" w:w="1800"/>
            <w:vAlign w:val="center"/>
            <w:tcMar>
              <w:top w:w="95" w:type="dxa"/>
              <w:start w:w="120" w:type="dxa"/>
              <w:bottom w:w="95" w:type="dxa"/>
              <w:end w:w="120" w:type="dxa"/>
            </w:tcMar>
            <w:shd w:fill="FFFFFF"/>
          </w:tcPr>
          <w:p>
            <w:pPr>
              <w:spacing w:after="0" w:line="252" w:lineRule="auto"/>
              <w:jc w:val="left"/>
            </w:pPr>
            <w:r>
              <w:rPr>
                <w:rFonts w:ascii="Arial" w:hAnsi="Arial" w:eastAsia="Arial" w:cs="Arial"/>
                <w:b w:val="0"/>
                <w:color w:val="000000"/>
                <w:sz w:val="17"/>
                <w:lang w:val="en-US" w:bidi="en-US"/>
              </w:rPr>
              <w:t>Four servers</w:t>
            </w:r>
          </w:p>
        </w:tc>
        <w:tc>
          <w:tcPr>
            <w:tcW w:type="dxa" w:w="1800"/>
            <w:vAlign w:val="center"/>
            <w:tcMar>
              <w:top w:w="95" w:type="dxa"/>
              <w:start w:w="120" w:type="dxa"/>
              <w:bottom w:w="95" w:type="dxa"/>
              <w:end w:w="120" w:type="dxa"/>
            </w:tcMar>
            <w:shd w:fill="FFFFFF"/>
          </w:tcPr>
          <w:p>
            <w:pPr>
              <w:spacing w:after="0" w:line="252" w:lineRule="auto"/>
              <w:jc w:val="left"/>
            </w:pPr>
            <w:r>
              <w:rPr>
                <w:rFonts w:ascii="Arial" w:hAnsi="Arial" w:eastAsia="Arial" w:cs="Arial"/>
                <w:b w:val="0"/>
                <w:color w:val="000000"/>
                <w:sz w:val="17"/>
                <w:lang w:val="en-US" w:bidi="en-US"/>
              </w:rPr>
              <w:t>Qualified and prepared</w:t>
            </w:r>
          </w:p>
        </w:tc>
        <w:tc>
          <w:tcPr>
            <w:tcW w:type="dxa" w:w="3240"/>
            <w:vAlign w:val="center"/>
            <w:tcMar>
              <w:top w:w="95" w:type="dxa"/>
              <w:start w:w="120" w:type="dxa"/>
              <w:bottom w:w="95" w:type="dxa"/>
              <w:end w:w="120" w:type="dxa"/>
            </w:tcMar>
            <w:shd w:fill="FFFFFF"/>
          </w:tcPr>
          <w:p>
            <w:pPr>
              <w:spacing w:after="0" w:line="252" w:lineRule="auto"/>
              <w:jc w:val="left"/>
            </w:pPr>
            <w:r>
              <w:rPr>
                <w:rFonts w:ascii="Arial" w:hAnsi="Arial" w:eastAsia="Arial" w:cs="Arial"/>
                <w:b w:val="0"/>
                <w:color w:val="000000"/>
                <w:sz w:val="17"/>
                <w:lang w:val="en-US" w:bidi="en-US"/>
              </w:rPr>
              <w:t>Ubuntu 24.04.5, healthy systemd, UFW, SSH-only wildcard listener</w:t>
            </w:r>
          </w:p>
        </w:tc>
        <w:tc>
          <w:tcPr>
            <w:tcW w:type="dxa" w:w="3384"/>
            <w:vAlign w:val="center"/>
            <w:tcMar>
              <w:top w:w="95" w:type="dxa"/>
              <w:start w:w="120" w:type="dxa"/>
              <w:bottom w:w="95" w:type="dxa"/>
              <w:end w:w="120" w:type="dxa"/>
            </w:tcMar>
            <w:shd w:fill="FFFFFF"/>
          </w:tcPr>
          <w:p>
            <w:pPr>
              <w:spacing w:after="0" w:line="252" w:lineRule="auto"/>
              <w:jc w:val="left"/>
            </w:pPr>
            <w:r>
              <w:rPr>
                <w:rFonts w:ascii="Arial" w:hAnsi="Arial" w:eastAsia="Arial" w:cs="Arial"/>
                <w:b w:val="0"/>
                <w:color w:val="000000"/>
                <w:sz w:val="17"/>
                <w:lang w:val="en-US" w:bidi="en-US"/>
              </w:rPr>
              <w:t>Install configuration and perform service acceptance</w:t>
            </w:r>
          </w:p>
        </w:tc>
      </w:tr>
      <w:tr>
        <w:tc>
          <w:tcPr>
            <w:tcW w:type="dxa" w:w="1800"/>
            <w:vAlign w:val="center"/>
            <w:tcMar>
              <w:top w:w="95" w:type="dxa"/>
              <w:start w:w="120" w:type="dxa"/>
              <w:bottom w:w="95" w:type="dxa"/>
              <w:end w:w="120" w:type="dxa"/>
            </w:tcMar>
            <w:shd w:fill="EAF2F8"/>
          </w:tcPr>
          <w:p>
            <w:pPr>
              <w:spacing w:after="0" w:line="252" w:lineRule="auto"/>
              <w:jc w:val="left"/>
            </w:pPr>
            <w:r>
              <w:rPr>
                <w:rFonts w:ascii="Arial" w:hAnsi="Arial" w:eastAsia="Arial" w:cs="Arial"/>
                <w:b w:val="0"/>
                <w:color w:val="000000"/>
                <w:sz w:val="17"/>
                <w:lang w:val="en-US" w:bidi="en-US"/>
              </w:rPr>
              <w:t>CPU inference</w:t>
            </w:r>
          </w:p>
        </w:tc>
        <w:tc>
          <w:tcPr>
            <w:tcW w:type="dxa" w:w="1800"/>
            <w:vAlign w:val="center"/>
            <w:tcMar>
              <w:top w:w="95" w:type="dxa"/>
              <w:start w:w="120" w:type="dxa"/>
              <w:bottom w:w="95" w:type="dxa"/>
              <w:end w:w="120" w:type="dxa"/>
            </w:tcMar>
            <w:shd w:fill="EAF2F8"/>
          </w:tcPr>
          <w:p>
            <w:pPr>
              <w:spacing w:after="0" w:line="252" w:lineRule="auto"/>
              <w:jc w:val="left"/>
            </w:pPr>
            <w:r>
              <w:rPr>
                <w:rFonts w:ascii="Arial" w:hAnsi="Arial" w:eastAsia="Arial" w:cs="Arial"/>
                <w:b w:val="0"/>
                <w:color w:val="000000"/>
                <w:sz w:val="17"/>
                <w:lang w:val="en-US" w:bidi="en-US"/>
              </w:rPr>
              <w:t>Smoke-tested</w:t>
            </w:r>
          </w:p>
        </w:tc>
        <w:tc>
          <w:tcPr>
            <w:tcW w:type="dxa" w:w="3240"/>
            <w:vAlign w:val="center"/>
            <w:tcMar>
              <w:top w:w="95" w:type="dxa"/>
              <w:start w:w="120" w:type="dxa"/>
              <w:bottom w:w="95" w:type="dxa"/>
              <w:end w:w="120" w:type="dxa"/>
            </w:tcMar>
            <w:shd w:fill="EAF2F8"/>
          </w:tcPr>
          <w:p>
            <w:pPr>
              <w:spacing w:after="0" w:line="252" w:lineRule="auto"/>
              <w:jc w:val="left"/>
            </w:pPr>
            <w:r>
              <w:rPr>
                <w:rFonts w:ascii="Arial" w:hAnsi="Arial" w:eastAsia="Arial" w:cs="Arial"/>
                <w:b w:val="0"/>
                <w:color w:val="000000"/>
                <w:sz w:val="17"/>
                <w:lang w:val="en-US" w:bidi="en-US"/>
              </w:rPr>
              <w:t>Pinned runtime and model verified; bilingual loopback generation</w:t>
            </w:r>
          </w:p>
        </w:tc>
        <w:tc>
          <w:tcPr>
            <w:tcW w:type="dxa" w:w="3384"/>
            <w:vAlign w:val="center"/>
            <w:tcMar>
              <w:top w:w="95" w:type="dxa"/>
              <w:start w:w="120" w:type="dxa"/>
              <w:bottom w:w="95" w:type="dxa"/>
              <w:end w:w="120" w:type="dxa"/>
            </w:tcMar>
            <w:shd w:fill="EAF2F8"/>
          </w:tcPr>
          <w:p>
            <w:pPr>
              <w:spacing w:after="0" w:line="252" w:lineRule="auto"/>
              <w:jc w:val="left"/>
            </w:pPr>
            <w:r>
              <w:rPr>
                <w:rFonts w:ascii="Arial" w:hAnsi="Arial" w:eastAsia="Arial" w:cs="Arial"/>
                <w:b w:val="0"/>
                <w:color w:val="000000"/>
                <w:sz w:val="17"/>
                <w:lang w:val="en-US" w:bidi="en-US"/>
              </w:rPr>
              <w:t>Production unit plus quality, load, failure and offline tests</w:t>
            </w:r>
          </w:p>
        </w:tc>
      </w:tr>
      <w:tr>
        <w:tc>
          <w:tcPr>
            <w:tcW w:type="dxa" w:w="1800"/>
            <w:vAlign w:val="center"/>
            <w:tcMar>
              <w:top w:w="95" w:type="dxa"/>
              <w:start w:w="120" w:type="dxa"/>
              <w:bottom w:w="95" w:type="dxa"/>
              <w:end w:w="120" w:type="dxa"/>
            </w:tcMar>
            <w:shd w:fill="FFFFFF"/>
          </w:tcPr>
          <w:p>
            <w:pPr>
              <w:spacing w:after="0" w:line="252" w:lineRule="auto"/>
              <w:jc w:val="left"/>
            </w:pPr>
            <w:r>
              <w:rPr>
                <w:rFonts w:ascii="Arial" w:hAnsi="Arial" w:eastAsia="Arial" w:cs="Arial"/>
                <w:b w:val="0"/>
                <w:color w:val="000000"/>
                <w:sz w:val="17"/>
                <w:lang w:val="en-US" w:bidi="en-US"/>
              </w:rPr>
              <w:t>Zabbix and connector</w:t>
            </w:r>
          </w:p>
        </w:tc>
        <w:tc>
          <w:tcPr>
            <w:tcW w:type="dxa" w:w="1800"/>
            <w:vAlign w:val="center"/>
            <w:tcMar>
              <w:top w:w="95" w:type="dxa"/>
              <w:start w:w="120" w:type="dxa"/>
              <w:bottom w:w="95" w:type="dxa"/>
              <w:end w:w="120" w:type="dxa"/>
            </w:tcMar>
            <w:shd w:fill="FFFFFF"/>
          </w:tcPr>
          <w:p>
            <w:pPr>
              <w:spacing w:after="0" w:line="252" w:lineRule="auto"/>
              <w:jc w:val="left"/>
            </w:pPr>
            <w:r>
              <w:rPr>
                <w:rFonts w:ascii="Arial" w:hAnsi="Arial" w:eastAsia="Arial" w:cs="Arial"/>
                <w:b w:val="0"/>
                <w:color w:val="000000"/>
                <w:sz w:val="17"/>
                <w:lang w:val="en-US" w:bidi="en-US"/>
              </w:rPr>
              <w:t>Package layer only</w:t>
            </w:r>
          </w:p>
        </w:tc>
        <w:tc>
          <w:tcPr>
            <w:tcW w:type="dxa" w:w="3240"/>
            <w:vAlign w:val="center"/>
            <w:tcMar>
              <w:top w:w="95" w:type="dxa"/>
              <w:start w:w="120" w:type="dxa"/>
              <w:bottom w:w="95" w:type="dxa"/>
              <w:end w:w="120" w:type="dxa"/>
            </w:tcMar>
            <w:shd w:fill="FFFFFF"/>
          </w:tcPr>
          <w:p>
            <w:pPr>
              <w:spacing w:after="0" w:line="252" w:lineRule="auto"/>
              <w:jc w:val="left"/>
            </w:pPr>
            <w:r>
              <w:rPr>
                <w:rFonts w:ascii="Arial" w:hAnsi="Arial" w:eastAsia="Arial" w:cs="Arial"/>
                <w:b w:val="0"/>
                <w:color w:val="000000"/>
                <w:sz w:val="17"/>
                <w:lang w:val="en-US" w:bidi="en-US"/>
              </w:rPr>
              <w:t>Zabbix stack installed but inactive; connector environment prepared</w:t>
            </w:r>
          </w:p>
        </w:tc>
        <w:tc>
          <w:tcPr>
            <w:tcW w:type="dxa" w:w="3384"/>
            <w:vAlign w:val="center"/>
            <w:tcMar>
              <w:top w:w="95" w:type="dxa"/>
              <w:start w:w="120" w:type="dxa"/>
              <w:bottom w:w="95" w:type="dxa"/>
              <w:end w:w="120" w:type="dxa"/>
            </w:tcMar>
            <w:shd w:fill="FFFFFF"/>
          </w:tcPr>
          <w:p>
            <w:pPr>
              <w:spacing w:after="0" w:line="252" w:lineRule="auto"/>
              <w:jc w:val="left"/>
            </w:pPr>
            <w:r>
              <w:rPr>
                <w:rFonts w:ascii="Arial" w:hAnsi="Arial" w:eastAsia="Arial" w:cs="Arial"/>
                <w:b w:val="0"/>
                <w:color w:val="000000"/>
                <w:sz w:val="17"/>
                <w:lang w:val="en-US" w:bidi="en-US"/>
              </w:rPr>
              <w:t>Initialize Zabbix and deploy the restricted reader</w:t>
            </w:r>
          </w:p>
        </w:tc>
      </w:tr>
      <w:tr>
        <w:tc>
          <w:tcPr>
            <w:tcW w:type="dxa" w:w="1800"/>
            <w:vAlign w:val="center"/>
            <w:tcMar>
              <w:top w:w="95" w:type="dxa"/>
              <w:start w:w="120" w:type="dxa"/>
              <w:bottom w:w="95" w:type="dxa"/>
              <w:end w:w="120" w:type="dxa"/>
            </w:tcMar>
            <w:shd w:fill="EAF2F8"/>
          </w:tcPr>
          <w:p>
            <w:pPr>
              <w:spacing w:after="0" w:line="252" w:lineRule="auto"/>
              <w:jc w:val="left"/>
            </w:pPr>
            <w:r>
              <w:rPr>
                <w:rFonts w:ascii="Arial" w:hAnsi="Arial" w:eastAsia="Arial" w:cs="Arial"/>
                <w:b w:val="0"/>
                <w:color w:val="000000"/>
                <w:sz w:val="17"/>
                <w:lang w:val="en-US" w:bidi="en-US"/>
              </w:rPr>
              <w:t>Offline milestone</w:t>
            </w:r>
          </w:p>
        </w:tc>
        <w:tc>
          <w:tcPr>
            <w:tcW w:type="dxa" w:w="1800"/>
            <w:vAlign w:val="center"/>
            <w:tcMar>
              <w:top w:w="95" w:type="dxa"/>
              <w:start w:w="120" w:type="dxa"/>
              <w:bottom w:w="95" w:type="dxa"/>
              <w:end w:w="120" w:type="dxa"/>
            </w:tcMar>
            <w:shd w:fill="EAF2F8"/>
          </w:tcPr>
          <w:p>
            <w:pPr>
              <w:spacing w:after="0" w:line="252" w:lineRule="auto"/>
              <w:jc w:val="left"/>
            </w:pPr>
            <w:r>
              <w:rPr>
                <w:rFonts w:ascii="Arial" w:hAnsi="Arial" w:eastAsia="Arial" w:cs="Arial"/>
                <w:b w:val="0"/>
                <w:color w:val="000000"/>
                <w:sz w:val="17"/>
                <w:lang w:val="en-US" w:bidi="en-US"/>
              </w:rPr>
              <w:t>Not demonstrated</w:t>
            </w:r>
          </w:p>
        </w:tc>
        <w:tc>
          <w:tcPr>
            <w:tcW w:type="dxa" w:w="3240"/>
            <w:vAlign w:val="center"/>
            <w:tcMar>
              <w:top w:w="95" w:type="dxa"/>
              <w:start w:w="120" w:type="dxa"/>
              <w:bottom w:w="95" w:type="dxa"/>
              <w:end w:w="120" w:type="dxa"/>
            </w:tcMar>
            <w:shd w:fill="EAF2F8"/>
          </w:tcPr>
          <w:p>
            <w:pPr>
              <w:spacing w:after="0" w:line="252" w:lineRule="auto"/>
              <w:jc w:val="left"/>
            </w:pPr>
            <w:r>
              <w:rPr>
                <w:rFonts w:ascii="Arial" w:hAnsi="Arial" w:eastAsia="Arial" w:cs="Arial"/>
                <w:b w:val="0"/>
                <w:color w:val="000000"/>
                <w:sz w:val="17"/>
                <w:lang w:val="en-US" w:bidi="en-US"/>
              </w:rPr>
              <w:t>Contracts and acceptance cases are defined</w:t>
            </w:r>
          </w:p>
        </w:tc>
        <w:tc>
          <w:tcPr>
            <w:tcW w:type="dxa" w:w="3384"/>
            <w:vAlign w:val="center"/>
            <w:tcMar>
              <w:top w:w="95" w:type="dxa"/>
              <w:start w:w="120" w:type="dxa"/>
              <w:bottom w:w="95" w:type="dxa"/>
              <w:end w:w="120" w:type="dxa"/>
            </w:tcMar>
            <w:shd w:fill="EAF2F8"/>
          </w:tcPr>
          <w:p>
            <w:pPr>
              <w:spacing w:after="0" w:line="252" w:lineRule="auto"/>
              <w:jc w:val="left"/>
            </w:pPr>
            <w:r>
              <w:rPr>
                <w:rFonts w:ascii="Arial" w:hAnsi="Arial" w:eastAsia="Arial" w:cs="Arial"/>
                <w:b w:val="0"/>
                <w:color w:val="000000"/>
                <w:sz w:val="17"/>
                <w:lang w:val="en-US" w:bidi="en-US"/>
              </w:rPr>
              <w:t>Prove fresh evidence-linked answers with WAN blocked</w:t>
            </w:r>
          </w:p>
        </w:tc>
      </w:tr>
    </w:tbl>
    <w:p>
      <w:pPr>
        <w:spacing w:after="20"/>
      </w:pPr>
    </w:p>
    <w:p>
      <w:pPr>
        <w:pStyle w:val="Heading1"/>
        <w:keepNext/>
        <w:keepLines/>
        <w:spacing w:before="240" w:after="100"/>
        <w:jc w:val="left"/>
      </w:pPr>
      <w:r>
        <w:rPr>
          <w:rFonts w:ascii="Arial" w:hAnsi="Arial" w:eastAsia="Arial" w:cs="Arial"/>
          <w:b/>
          <w:color w:val="000000"/>
          <w:sz w:val="32"/>
          <w:lang w:val="en-US" w:bidi="en-US"/>
        </w:rPr>
        <w:t>Work Completed</w:t>
      </w:r>
    </w:p>
    <w:p>
      <w:pPr>
        <w:pStyle w:val="Heading2"/>
        <w:keepNext/>
        <w:keepLines/>
        <w:spacing w:before="160" w:after="100"/>
        <w:jc w:val="left"/>
      </w:pPr>
      <w:r>
        <w:rPr>
          <w:rFonts w:ascii="Arial" w:hAnsi="Arial" w:eastAsia="Arial" w:cs="Arial"/>
          <w:b/>
          <w:color w:val="000000"/>
          <w:sz w:val="25"/>
          <w:lang w:val="en-US" w:bidi="en-US"/>
        </w:rPr>
        <w:t>Architecture Requirements and Safety</w:t>
      </w:r>
    </w:p>
    <w:p>
      <w:pPr>
        <w:pStyle w:val="ListBullet"/>
        <w:keepNext w:val="0"/>
        <w:keepLines/>
        <w:spacing w:after="80" w:line="269" w:lineRule="auto"/>
        <w:jc w:val="left"/>
      </w:pPr>
      <w:r>
        <w:rPr>
          <w:rFonts w:ascii="Arial" w:hAnsi="Arial" w:eastAsia="Arial" w:cs="Arial"/>
          <w:b w:val="0"/>
          <w:color w:val="000000"/>
          <w:sz w:val="20"/>
          <w:lang w:val="en-US" w:bidi="en-US"/>
        </w:rPr>
        <w:t>The owner accepted Phase 0, the Stage 1A–1E delivery path, and ADRs 0001–0006.</w:t>
      </w:r>
    </w:p>
    <w:p>
      <w:pPr>
        <w:pStyle w:val="ListBullet"/>
        <w:keepNext w:val="0"/>
        <w:keepLines/>
        <w:spacing w:after="80" w:line="269" w:lineRule="auto"/>
        <w:jc w:val="left"/>
      </w:pPr>
      <w:r>
        <w:rPr>
          <w:rFonts w:ascii="Arial" w:hAnsi="Arial" w:eastAsia="Arial" w:cs="Arial"/>
          <w:b w:val="0"/>
          <w:color w:val="000000"/>
          <w:sz w:val="20"/>
          <w:lang w:val="en-US" w:bidi="en-US"/>
        </w:rPr>
        <w:t>The initial four virtual machines total 40 vCPU, 184 GiB RAM, and 980 GiB virtual disk.</w:t>
      </w:r>
    </w:p>
    <w:p>
      <w:pPr>
        <w:pStyle w:val="ListBullet"/>
        <w:keepNext w:val="0"/>
        <w:keepLines/>
        <w:spacing w:after="80" w:line="269" w:lineRule="auto"/>
        <w:jc w:val="left"/>
      </w:pPr>
      <w:r>
        <w:rPr>
          <w:rFonts w:ascii="Arial" w:hAnsi="Arial" w:eastAsia="Arial" w:cs="Arial"/>
          <w:b w:val="0"/>
          <w:color w:val="000000"/>
          <w:sz w:val="20"/>
          <w:lang w:val="en-US" w:bidi="en-US"/>
        </w:rPr>
        <w:t>All AI generation remains local and CPU-only. There is no GPU dependency or cloud inference fallback.</w:t>
      </w:r>
    </w:p>
    <w:p>
      <w:pPr>
        <w:pStyle w:val="ListBullet"/>
        <w:keepNext w:val="0"/>
        <w:keepLines/>
        <w:spacing w:after="80" w:line="269" w:lineRule="auto"/>
        <w:jc w:val="left"/>
      </w:pPr>
      <w:r>
        <w:rPr>
          <w:rFonts w:ascii="Arial" w:hAnsi="Arial" w:eastAsia="Arial" w:cs="Arial"/>
          <w:b w:val="0"/>
          <w:color w:val="000000"/>
          <w:sz w:val="20"/>
          <w:lang w:val="en-US" w:bidi="en-US"/>
        </w:rPr>
        <w:t>Phase 1 remains read-only. The model receives neither target credentials nor authority to approve changes.</w:t>
      </w:r>
    </w:p>
    <w:p>
      <w:pPr>
        <w:pStyle w:val="Heading2"/>
        <w:keepNext/>
        <w:keepLines/>
        <w:spacing w:before="160" w:after="100"/>
        <w:jc w:val="left"/>
      </w:pPr>
      <w:r>
        <w:rPr>
          <w:rFonts w:ascii="Arial" w:hAnsi="Arial" w:eastAsia="Arial" w:cs="Arial"/>
          <w:b/>
          <w:color w:val="000000"/>
          <w:sz w:val="25"/>
          <w:lang w:val="en-US" w:bidi="en-US"/>
        </w:rPr>
        <w:t>Repository and Application Foundation</w:t>
      </w:r>
    </w:p>
    <w:p>
      <w:pPr>
        <w:pStyle w:val="ListBullet"/>
        <w:keepNext w:val="0"/>
        <w:keepLines/>
        <w:spacing w:after="80" w:line="269" w:lineRule="auto"/>
        <w:jc w:val="left"/>
      </w:pPr>
      <w:r>
        <w:rPr>
          <w:rFonts w:ascii="Arial" w:hAnsi="Arial" w:eastAsia="Arial" w:cs="Arial"/>
          <w:b w:val="0"/>
          <w:color w:val="000000"/>
          <w:sz w:val="20"/>
          <w:lang w:val="en-US" w:bidi="en-US"/>
        </w:rPr>
        <w:t>Stage 1A implements Argon2id identity bootstrap, login and recovery; opaque hashed sessions; PostgreSQL and Alembic migrations; idempotent durable runs; expiring worker leases; append-restricted audit; and an authenticated FastAPI surface.</w:t>
      </w:r>
    </w:p>
    <w:p>
      <w:pPr>
        <w:pStyle w:val="ListBullet"/>
        <w:keepNext w:val="0"/>
        <w:keepLines/>
        <w:spacing w:after="80" w:line="269" w:lineRule="auto"/>
        <w:jc w:val="left"/>
      </w:pPr>
      <w:r>
        <w:rPr>
          <w:rFonts w:ascii="Arial" w:hAnsi="Arial" w:eastAsia="Arial" w:cs="Arial"/>
          <w:b w:val="0"/>
          <w:color w:val="000000"/>
          <w:sz w:val="20"/>
          <w:lang w:val="en-US" w:bidi="en-US"/>
        </w:rPr>
        <w:t>Stage 1B implements a runtime-neutral LLMProvider, authenticated inference boundaries, a loopback llama.cpp adapter, one-active/two-queued scheduling, bounded inputs and outputs, cancellation, safe readiness, and explicit overload and dependency failures.</w:t>
      </w:r>
    </w:p>
    <w:p>
      <w:pPr>
        <w:pStyle w:val="ListBullet"/>
        <w:keepNext w:val="0"/>
        <w:keepLines/>
        <w:spacing w:after="80" w:line="269" w:lineRule="auto"/>
        <w:jc w:val="left"/>
      </w:pPr>
      <w:r>
        <w:rPr>
          <w:rFonts w:ascii="Arial" w:hAnsi="Arial" w:eastAsia="Arial" w:cs="Arial"/>
          <w:b w:val="0"/>
          <w:color w:val="000000"/>
          <w:sz w:val="20"/>
          <w:lang w:val="en-US" w:bidi="en-US"/>
        </w:rPr>
        <w:t>Four schema-validated deployment dossiers and guarded installers define the public role handoff without committing private infrastructure identifiers or credentials.</w:t>
      </w:r>
    </w:p>
    <w:p>
      <w:pPr>
        <w:pStyle w:val="Heading2"/>
        <w:keepNext/>
        <w:keepLines/>
        <w:spacing w:before="160" w:after="100"/>
        <w:jc w:val="left"/>
      </w:pPr>
      <w:r>
        <w:rPr>
          <w:rFonts w:ascii="Arial" w:hAnsi="Arial" w:eastAsia="Arial" w:cs="Arial"/>
          <w:b/>
          <w:color w:val="000000"/>
          <w:sz w:val="25"/>
          <w:lang w:val="en-US" w:bidi="en-US"/>
        </w:rPr>
        <w:t>Server Qualification and Package Preparation</w:t>
      </w:r>
    </w:p>
    <w:p>
      <w:pPr>
        <w:pStyle w:val="ListBullet"/>
        <w:keepNext w:val="0"/>
        <w:keepLines/>
        <w:spacing w:after="80" w:line="269" w:lineRule="auto"/>
        <w:jc w:val="left"/>
      </w:pPr>
      <w:r>
        <w:rPr>
          <w:rFonts w:ascii="Arial" w:hAnsi="Arial" w:eastAsia="Arial" w:cs="Arial"/>
          <w:b w:val="0"/>
          <w:color w:val="000000"/>
          <w:sz w:val="20"/>
          <w:lang w:val="en-US" w:bidi="en-US"/>
        </w:rPr>
        <w:t>All four clean Ubuntu 24.04.5 LTS guests passed host-key, key-only authentication, direct-root denial, resource, mount, time, VMware Tools, firewall, listener, update, reboot, and system-health checks.</w:t>
      </w:r>
    </w:p>
    <w:p>
      <w:pPr>
        <w:pStyle w:val="ListBullet"/>
        <w:keepNext w:val="0"/>
        <w:keepLines/>
        <w:spacing w:after="80" w:line="269" w:lineRule="auto"/>
        <w:jc w:val="left"/>
      </w:pPr>
      <w:r>
        <w:rPr>
          <w:rFonts w:ascii="Arial" w:hAnsi="Arial" w:eastAsia="Arial" w:cs="Arial"/>
          <w:b w:val="0"/>
          <w:color w:val="000000"/>
          <w:sz w:val="20"/>
          <w:lang w:val="en-US" w:bidi="en-US"/>
        </w:rPr>
        <w:t>Role packages were installed through the existing strict proxy chain without a broad operating-system upgrade. Automatic service starts and automatic PostgreSQL cluster creation were blocked.</w:t>
      </w:r>
    </w:p>
    <w:p>
      <w:pPr>
        <w:pStyle w:val="ListBullet"/>
        <w:keepNext w:val="0"/>
        <w:keepLines/>
        <w:spacing w:after="80" w:line="269" w:lineRule="auto"/>
        <w:jc w:val="left"/>
      </w:pPr>
      <w:r>
        <w:rPr>
          <w:rFonts w:ascii="Arial" w:hAnsi="Arial" w:eastAsia="Arial" w:cs="Arial"/>
          <w:b w:val="0"/>
          <w:color w:val="000000"/>
          <w:sz w:val="20"/>
          <w:lang w:val="en-US" w:bidi="en-US"/>
        </w:rPr>
        <w:t>The app host has PostgreSQL 16.15 and Nginx 1.24. AI has GCC 13.3, CMake 3.28, Ninja 1.11, OpenBLAS 0.3.26, and uv 0.12.17. Connectors has Python 3.12 virtual-environment support. Zabbix has Zabbix 7.0.30, PostgreSQL 16.15, Nginx 1.24, PHP 8.3.6, the frontend, SQL scripts, and Agent 2.</w:t>
      </w:r>
    </w:p>
    <w:p>
      <w:pPr>
        <w:pStyle w:val="ListBullet"/>
        <w:keepNext w:val="0"/>
        <w:keepLines/>
        <w:spacing w:after="80" w:line="269" w:lineRule="auto"/>
        <w:jc w:val="left"/>
      </w:pPr>
      <w:r>
        <w:rPr>
          <w:rFonts w:ascii="Arial" w:hAnsi="Arial" w:eastAsia="Arial" w:cs="Arial"/>
          <w:b w:val="0"/>
          <w:color w:val="000000"/>
          <w:sz w:val="20"/>
          <w:lang w:val="en-US" w:bidi="en-US"/>
        </w:rPr>
        <w:t>Protected non-login service identities and role directories exist. Product, database, and web services remain inactive and disabled by design.</w:t>
      </w:r>
    </w:p>
    <w:p>
      <w:pPr>
        <w:pStyle w:val="ListBullet"/>
        <w:keepNext w:val="0"/>
        <w:keepLines/>
        <w:spacing w:after="80" w:line="269" w:lineRule="auto"/>
        <w:jc w:val="left"/>
      </w:pPr>
      <w:r>
        <w:rPr>
          <w:rFonts w:ascii="Arial" w:hAnsi="Arial" w:eastAsia="Arial" w:cs="Arial"/>
          <w:b w:val="0"/>
          <w:color w:val="000000"/>
          <w:sz w:val="20"/>
          <w:lang w:val="en-US" w:bidi="en-US"/>
        </w:rPr>
        <w:t>Docker was not installed because the selected native systemd design does not require it and a container socket would expand the trust boundary.</w:t>
      </w:r>
    </w:p>
    <w:p>
      <w:pPr>
        <w:pStyle w:val="Heading2"/>
        <w:keepNext/>
        <w:keepLines/>
        <w:spacing w:before="160" w:after="100"/>
        <w:jc w:val="left"/>
      </w:pPr>
      <w:r>
        <w:rPr>
          <w:rFonts w:ascii="Arial" w:hAnsi="Arial" w:eastAsia="Arial" w:cs="Arial"/>
          <w:b/>
          <w:color w:val="000000"/>
          <w:sz w:val="25"/>
          <w:lang w:val="en-US" w:bidi="en-US"/>
        </w:rPr>
        <w:t>Local CPU Model Evidence</w:t>
      </w:r>
    </w:p>
    <w:p>
      <w:pPr>
        <w:pStyle w:val="ListBullet"/>
        <w:keepNext w:val="0"/>
        <w:keepLines/>
        <w:spacing w:after="80" w:line="269" w:lineRule="auto"/>
        <w:jc w:val="left"/>
      </w:pPr>
      <w:r>
        <w:rPr>
          <w:rFonts w:ascii="Arial" w:hAnsi="Arial" w:eastAsia="Arial" w:cs="Arial"/>
          <w:b w:val="0"/>
          <w:color w:val="000000"/>
          <w:sz w:val="20"/>
          <w:lang w:val="en-US" w:bidi="en-US"/>
        </w:rPr>
        <w:t>The pinned llama.cpp revision was built in Release mode with native CPU settings, OpenMP, and OpenBLAS, with no GPU linkage. Its promoted binary checksum is recorded in the inference manifest.</w:t>
      </w:r>
    </w:p>
    <w:p>
      <w:pPr>
        <w:pStyle w:val="ListBullet"/>
        <w:keepNext w:val="0"/>
        <w:keepLines/>
        <w:spacing w:after="80" w:line="269" w:lineRule="auto"/>
        <w:jc w:val="left"/>
      </w:pPr>
      <w:r>
        <w:rPr>
          <w:rFonts w:ascii="Arial" w:hAnsi="Arial" w:eastAsia="Arial" w:cs="Arial"/>
          <w:b w:val="0"/>
          <w:color w:val="000000"/>
          <w:sz w:val="20"/>
          <w:lang w:val="en-US" w:bidi="en-US"/>
        </w:rPr>
        <w:t>The pinned Qwen3-8B-Q4_K_M model is 5,027,783,488 bytes and matched its expected SHA-256 before and after promotion to the protected model volume.</w:t>
      </w:r>
    </w:p>
    <w:p>
      <w:pPr>
        <w:pStyle w:val="ListBullet"/>
        <w:keepNext w:val="0"/>
        <w:keepLines/>
        <w:spacing w:after="80" w:line="269" w:lineRule="auto"/>
        <w:jc w:val="left"/>
      </w:pPr>
      <w:r>
        <w:rPr>
          <w:rFonts w:ascii="Arial" w:hAnsi="Arial" w:eastAsia="Arial" w:cs="Arial"/>
          <w:b w:val="0"/>
          <w:color w:val="000000"/>
          <w:sz w:val="20"/>
          <w:lang w:val="en-US" w:bidi="en-US"/>
        </w:rPr>
        <w:t>A temporary authenticated loopback service used one slot, an 8K context, zero GPU layers, and no Web UI. It cold-started in 7 seconds, returned READY in 630 ms and آماده in 1,431 ms, then stopped without a residual process or listener.</w:t>
      </w:r>
    </w:p>
    <w:p>
      <w:pPr>
        <w:pStyle w:val="ListBullet"/>
        <w:keepNext w:val="0"/>
        <w:keepLines/>
        <w:spacing w:after="80" w:line="269" w:lineRule="auto"/>
        <w:jc w:val="left"/>
      </w:pPr>
      <w:r>
        <w:rPr>
          <w:rFonts w:ascii="Arial" w:hAnsi="Arial" w:eastAsia="Arial" w:cs="Arial"/>
          <w:b w:val="0"/>
          <w:color w:val="000000"/>
          <w:sz w:val="20"/>
          <w:lang w:val="en-US" w:bidi="en-US"/>
        </w:rPr>
        <w:t>This is bounded smoke evidence, not production, quality, sustained-load, recovery, or Internet-blocked acceptance.</w:t>
      </w:r>
    </w:p>
    <w:p>
      <w:pPr>
        <w:pStyle w:val="Heading2"/>
        <w:keepNext/>
        <w:keepLines/>
        <w:spacing w:before="160" w:after="100"/>
        <w:jc w:val="left"/>
      </w:pPr>
      <w:r>
        <w:rPr>
          <w:rFonts w:ascii="Arial" w:hAnsi="Arial" w:eastAsia="Arial" w:cs="Arial"/>
          <w:b/>
          <w:color w:val="000000"/>
          <w:sz w:val="25"/>
          <w:lang w:val="en-US" w:bidi="en-US"/>
        </w:rPr>
        <w:t>Verification Completed</w:t>
      </w:r>
    </w:p>
    <w:p>
      <w:pPr>
        <w:pStyle w:val="ListBullet"/>
        <w:keepNext w:val="0"/>
        <w:keepLines/>
        <w:spacing w:after="80" w:line="269" w:lineRule="auto"/>
        <w:jc w:val="left"/>
      </w:pPr>
      <w:r>
        <w:rPr>
          <w:rFonts w:ascii="Arial" w:hAnsi="Arial" w:eastAsia="Arial" w:cs="Arial"/>
          <w:b w:val="0"/>
          <w:color w:val="000000"/>
          <w:sz w:val="20"/>
          <w:lang w:val="en-US" w:bidi="en-US"/>
        </w:rPr>
        <w:t>Repository formatting, lint, strict typing, documentation, deployment-dossier, inference-artifact, and installer validation passed for the reviewed revision.</w:t>
      </w:r>
    </w:p>
    <w:p>
      <w:pPr>
        <w:pStyle w:val="ListBullet"/>
        <w:keepNext w:val="0"/>
        <w:keepLines/>
        <w:spacing w:after="80" w:line="269" w:lineRule="auto"/>
        <w:jc w:val="left"/>
      </w:pPr>
      <w:r>
        <w:rPr>
          <w:rFonts w:ascii="Arial" w:hAnsi="Arial" w:eastAsia="Arial" w:cs="Arial"/>
          <w:b w:val="0"/>
          <w:color w:val="000000"/>
          <w:sz w:val="20"/>
          <w:lang w:val="en-US" w:bidi="en-US"/>
        </w:rPr>
        <w:t>The desktop suite passed 71 non-integration tests; five database tests were skipped because no local PostgreSQL URL was supplied.</w:t>
      </w:r>
    </w:p>
    <w:p>
      <w:pPr>
        <w:pStyle w:val="ListBullet"/>
        <w:keepNext w:val="0"/>
        <w:keepLines/>
        <w:spacing w:after="80" w:line="269" w:lineRule="auto"/>
        <w:jc w:val="left"/>
      </w:pPr>
      <w:r>
        <w:rPr>
          <w:rFonts w:ascii="Arial" w:hAnsi="Arial" w:eastAsia="Arial" w:cs="Arial"/>
          <w:b w:val="0"/>
          <w:color w:val="000000"/>
          <w:sz w:val="20"/>
          <w:lang w:val="en-US" w:bidi="en-US"/>
        </w:rPr>
        <w:t>On the application server, the same revision passed formatting, lint, strict typing, all 71 non-integration tests, and all five PostgreSQL integration tests against an isolated PostgreSQL 16.15 cluster that was removed afterward.</w:t>
      </w:r>
    </w:p>
    <w:p>
      <w:pPr>
        <w:pStyle w:val="Heading1"/>
        <w:keepNext/>
        <w:keepLines/>
        <w:spacing w:before="240" w:after="100"/>
        <w:jc w:val="left"/>
      </w:pPr>
      <w:r>
        <w:rPr>
          <w:rFonts w:ascii="Arial" w:hAnsi="Arial" w:eastAsia="Arial" w:cs="Arial"/>
          <w:b/>
          <w:color w:val="000000"/>
          <w:sz w:val="32"/>
          <w:lang w:val="en-US" w:bidi="en-US"/>
        </w:rPr>
        <w:t>Work Remaining</w:t>
      </w:r>
    </w:p>
    <w:p>
      <w:pPr>
        <w:pStyle w:val="Heading2"/>
        <w:keepNext/>
        <w:keepLines/>
        <w:spacing w:before="160" w:after="100"/>
        <w:jc w:val="left"/>
      </w:pPr>
      <w:r>
        <w:rPr>
          <w:rFonts w:ascii="Arial" w:hAnsi="Arial" w:eastAsia="Arial" w:cs="Arial"/>
          <w:b/>
          <w:color w:val="000000"/>
          <w:sz w:val="25"/>
          <w:lang w:val="en-US" w:bidi="en-US"/>
        </w:rPr>
        <w:t>Stage 1B Production Inference Service</w:t>
      </w:r>
    </w:p>
    <w:p>
      <w:pPr>
        <w:keepNext w:val="0"/>
        <w:keepLines/>
        <w:spacing w:after="140" w:line="283" w:lineRule="auto"/>
        <w:jc w:val="left"/>
      </w:pPr>
      <w:r>
        <w:rPr>
          <w:rFonts w:ascii="Arial" w:hAnsi="Arial" w:eastAsia="Arial" w:cs="Arial"/>
          <w:b w:val="0"/>
          <w:color w:val="000000"/>
          <w:sz w:val="21"/>
          <w:lang w:val="en-US" w:bidi="en-US"/>
        </w:rPr>
        <w:t>Install the reviewed nextops-ai systemd unit and root-owned configuration, keep the listener on loopback, reference secrets safely, apply CPU and memory limits, and test authentication, health, restart, logging, overload, cancellation, timeout, rollback, bilingual quality, load, and Internet-blocked cold start.</w:t>
      </w:r>
    </w:p>
    <w:p>
      <w:pPr>
        <w:pStyle w:val="Heading2"/>
        <w:keepNext/>
        <w:keepLines/>
        <w:spacing w:before="160" w:after="100"/>
        <w:jc w:val="left"/>
      </w:pPr>
      <w:r>
        <w:rPr>
          <w:rFonts w:ascii="Arial" w:hAnsi="Arial" w:eastAsia="Arial" w:cs="Arial"/>
          <w:b/>
          <w:color w:val="000000"/>
          <w:sz w:val="25"/>
          <w:lang w:val="en-US" w:bidi="en-US"/>
        </w:rPr>
        <w:t>Stage 1A Application Deployment</w:t>
      </w:r>
    </w:p>
    <w:p>
      <w:pPr>
        <w:keepNext w:val="0"/>
        <w:keepLines/>
        <w:spacing w:after="140" w:line="283" w:lineRule="auto"/>
        <w:jc w:val="left"/>
      </w:pPr>
      <w:r>
        <w:rPr>
          <w:rFonts w:ascii="Arial" w:hAnsi="Arial" w:eastAsia="Arial" w:cs="Arial"/>
          <w:b w:val="0"/>
          <w:color w:val="000000"/>
          <w:sz w:val="21"/>
          <w:lang w:val="en-US" w:bidi="en-US"/>
        </w:rPr>
        <w:t>Package the offline release, initialize PostgreSQL 16 on the dedicated mount, create least-privilege roles, run migrations, bootstrap identity, deploy API and worker services, configure Nginx and TLS, and complete the browser UI, secret delivery, backup, restore, and rollback tests.</w:t>
      </w:r>
    </w:p>
    <w:p>
      <w:pPr>
        <w:pStyle w:val="Heading2"/>
        <w:keepNext/>
        <w:keepLines/>
        <w:spacing w:before="160" w:after="100"/>
        <w:jc w:val="left"/>
      </w:pPr>
      <w:r>
        <w:rPr>
          <w:rFonts w:ascii="Arial" w:hAnsi="Arial" w:eastAsia="Arial" w:cs="Arial"/>
          <w:b/>
          <w:color w:val="000000"/>
          <w:sz w:val="25"/>
          <w:lang w:val="en-US" w:bidi="en-US"/>
        </w:rPr>
        <w:t>Zabbix Prerequisite</w:t>
      </w:r>
    </w:p>
    <w:p>
      <w:pPr>
        <w:keepNext w:val="0"/>
        <w:keepLines/>
        <w:spacing w:after="140" w:line="283" w:lineRule="auto"/>
        <w:jc w:val="left"/>
      </w:pPr>
      <w:r>
        <w:rPr>
          <w:rFonts w:ascii="Arial" w:hAnsi="Arial" w:eastAsia="Arial" w:cs="Arial"/>
          <w:b w:val="0"/>
          <w:color w:val="000000"/>
          <w:sz w:val="21"/>
          <w:lang w:val="en-US" w:bidi="en-US"/>
        </w:rPr>
        <w:t>Initialize the Zabbix database, import its schema, configure Zabbix Server, Nginx, PHP-FPM, and Agent 2, establish local administrator recovery, enable self-monitoring, verify retention against actual growth, and create a restricted read-only API identity.</w:t>
      </w:r>
    </w:p>
    <w:p>
      <w:pPr>
        <w:pStyle w:val="Heading2"/>
        <w:keepNext/>
        <w:keepLines/>
        <w:spacing w:before="160" w:after="100"/>
        <w:jc w:val="left"/>
      </w:pPr>
      <w:r>
        <w:rPr>
          <w:rFonts w:ascii="Arial" w:hAnsi="Arial" w:eastAsia="Arial" w:cs="Arial"/>
          <w:b/>
          <w:color w:val="000000"/>
          <w:sz w:val="25"/>
          <w:lang w:val="en-US" w:bidi="en-US"/>
        </w:rPr>
        <w:t>Read-only Connector and First Useful Answer</w:t>
      </w:r>
    </w:p>
    <w:p>
      <w:pPr>
        <w:keepNext w:val="0"/>
        <w:keepLines/>
        <w:spacing w:after="140" w:line="283" w:lineRule="auto"/>
        <w:jc w:val="left"/>
      </w:pPr>
      <w:r>
        <w:rPr>
          <w:rFonts w:ascii="Arial" w:hAnsi="Arial" w:eastAsia="Arial" w:cs="Arial"/>
          <w:b w:val="0"/>
          <w:color w:val="000000"/>
          <w:sz w:val="21"/>
          <w:lang w:val="en-US" w:bidi="en-US"/>
        </w:rPr>
        <w:t>Deploy the gateway and isolated Zabbix runner. Give only that runner the scoped token, allow only listed read methods, bound result size and time, compute counts in code, and demonstrate a fresh Persian and English question with current Zabbix evidence, local CPU explanation, source time, scope, and audit.</w:t>
      </w:r>
    </w:p>
    <w:p>
      <w:pPr>
        <w:pStyle w:val="Heading2"/>
        <w:keepNext/>
        <w:keepLines/>
        <w:spacing w:before="160" w:after="100"/>
        <w:jc w:val="left"/>
      </w:pPr>
      <w:r>
        <w:rPr>
          <w:rFonts w:ascii="Arial" w:hAnsi="Arial" w:eastAsia="Arial" w:cs="Arial"/>
          <w:b/>
          <w:color w:val="000000"/>
          <w:sz w:val="25"/>
          <w:lang w:val="en-US" w:bidi="en-US"/>
        </w:rPr>
        <w:t>Offline and Recovery Acceptance</w:t>
      </w:r>
    </w:p>
    <w:p>
      <w:pPr>
        <w:keepNext w:val="0"/>
        <w:keepLines/>
        <w:spacing w:after="140" w:line="283" w:lineRule="auto"/>
        <w:jc w:val="left"/>
      </w:pPr>
      <w:r>
        <w:rPr>
          <w:rFonts w:ascii="Arial" w:hAnsi="Arial" w:eastAsia="Arial" w:cs="Arial"/>
          <w:b w:val="0"/>
          <w:color w:val="000000"/>
          <w:sz w:val="21"/>
          <w:lang w:val="en-US" w:bidi="en-US"/>
        </w:rPr>
        <w:t>With WAN access blocked, prove cold starts, fresh local login, revoked-token and unreachable-target handling, stale-data labeling, low-space behavior, resource limits, independent backups, restore drills, and release rollback across all four servers and a fresh client.</w:t>
      </w:r>
    </w:p>
    <w:p>
      <w:pPr>
        <w:pStyle w:val="Heading1"/>
        <w:keepNext/>
        <w:keepLines/>
        <w:spacing w:before="240" w:after="100"/>
        <w:jc w:val="left"/>
      </w:pPr>
      <w:r>
        <w:rPr>
          <w:rFonts w:ascii="Arial" w:hAnsi="Arial" w:eastAsia="Arial" w:cs="Arial"/>
          <w:b/>
          <w:color w:val="000000"/>
          <w:sz w:val="32"/>
          <w:lang w:val="en-US" w:bidi="en-US"/>
        </w:rPr>
        <w:t>Recommended Delivery Sequence</w:t>
      </w:r>
    </w:p>
    <w:p>
      <w:pPr>
        <w:keepNext w:val="0"/>
        <w:keepLines/>
        <w:spacing w:after="100" w:line="269" w:lineRule="auto"/>
        <w:jc w:val="left"/>
      </w:pPr>
      <w:r>
        <w:rPr>
          <w:rFonts w:ascii="Arial" w:hAnsi="Arial" w:eastAsia="Arial" w:cs="Arial"/>
          <w:b w:val="0"/>
          <w:color w:val="000000"/>
          <w:sz w:val="20"/>
          <w:lang w:val="en-US" w:bidi="en-US"/>
        </w:rPr>
        <w:t>1. Productionize the AI service and complete the Stage 1B bilingual offline evaluation.</w:t>
      </w:r>
    </w:p>
    <w:p>
      <w:pPr>
        <w:keepNext w:val="0"/>
        <w:keepLines/>
        <w:spacing w:after="100" w:line="269" w:lineRule="auto"/>
        <w:jc w:val="left"/>
      </w:pPr>
      <w:r>
        <w:rPr>
          <w:rFonts w:ascii="Arial" w:hAnsi="Arial" w:eastAsia="Arial" w:cs="Arial"/>
          <w:b w:val="0"/>
          <w:color w:val="000000"/>
          <w:sz w:val="20"/>
          <w:lang w:val="en-US" w:bidi="en-US"/>
        </w:rPr>
        <w:t>2. Package and deploy the application database, API, worker, reverse proxy, TLS, secrets, backup, and restore path.</w:t>
      </w:r>
    </w:p>
    <w:p>
      <w:pPr>
        <w:keepNext w:val="0"/>
        <w:keepLines/>
        <w:spacing w:after="100" w:line="269" w:lineRule="auto"/>
        <w:jc w:val="left"/>
      </w:pPr>
      <w:r>
        <w:rPr>
          <w:rFonts w:ascii="Arial" w:hAnsi="Arial" w:eastAsia="Arial" w:cs="Arial"/>
          <w:b w:val="0"/>
          <w:color w:val="000000"/>
          <w:sz w:val="20"/>
          <w:lang w:val="en-US" w:bidi="en-US"/>
        </w:rPr>
        <w:t>3. Initialize Zabbix and establish the restricted read-only API identity.</w:t>
      </w:r>
    </w:p>
    <w:p>
      <w:pPr>
        <w:keepNext w:val="0"/>
        <w:keepLines/>
        <w:spacing w:after="100" w:line="269" w:lineRule="auto"/>
        <w:jc w:val="left"/>
      </w:pPr>
      <w:r>
        <w:rPr>
          <w:rFonts w:ascii="Arial" w:hAnsi="Arial" w:eastAsia="Arial" w:cs="Arial"/>
          <w:b w:val="0"/>
          <w:color w:val="000000"/>
          <w:sz w:val="20"/>
          <w:lang w:val="en-US" w:bidi="en-US"/>
        </w:rPr>
        <w:t>4. Deploy the connector and complete live bounded Stage 1C reads.</w:t>
      </w:r>
    </w:p>
    <w:p>
      <w:pPr>
        <w:keepNext w:val="0"/>
        <w:keepLines/>
        <w:spacing w:after="100" w:line="269" w:lineRule="auto"/>
        <w:jc w:val="left"/>
      </w:pPr>
      <w:r>
        <w:rPr>
          <w:rFonts w:ascii="Arial" w:hAnsi="Arial" w:eastAsia="Arial" w:cs="Arial"/>
          <w:b w:val="0"/>
          <w:color w:val="000000"/>
          <w:sz w:val="20"/>
          <w:lang w:val="en-US" w:bidi="en-US"/>
        </w:rPr>
        <w:t>5. Demonstrate the Stage 1D evidence-linked answer and complete Stage 1E offline and recovery acceptance.</w:t>
      </w:r>
    </w:p>
    <w:p>
      <w:pPr>
        <w:pStyle w:val="Heading1"/>
        <w:keepNext/>
        <w:keepLines/>
        <w:spacing w:before="240" w:after="100"/>
        <w:jc w:val="left"/>
      </w:pPr>
      <w:r>
        <w:rPr>
          <w:rFonts w:ascii="Arial" w:hAnsi="Arial" w:eastAsia="Arial" w:cs="Arial"/>
          <w:b/>
          <w:color w:val="000000"/>
          <w:sz w:val="32"/>
          <w:lang w:val="en-US" w:bidi="en-US"/>
        </w:rPr>
        <w:t>Presentation Conclusion</w:t>
      </w:r>
    </w:p>
    <w:p>
      <w:pPr>
        <w:keepNext w:val="0"/>
        <w:keepLines/>
        <w:spacing w:after="140" w:line="283" w:lineRule="auto"/>
        <w:jc w:val="left"/>
      </w:pPr>
      <w:r>
        <w:rPr>
          <w:rFonts w:ascii="Arial" w:hAnsi="Arial" w:eastAsia="Arial" w:cs="Arial"/>
          <w:b w:val="0"/>
          <w:color w:val="000000"/>
          <w:sz w:val="21"/>
          <w:lang w:val="en-US" w:bidi="en-US"/>
        </w:rPr>
        <w:t>The infrastructure and software foundations are ready for controlled service deployment. NextOps now has verified hosts, installed role packages, tested repository foundations, and a working local CPU model artifact. The remaining work is production configuration, stateful-service initialization, read-only integration, recovery proof, and full offline acceptance. Until those gates pass, the accurate status is prepared and partially validated, not production-ready.</w:t>
      </w:r>
    </w:p>
    <w:p>
      <w:pPr>
        <w:sectPr>
          <w:footerReference w:type="default" r:id="rId9"/>
          <w:pgSz w:w="12240" w:h="15840"/>
          <w:pgMar w:top="1037" w:right="1037" w:bottom="979" w:left="1037" w:header="720" w:footer="720" w:gutter="0"/>
          <w:cols w:space="720"/>
          <w:docGrid w:linePitch="360"/>
        </w:sectPr>
      </w:pPr>
    </w:p>
    <w:p>
      <w:pPr>
        <w:pStyle w:val="Title"/>
        <w:spacing w:before="1840" w:after="360"/>
        <w:jc w:val="center"/>
        <w:bidi w:val="1"/>
      </w:pPr>
      <w:r>
        <w:rPr>
          <w:rFonts w:ascii="Tahoma" w:hAnsi="Tahoma" w:eastAsia="Tahoma" w:cs="Tahoma"/>
          <w:b/>
          <w:color w:val="000000"/>
          <w:sz w:val="56"/>
          <w:lang w:val="fa-IR" w:bidi="fa-IR"/>
          <w:rtl w:val="1"/>
        </w:rPr>
        <w:t>گزارش پیشرفت و وضعیت اجرایی پروژهٔ NextOps</w:t>
      </w:r>
    </w:p>
    <w:p>
      <w:pPr>
        <w:spacing w:after="320"/>
        <w:jc w:val="center"/>
        <w:bidi w:val="1"/>
      </w:pPr>
      <w:r>
        <w:rPr>
          <w:rFonts w:ascii="Tahoma" w:hAnsi="Tahoma" w:eastAsia="Tahoma" w:cs="Tahoma"/>
          <w:b w:val="0"/>
          <w:color w:val="373737"/>
          <w:sz w:val="30"/>
          <w:lang w:val="fa-IR" w:bidi="fa-IR"/>
          <w:rtl w:val="1"/>
        </w:rPr>
        <w:t>جمع‌بندی کارهای انجام‌شده و برنامهٔ ادامهٔ کار</w:t>
      </w:r>
    </w:p>
    <w:p>
      <w:pPr>
        <w:spacing w:after="560"/>
        <w:jc w:val="center"/>
        <w:bidi w:val="1"/>
      </w:pPr>
      <w:r>
        <w:rPr>
          <w:rFonts w:ascii="Tahoma" w:hAnsi="Tahoma" w:eastAsia="Tahoma" w:cs="Tahoma"/>
          <w:b w:val="0"/>
          <w:color w:val="4B4B4B"/>
          <w:sz w:val="22"/>
          <w:lang w:val="fa-IR" w:bidi="fa-IR"/>
          <w:rtl w:val="1"/>
        </w:rPr>
        <w:t>تاریخ وضعیت  ۳۰ شهریور ۱۴۰۵  برابر با ۲۱ سپتامبر ۲۰۲۶</w:t>
      </w:r>
    </w:p>
    <w:p>
      <w:pPr>
        <w:spacing w:after="760" w:line="283" w:lineRule="auto" w:before="320"/>
        <w:keepNext w:val="0"/>
        <w:keepLines/>
        <w:bidi w:val="1"/>
        <w:ind w:left="864" w:right="864"/>
        <w:jc w:val="center"/>
      </w:pPr>
      <w:r>
        <w:rPr>
          <w:rFonts w:ascii="Tahoma" w:hAnsi="Tahoma" w:eastAsia="Tahoma" w:cs="Tahoma"/>
          <w:b w:val="0"/>
          <w:color w:val="000000"/>
          <w:sz w:val="21"/>
          <w:lang w:val="fa-IR" w:bidi="fa-IR"/>
          <w:rtl w:val="1"/>
        </w:rPr>
        <w:t>هر چهار سرور Ubuntu از نظر سیستم‌عامل، منابع، امنیت پایه و بسته‌های نرم‌افزاری آماده شده‌اند. مدل محلی نیز روی پردازندهٔ مرکزی، در یک آزمون مقدماتی محدود و احرازهویت‌شده، با موفقیت اجرا شده است. گام بعدی، استقرار کنترل‌شدهٔ سرویس‌ها، اتصال فقط‌خواندنی Zabbix، اثبات بازیابی و پذیرش کامل در شرایط قطع اینترنت است.</w:t>
      </w:r>
    </w:p>
    <w:p>
      <w:pPr>
        <w:jc w:val="center"/>
        <w:bidi w:val="1"/>
      </w:pPr>
      <w:r>
        <w:rPr>
          <w:rFonts w:ascii="Tahoma" w:hAnsi="Tahoma" w:eastAsia="Tahoma" w:cs="Tahoma"/>
          <w:b w:val="0"/>
          <w:color w:val="5A5A5A"/>
          <w:sz w:val="20"/>
          <w:lang w:val="fa-IR" w:bidi="fa-IR"/>
          <w:rtl w:val="1"/>
        </w:rPr>
        <w:t>تهیه‌شده برای ارائهٔ وضعیت پروژه</w:t>
      </w:r>
    </w:p>
    <w:p>
      <w:r>
        <w:br w:type="page"/>
      </w:r>
    </w:p>
    <w:p>
      <w:pPr>
        <w:pStyle w:val="Heading1"/>
        <w:spacing w:before="240" w:after="100"/>
        <w:keepNext/>
        <w:keepLines/>
        <w:bidi w:val="1"/>
        <w:jc w:val="right"/>
      </w:pPr>
      <w:r>
        <w:rPr>
          <w:rFonts w:ascii="Tahoma" w:hAnsi="Tahoma" w:eastAsia="Tahoma" w:cs="Tahoma"/>
          <w:b/>
          <w:color w:val="000000"/>
          <w:sz w:val="32"/>
          <w:lang w:val="fa-IR" w:bidi="fa-IR"/>
          <w:rtl w:val="1"/>
        </w:rPr>
        <w:t>جمع‌بندی مدیریتی</w:t>
      </w:r>
    </w:p>
    <w:p>
      <w:pPr>
        <w:spacing w:after="140" w:line="283" w:lineRule="auto"/>
        <w:keepNext w:val="0"/>
        <w:keepLines/>
        <w:bidi w:val="1"/>
        <w:jc w:val="right"/>
      </w:pPr>
      <w:r>
        <w:rPr>
          <w:rFonts w:ascii="Tahoma" w:hAnsi="Tahoma" w:eastAsia="Tahoma" w:cs="Tahoma"/>
          <w:b w:val="0"/>
          <w:color w:val="000000"/>
          <w:sz w:val="21"/>
          <w:lang w:val="fa-IR" w:bidi="fa-IR"/>
          <w:rtl w:val="1"/>
        </w:rPr>
        <w:t>پروژه از مرحلهٔ طراحی صرف عبور کرده و وارد مرحلهٔ آماده‌سازی برای استقرار کنترل‌شده شده است. کد منبع اکنون پایه‌های آزموده‌شدهٔ برنامه و سرویس پردازش مدل را در بر دارد؛ هر چهار سرور متناسب با نقش خود ارزیابی شده‌اند؛ بسته‌های لازم نصب شده‌اند؛ و مدل تثبیت‌شده روی سرور هوش مصنوعی پاسخ‌های تازهٔ فارسی و انگلیسی تولید کرده است. با وجود این پیشرفت، سامانه هنوز آمادهٔ بهره‌برداری نیست: پایگاه دادهٔ اصلی برنامه و Zabbix مقداردهی اولیه نشده‌اند، برنامه و اتصال‌دهنده مستقر نشده‌اند و آزمون سرتاسری در شرایط قطع اینترنت انجام نشده است.</w:t>
      </w:r>
    </w:p>
    <w:p>
      <w:pPr>
        <w:pStyle w:val="Heading1"/>
        <w:spacing w:before="240" w:after="100"/>
        <w:keepNext/>
        <w:keepLines/>
        <w:bidi w:val="1"/>
        <w:jc w:val="right"/>
      </w:pPr>
      <w:r>
        <w:rPr>
          <w:rFonts w:ascii="Tahoma" w:hAnsi="Tahoma" w:eastAsia="Tahoma" w:cs="Tahoma"/>
          <w:b/>
          <w:color w:val="000000"/>
          <w:sz w:val="32"/>
          <w:lang w:val="fa-IR" w:bidi="fa-IR"/>
          <w:rtl w:val="1"/>
        </w:rPr>
        <w:t>نمای کلی وضعیت</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41"/>
        <w:gridCol w:w="2541"/>
        <w:gridCol w:w="2541"/>
        <w:gridCol w:w="2541"/>
      </w:tblGrid>
      <w:tr>
        <w:trPr>
          <w:tblHeader w:val="true"/>
        </w:trPr>
        <w:tc>
          <w:tcPr>
            <w:tcW w:type="dxa" w:w="3384"/>
            <w:vAlign w:val="center"/>
            <w:shd w:fill="17365D"/>
            <w:tcMar>
              <w:top w:w="95" w:type="dxa"/>
              <w:start w:w="120" w:type="dxa"/>
              <w:bottom w:w="95" w:type="dxa"/>
              <w:end w:w="120" w:type="dxa"/>
            </w:tcMar>
          </w:tcPr>
          <w:p>
            <w:pPr>
              <w:jc w:val="center"/>
              <w:bidi w:val="1"/>
            </w:pPr>
            <w:r>
              <w:rPr>
                <w:rFonts w:ascii="Tahoma" w:hAnsi="Tahoma" w:eastAsia="Tahoma" w:cs="Tahoma"/>
                <w:b/>
                <w:color w:val="FFFFFF"/>
                <w:sz w:val="18"/>
                <w:lang w:val="fa-IR" w:bidi="fa-IR"/>
                <w:rtl w:val="1"/>
              </w:rPr>
              <w:t>شرط باقیمانده برای پذیرش</w:t>
            </w:r>
          </w:p>
        </w:tc>
        <w:tc>
          <w:tcPr>
            <w:tcW w:type="dxa" w:w="3240"/>
            <w:vAlign w:val="center"/>
            <w:shd w:fill="17365D"/>
            <w:tcMar>
              <w:top w:w="95" w:type="dxa"/>
              <w:start w:w="120" w:type="dxa"/>
              <w:bottom w:w="95" w:type="dxa"/>
              <w:end w:w="120" w:type="dxa"/>
            </w:tcMar>
          </w:tcPr>
          <w:p>
            <w:pPr>
              <w:jc w:val="center"/>
              <w:bidi w:val="1"/>
            </w:pPr>
            <w:r>
              <w:rPr>
                <w:rFonts w:ascii="Tahoma" w:hAnsi="Tahoma" w:eastAsia="Tahoma" w:cs="Tahoma"/>
                <w:b/>
                <w:color w:val="FFFFFF"/>
                <w:sz w:val="18"/>
                <w:lang w:val="fa-IR" w:bidi="fa-IR"/>
                <w:rtl w:val="1"/>
              </w:rPr>
              <w:t>شواهد موجود</w:t>
            </w:r>
          </w:p>
        </w:tc>
        <w:tc>
          <w:tcPr>
            <w:tcW w:type="dxa" w:w="1800"/>
            <w:vAlign w:val="center"/>
            <w:shd w:fill="17365D"/>
            <w:tcMar>
              <w:top w:w="95" w:type="dxa"/>
              <w:start w:w="120" w:type="dxa"/>
              <w:bottom w:w="95" w:type="dxa"/>
              <w:end w:w="120" w:type="dxa"/>
            </w:tcMar>
          </w:tcPr>
          <w:p>
            <w:pPr>
              <w:jc w:val="center"/>
              <w:bidi w:val="1"/>
            </w:pPr>
            <w:r>
              <w:rPr>
                <w:rFonts w:ascii="Tahoma" w:hAnsi="Tahoma" w:eastAsia="Tahoma" w:cs="Tahoma"/>
                <w:b/>
                <w:color w:val="FFFFFF"/>
                <w:sz w:val="18"/>
                <w:lang w:val="fa-IR" w:bidi="fa-IR"/>
                <w:rtl w:val="1"/>
              </w:rPr>
              <w:t>وضعیت کنونی</w:t>
            </w:r>
          </w:p>
        </w:tc>
        <w:tc>
          <w:tcPr>
            <w:tcW w:type="dxa" w:w="1800"/>
            <w:vAlign w:val="center"/>
            <w:shd w:fill="17365D"/>
            <w:tcMar>
              <w:top w:w="95" w:type="dxa"/>
              <w:start w:w="120" w:type="dxa"/>
              <w:bottom w:w="95" w:type="dxa"/>
              <w:end w:w="120" w:type="dxa"/>
            </w:tcMar>
          </w:tcPr>
          <w:p>
            <w:pPr>
              <w:jc w:val="center"/>
              <w:bidi w:val="1"/>
            </w:pPr>
            <w:r>
              <w:rPr>
                <w:rFonts w:ascii="Tahoma" w:hAnsi="Tahoma" w:eastAsia="Tahoma" w:cs="Tahoma"/>
                <w:b/>
                <w:color w:val="FFFFFF"/>
                <w:sz w:val="18"/>
                <w:lang w:val="fa-IR" w:bidi="fa-IR"/>
                <w:rtl w:val="1"/>
              </w:rPr>
              <w:t>حوزه</w:t>
            </w:r>
          </w:p>
        </w:tc>
      </w:tr>
      <w:tr>
        <w:tc>
          <w:tcPr>
            <w:tcW w:type="dxa" w:w="3384"/>
            <w:vAlign w:val="center"/>
            <w:tcMar>
              <w:top w:w="95" w:type="dxa"/>
              <w:start w:w="120" w:type="dxa"/>
              <w:bottom w:w="95" w:type="dxa"/>
              <w:end w:w="120" w:type="dxa"/>
            </w:tcMar>
            <w:shd w:fill="FFFFFF"/>
          </w:tcPr>
          <w:p>
            <w:pPr>
              <w:spacing w:after="0" w:line="252" w:lineRule="auto"/>
              <w:bidi w:val="1"/>
              <w:jc w:val="right"/>
            </w:pPr>
            <w:r>
              <w:rPr>
                <w:rFonts w:ascii="Tahoma" w:hAnsi="Tahoma" w:eastAsia="Tahoma" w:cs="Tahoma"/>
                <w:b w:val="0"/>
                <w:color w:val="000000"/>
                <w:sz w:val="17"/>
                <w:lang w:val="fa-IR" w:bidi="fa-IR"/>
                <w:rtl w:val="1"/>
              </w:rPr>
              <w:t>ادامهٔ مجوز مستقل برای هر عملیات</w:t>
            </w:r>
          </w:p>
        </w:tc>
        <w:tc>
          <w:tcPr>
            <w:tcW w:type="dxa" w:w="3240"/>
            <w:vAlign w:val="center"/>
            <w:tcMar>
              <w:top w:w="95" w:type="dxa"/>
              <w:start w:w="120" w:type="dxa"/>
              <w:bottom w:w="95" w:type="dxa"/>
              <w:end w:w="120" w:type="dxa"/>
            </w:tcMar>
            <w:shd w:fill="FFFFFF"/>
          </w:tcPr>
          <w:p>
            <w:pPr>
              <w:spacing w:after="0" w:line="252" w:lineRule="auto"/>
              <w:bidi w:val="1"/>
              <w:jc w:val="right"/>
            </w:pPr>
            <w:r>
              <w:rPr>
                <w:rFonts w:ascii="Tahoma" w:hAnsi="Tahoma" w:eastAsia="Tahoma" w:cs="Tahoma"/>
                <w:b w:val="0"/>
                <w:color w:val="000000"/>
                <w:sz w:val="17"/>
                <w:lang w:val="fa-IR" w:bidi="fa-IR"/>
                <w:rtl w:val="1"/>
              </w:rPr>
              <w:t>مرحلهٔ صفر و تصمیم‌های معماری 0001 تا 0006 تصویب شده‌اند</w:t>
            </w:r>
          </w:p>
        </w:tc>
        <w:tc>
          <w:tcPr>
            <w:tcW w:type="dxa" w:w="1800"/>
            <w:vAlign w:val="center"/>
            <w:tcMar>
              <w:top w:w="95" w:type="dxa"/>
              <w:start w:w="120" w:type="dxa"/>
              <w:bottom w:w="95" w:type="dxa"/>
              <w:end w:w="120" w:type="dxa"/>
            </w:tcMar>
            <w:shd w:fill="FFFFFF"/>
          </w:tcPr>
          <w:p>
            <w:pPr>
              <w:spacing w:after="0" w:line="252" w:lineRule="auto"/>
              <w:bidi w:val="1"/>
              <w:jc w:val="right"/>
            </w:pPr>
            <w:r>
              <w:rPr>
                <w:rFonts w:ascii="Tahoma" w:hAnsi="Tahoma" w:eastAsia="Tahoma" w:cs="Tahoma"/>
                <w:b w:val="0"/>
                <w:color w:val="000000"/>
                <w:sz w:val="17"/>
                <w:lang w:val="fa-IR" w:bidi="fa-IR"/>
                <w:rtl w:val="1"/>
              </w:rPr>
              <w:t>مبنای کار پذیرفته شده است</w:t>
            </w:r>
          </w:p>
        </w:tc>
        <w:tc>
          <w:tcPr>
            <w:tcW w:type="dxa" w:w="1800"/>
            <w:vAlign w:val="center"/>
            <w:tcMar>
              <w:top w:w="95" w:type="dxa"/>
              <w:start w:w="120" w:type="dxa"/>
              <w:bottom w:w="95" w:type="dxa"/>
              <w:end w:w="120" w:type="dxa"/>
            </w:tcMar>
            <w:shd w:fill="FFFFFF"/>
          </w:tcPr>
          <w:p>
            <w:pPr>
              <w:spacing w:after="0" w:line="252" w:lineRule="auto"/>
              <w:bidi w:val="1"/>
              <w:jc w:val="right"/>
            </w:pPr>
            <w:r>
              <w:rPr>
                <w:rFonts w:ascii="Tahoma" w:hAnsi="Tahoma" w:eastAsia="Tahoma" w:cs="Tahoma"/>
                <w:b w:val="0"/>
                <w:color w:val="000000"/>
                <w:sz w:val="17"/>
                <w:lang w:val="fa-IR" w:bidi="fa-IR"/>
                <w:rtl w:val="1"/>
              </w:rPr>
              <w:t>معماری</w:t>
            </w:r>
          </w:p>
        </w:tc>
      </w:tr>
      <w:tr>
        <w:tc>
          <w:tcPr>
            <w:tcW w:type="dxa" w:w="3384"/>
            <w:vAlign w:val="center"/>
            <w:tcMar>
              <w:top w:w="95" w:type="dxa"/>
              <w:start w:w="120" w:type="dxa"/>
              <w:bottom w:w="95" w:type="dxa"/>
              <w:end w:w="120" w:type="dxa"/>
            </w:tcMar>
            <w:shd w:fill="EAF2F8"/>
          </w:tcPr>
          <w:p>
            <w:pPr>
              <w:spacing w:after="0" w:line="252" w:lineRule="auto"/>
              <w:bidi w:val="1"/>
              <w:jc w:val="right"/>
            </w:pPr>
            <w:r>
              <w:rPr>
                <w:rFonts w:ascii="Tahoma" w:hAnsi="Tahoma" w:eastAsia="Tahoma" w:cs="Tahoma"/>
                <w:b w:val="0"/>
                <w:color w:val="000000"/>
                <w:sz w:val="17"/>
                <w:lang w:val="fa-IR" w:bidi="fa-IR"/>
                <w:rtl w:val="1"/>
              </w:rPr>
              <w:t>بسته‌بندی و استقرار، TLS، رابط مرورگر، پشتیبان‌گیری و بازیابی</w:t>
            </w:r>
          </w:p>
        </w:tc>
        <w:tc>
          <w:tcPr>
            <w:tcW w:type="dxa" w:w="3240"/>
            <w:vAlign w:val="center"/>
            <w:tcMar>
              <w:top w:w="95" w:type="dxa"/>
              <w:start w:w="120" w:type="dxa"/>
              <w:bottom w:w="95" w:type="dxa"/>
              <w:end w:w="120" w:type="dxa"/>
            </w:tcMar>
            <w:shd w:fill="EAF2F8"/>
          </w:tcPr>
          <w:p>
            <w:pPr>
              <w:spacing w:after="0" w:line="252" w:lineRule="auto"/>
              <w:bidi w:val="1"/>
              <w:jc w:val="right"/>
            </w:pPr>
            <w:r>
              <w:rPr>
                <w:rFonts w:ascii="Tahoma" w:hAnsi="Tahoma" w:eastAsia="Tahoma" w:cs="Tahoma"/>
                <w:b w:val="0"/>
                <w:color w:val="000000"/>
                <w:sz w:val="17"/>
                <w:lang w:val="fa-IR" w:bidi="fa-IR"/>
                <w:rtl w:val="1"/>
              </w:rPr>
              <w:t>هویت، مجوزدهی، PostgreSQL، اجرای ماندگار کارها، سابقهٔ ممیزی و API</w:t>
            </w:r>
          </w:p>
        </w:tc>
        <w:tc>
          <w:tcPr>
            <w:tcW w:type="dxa" w:w="1800"/>
            <w:vAlign w:val="center"/>
            <w:tcMar>
              <w:top w:w="95" w:type="dxa"/>
              <w:start w:w="120" w:type="dxa"/>
              <w:bottom w:w="95" w:type="dxa"/>
              <w:end w:w="120" w:type="dxa"/>
            </w:tcMar>
            <w:shd w:fill="EAF2F8"/>
          </w:tcPr>
          <w:p>
            <w:pPr>
              <w:spacing w:after="0" w:line="252" w:lineRule="auto"/>
              <w:bidi w:val="1"/>
              <w:jc w:val="right"/>
            </w:pPr>
            <w:r>
              <w:rPr>
                <w:rFonts w:ascii="Tahoma" w:hAnsi="Tahoma" w:eastAsia="Tahoma" w:cs="Tahoma"/>
                <w:b w:val="0"/>
                <w:color w:val="000000"/>
                <w:sz w:val="17"/>
                <w:lang w:val="fa-IR" w:bidi="fa-IR"/>
                <w:rtl w:val="1"/>
              </w:rPr>
              <w:t>در کد منبع پیاده‌سازی شده است</w:t>
            </w:r>
          </w:p>
        </w:tc>
        <w:tc>
          <w:tcPr>
            <w:tcW w:type="dxa" w:w="1800"/>
            <w:vAlign w:val="center"/>
            <w:tcMar>
              <w:top w:w="95" w:type="dxa"/>
              <w:start w:w="120" w:type="dxa"/>
              <w:bottom w:w="95" w:type="dxa"/>
              <w:end w:w="120" w:type="dxa"/>
            </w:tcMar>
            <w:shd w:fill="EAF2F8"/>
          </w:tcPr>
          <w:p>
            <w:pPr>
              <w:spacing w:after="0" w:line="252" w:lineRule="auto"/>
              <w:bidi w:val="1"/>
              <w:jc w:val="right"/>
            </w:pPr>
            <w:r>
              <w:rPr>
                <w:rFonts w:ascii="Tahoma" w:hAnsi="Tahoma" w:eastAsia="Tahoma" w:cs="Tahoma"/>
                <w:b w:val="0"/>
                <w:color w:val="000000"/>
                <w:sz w:val="17"/>
                <w:lang w:val="fa-IR" w:bidi="fa-IR"/>
                <w:rtl w:val="1"/>
              </w:rPr>
              <w:t>برنامه</w:t>
            </w:r>
          </w:p>
        </w:tc>
      </w:tr>
      <w:tr>
        <w:tc>
          <w:tcPr>
            <w:tcW w:type="dxa" w:w="3384"/>
            <w:vAlign w:val="center"/>
            <w:tcMar>
              <w:top w:w="95" w:type="dxa"/>
              <w:start w:w="120" w:type="dxa"/>
              <w:bottom w:w="95" w:type="dxa"/>
              <w:end w:w="120" w:type="dxa"/>
            </w:tcMar>
            <w:shd w:fill="FFFFFF"/>
          </w:tcPr>
          <w:p>
            <w:pPr>
              <w:spacing w:after="0" w:line="252" w:lineRule="auto"/>
              <w:bidi w:val="1"/>
              <w:jc w:val="right"/>
            </w:pPr>
            <w:r>
              <w:rPr>
                <w:rFonts w:ascii="Tahoma" w:hAnsi="Tahoma" w:eastAsia="Tahoma" w:cs="Tahoma"/>
                <w:b w:val="0"/>
                <w:color w:val="000000"/>
                <w:sz w:val="17"/>
                <w:lang w:val="fa-IR" w:bidi="fa-IR"/>
                <w:rtl w:val="1"/>
              </w:rPr>
              <w:t>نصب پیکربندی و آزمون پذیرش سرویس‌ها</w:t>
            </w:r>
          </w:p>
        </w:tc>
        <w:tc>
          <w:tcPr>
            <w:tcW w:type="dxa" w:w="3240"/>
            <w:vAlign w:val="center"/>
            <w:tcMar>
              <w:top w:w="95" w:type="dxa"/>
              <w:start w:w="120" w:type="dxa"/>
              <w:bottom w:w="95" w:type="dxa"/>
              <w:end w:w="120" w:type="dxa"/>
            </w:tcMar>
            <w:shd w:fill="FFFFFF"/>
          </w:tcPr>
          <w:p>
            <w:pPr>
              <w:spacing w:after="0" w:line="252" w:lineRule="auto"/>
              <w:bidi w:val="1"/>
              <w:jc w:val="right"/>
            </w:pPr>
            <w:r>
              <w:rPr>
                <w:rFonts w:ascii="Tahoma" w:hAnsi="Tahoma" w:eastAsia="Tahoma" w:cs="Tahoma"/>
                <w:b w:val="0"/>
                <w:color w:val="000000"/>
                <w:sz w:val="17"/>
                <w:lang w:val="fa-IR" w:bidi="fa-IR"/>
                <w:rtl w:val="1"/>
              </w:rPr>
              <w:t>Ubuntu 24.04.5، سلامت systemd، فعال بودن UFW و دسترسی عمومی محدود به SSH</w:t>
            </w:r>
          </w:p>
        </w:tc>
        <w:tc>
          <w:tcPr>
            <w:tcW w:type="dxa" w:w="1800"/>
            <w:vAlign w:val="center"/>
            <w:tcMar>
              <w:top w:w="95" w:type="dxa"/>
              <w:start w:w="120" w:type="dxa"/>
              <w:bottom w:w="95" w:type="dxa"/>
              <w:end w:w="120" w:type="dxa"/>
            </w:tcMar>
            <w:shd w:fill="FFFFFF"/>
          </w:tcPr>
          <w:p>
            <w:pPr>
              <w:spacing w:after="0" w:line="252" w:lineRule="auto"/>
              <w:bidi w:val="1"/>
              <w:jc w:val="right"/>
            </w:pPr>
            <w:r>
              <w:rPr>
                <w:rFonts w:ascii="Tahoma" w:hAnsi="Tahoma" w:eastAsia="Tahoma" w:cs="Tahoma"/>
                <w:b w:val="0"/>
                <w:color w:val="000000"/>
                <w:sz w:val="17"/>
                <w:lang w:val="fa-IR" w:bidi="fa-IR"/>
                <w:rtl w:val="1"/>
              </w:rPr>
              <w:t>ارزیابی و آماده شده‌اند</w:t>
            </w:r>
          </w:p>
        </w:tc>
        <w:tc>
          <w:tcPr>
            <w:tcW w:type="dxa" w:w="1800"/>
            <w:vAlign w:val="center"/>
            <w:tcMar>
              <w:top w:w="95" w:type="dxa"/>
              <w:start w:w="120" w:type="dxa"/>
              <w:bottom w:w="95" w:type="dxa"/>
              <w:end w:w="120" w:type="dxa"/>
            </w:tcMar>
            <w:shd w:fill="FFFFFF"/>
          </w:tcPr>
          <w:p>
            <w:pPr>
              <w:spacing w:after="0" w:line="252" w:lineRule="auto"/>
              <w:bidi w:val="1"/>
              <w:jc w:val="right"/>
            </w:pPr>
            <w:r>
              <w:rPr>
                <w:rFonts w:ascii="Tahoma" w:hAnsi="Tahoma" w:eastAsia="Tahoma" w:cs="Tahoma"/>
                <w:b w:val="0"/>
                <w:color w:val="000000"/>
                <w:sz w:val="17"/>
                <w:lang w:val="fa-IR" w:bidi="fa-IR"/>
                <w:rtl w:val="1"/>
              </w:rPr>
              <w:t>چهار سرور</w:t>
            </w:r>
          </w:p>
        </w:tc>
      </w:tr>
      <w:tr>
        <w:tc>
          <w:tcPr>
            <w:tcW w:type="dxa" w:w="3384"/>
            <w:vAlign w:val="center"/>
            <w:tcMar>
              <w:top w:w="95" w:type="dxa"/>
              <w:start w:w="120" w:type="dxa"/>
              <w:bottom w:w="95" w:type="dxa"/>
              <w:end w:w="120" w:type="dxa"/>
            </w:tcMar>
            <w:shd w:fill="EAF2F8"/>
          </w:tcPr>
          <w:p>
            <w:pPr>
              <w:spacing w:after="0" w:line="252" w:lineRule="auto"/>
              <w:bidi w:val="1"/>
              <w:jc w:val="right"/>
            </w:pPr>
            <w:r>
              <w:rPr>
                <w:rFonts w:ascii="Tahoma" w:hAnsi="Tahoma" w:eastAsia="Tahoma" w:cs="Tahoma"/>
                <w:b w:val="0"/>
                <w:color w:val="000000"/>
                <w:sz w:val="17"/>
                <w:lang w:val="fa-IR" w:bidi="fa-IR"/>
                <w:rtl w:val="1"/>
              </w:rPr>
              <w:t>استقرار واحد سرویس و آزمون کیفیت، بار، خطا و قطع اینترنت</w:t>
            </w:r>
          </w:p>
        </w:tc>
        <w:tc>
          <w:tcPr>
            <w:tcW w:type="dxa" w:w="3240"/>
            <w:vAlign w:val="center"/>
            <w:tcMar>
              <w:top w:w="95" w:type="dxa"/>
              <w:start w:w="120" w:type="dxa"/>
              <w:bottom w:w="95" w:type="dxa"/>
              <w:end w:w="120" w:type="dxa"/>
            </w:tcMar>
            <w:shd w:fill="EAF2F8"/>
          </w:tcPr>
          <w:p>
            <w:pPr>
              <w:spacing w:after="0" w:line="252" w:lineRule="auto"/>
              <w:bidi w:val="1"/>
              <w:jc w:val="right"/>
            </w:pPr>
            <w:r>
              <w:rPr>
                <w:rFonts w:ascii="Tahoma" w:hAnsi="Tahoma" w:eastAsia="Tahoma" w:cs="Tahoma"/>
                <w:b w:val="0"/>
                <w:color w:val="000000"/>
                <w:sz w:val="17"/>
                <w:lang w:val="fa-IR" w:bidi="fa-IR"/>
                <w:rtl w:val="1"/>
              </w:rPr>
              <w:t>محیط اجرا و مدل تثبیت‌شده؛ تولید دوزبانه روی رابط محلی</w:t>
            </w:r>
          </w:p>
        </w:tc>
        <w:tc>
          <w:tcPr>
            <w:tcW w:type="dxa" w:w="1800"/>
            <w:vAlign w:val="center"/>
            <w:tcMar>
              <w:top w:w="95" w:type="dxa"/>
              <w:start w:w="120" w:type="dxa"/>
              <w:bottom w:w="95" w:type="dxa"/>
              <w:end w:w="120" w:type="dxa"/>
            </w:tcMar>
            <w:shd w:fill="EAF2F8"/>
          </w:tcPr>
          <w:p>
            <w:pPr>
              <w:spacing w:after="0" w:line="252" w:lineRule="auto"/>
              <w:bidi w:val="1"/>
              <w:jc w:val="right"/>
            </w:pPr>
            <w:r>
              <w:rPr>
                <w:rFonts w:ascii="Tahoma" w:hAnsi="Tahoma" w:eastAsia="Tahoma" w:cs="Tahoma"/>
                <w:b w:val="0"/>
                <w:color w:val="000000"/>
                <w:sz w:val="17"/>
                <w:lang w:val="fa-IR" w:bidi="fa-IR"/>
                <w:rtl w:val="1"/>
              </w:rPr>
              <w:t>آزمون مقدماتی موفق بوده است</w:t>
            </w:r>
          </w:p>
        </w:tc>
        <w:tc>
          <w:tcPr>
            <w:tcW w:type="dxa" w:w="1800"/>
            <w:vAlign w:val="center"/>
            <w:tcMar>
              <w:top w:w="95" w:type="dxa"/>
              <w:start w:w="120" w:type="dxa"/>
              <w:bottom w:w="95" w:type="dxa"/>
              <w:end w:w="120" w:type="dxa"/>
            </w:tcMar>
            <w:shd w:fill="EAF2F8"/>
          </w:tcPr>
          <w:p>
            <w:pPr>
              <w:spacing w:after="0" w:line="252" w:lineRule="auto"/>
              <w:bidi w:val="1"/>
              <w:jc w:val="right"/>
            </w:pPr>
            <w:r>
              <w:rPr>
                <w:rFonts w:ascii="Tahoma" w:hAnsi="Tahoma" w:eastAsia="Tahoma" w:cs="Tahoma"/>
                <w:b w:val="0"/>
                <w:color w:val="000000"/>
                <w:sz w:val="17"/>
                <w:lang w:val="fa-IR" w:bidi="fa-IR"/>
                <w:rtl w:val="1"/>
              </w:rPr>
              <w:t>پردازش مدل روی CPU</w:t>
            </w:r>
          </w:p>
        </w:tc>
      </w:tr>
      <w:tr>
        <w:tc>
          <w:tcPr>
            <w:tcW w:type="dxa" w:w="3384"/>
            <w:vAlign w:val="center"/>
            <w:tcMar>
              <w:top w:w="95" w:type="dxa"/>
              <w:start w:w="120" w:type="dxa"/>
              <w:bottom w:w="95" w:type="dxa"/>
              <w:end w:w="120" w:type="dxa"/>
            </w:tcMar>
            <w:shd w:fill="FFFFFF"/>
          </w:tcPr>
          <w:p>
            <w:pPr>
              <w:spacing w:after="0" w:line="252" w:lineRule="auto"/>
              <w:bidi w:val="1"/>
              <w:jc w:val="right"/>
            </w:pPr>
            <w:r>
              <w:rPr>
                <w:rFonts w:ascii="Tahoma" w:hAnsi="Tahoma" w:eastAsia="Tahoma" w:cs="Tahoma"/>
                <w:b w:val="0"/>
                <w:color w:val="000000"/>
                <w:sz w:val="17"/>
                <w:lang w:val="fa-IR" w:bidi="fa-IR"/>
                <w:rtl w:val="1"/>
              </w:rPr>
              <w:t>مقداردهی Zabbix و استقرار حساب و اتصال فقط‌خواندنی</w:t>
            </w:r>
          </w:p>
        </w:tc>
        <w:tc>
          <w:tcPr>
            <w:tcW w:type="dxa" w:w="3240"/>
            <w:vAlign w:val="center"/>
            <w:tcMar>
              <w:top w:w="95" w:type="dxa"/>
              <w:start w:w="120" w:type="dxa"/>
              <w:bottom w:w="95" w:type="dxa"/>
              <w:end w:w="120" w:type="dxa"/>
            </w:tcMar>
            <w:shd w:fill="FFFFFF"/>
          </w:tcPr>
          <w:p>
            <w:pPr>
              <w:spacing w:after="0" w:line="252" w:lineRule="auto"/>
              <w:bidi w:val="1"/>
              <w:jc w:val="right"/>
            </w:pPr>
            <w:r>
              <w:rPr>
                <w:rFonts w:ascii="Tahoma" w:hAnsi="Tahoma" w:eastAsia="Tahoma" w:cs="Tahoma"/>
                <w:b w:val="0"/>
                <w:color w:val="000000"/>
                <w:sz w:val="17"/>
                <w:lang w:val="fa-IR" w:bidi="fa-IR"/>
                <w:rtl w:val="1"/>
              </w:rPr>
              <w:t>اجزا نصب اما غیرفعال‌اند و محیط اتصال‌دهنده آماده است</w:t>
            </w:r>
          </w:p>
        </w:tc>
        <w:tc>
          <w:tcPr>
            <w:tcW w:type="dxa" w:w="1800"/>
            <w:vAlign w:val="center"/>
            <w:tcMar>
              <w:top w:w="95" w:type="dxa"/>
              <w:start w:w="120" w:type="dxa"/>
              <w:bottom w:w="95" w:type="dxa"/>
              <w:end w:w="120" w:type="dxa"/>
            </w:tcMar>
            <w:shd w:fill="FFFFFF"/>
          </w:tcPr>
          <w:p>
            <w:pPr>
              <w:spacing w:after="0" w:line="252" w:lineRule="auto"/>
              <w:bidi w:val="1"/>
              <w:jc w:val="right"/>
            </w:pPr>
            <w:r>
              <w:rPr>
                <w:rFonts w:ascii="Tahoma" w:hAnsi="Tahoma" w:eastAsia="Tahoma" w:cs="Tahoma"/>
                <w:b w:val="0"/>
                <w:color w:val="000000"/>
                <w:sz w:val="17"/>
                <w:lang w:val="fa-IR" w:bidi="fa-IR"/>
                <w:rtl w:val="1"/>
              </w:rPr>
              <w:t>فقط محیط نرم‌افزاری آماده است</w:t>
            </w:r>
          </w:p>
        </w:tc>
        <w:tc>
          <w:tcPr>
            <w:tcW w:type="dxa" w:w="1800"/>
            <w:vAlign w:val="center"/>
            <w:tcMar>
              <w:top w:w="95" w:type="dxa"/>
              <w:start w:w="120" w:type="dxa"/>
              <w:bottom w:w="95" w:type="dxa"/>
              <w:end w:w="120" w:type="dxa"/>
            </w:tcMar>
            <w:shd w:fill="FFFFFF"/>
          </w:tcPr>
          <w:p>
            <w:pPr>
              <w:spacing w:after="0" w:line="252" w:lineRule="auto"/>
              <w:bidi w:val="1"/>
              <w:jc w:val="right"/>
            </w:pPr>
            <w:r>
              <w:rPr>
                <w:rFonts w:ascii="Tahoma" w:hAnsi="Tahoma" w:eastAsia="Tahoma" w:cs="Tahoma"/>
                <w:b w:val="0"/>
                <w:color w:val="000000"/>
                <w:sz w:val="17"/>
                <w:lang w:val="fa-IR" w:bidi="fa-IR"/>
                <w:rtl w:val="1"/>
              </w:rPr>
              <w:t>Zabbix و اتصال‌دهنده</w:t>
            </w:r>
          </w:p>
        </w:tc>
      </w:tr>
      <w:tr>
        <w:tc>
          <w:tcPr>
            <w:tcW w:type="dxa" w:w="3384"/>
            <w:vAlign w:val="center"/>
            <w:tcMar>
              <w:top w:w="95" w:type="dxa"/>
              <w:start w:w="120" w:type="dxa"/>
              <w:bottom w:w="95" w:type="dxa"/>
              <w:end w:w="120" w:type="dxa"/>
            </w:tcMar>
            <w:shd w:fill="EAF2F8"/>
          </w:tcPr>
          <w:p>
            <w:pPr>
              <w:spacing w:after="0" w:line="252" w:lineRule="auto"/>
              <w:bidi w:val="1"/>
              <w:jc w:val="right"/>
            </w:pPr>
            <w:r>
              <w:rPr>
                <w:rFonts w:ascii="Tahoma" w:hAnsi="Tahoma" w:eastAsia="Tahoma" w:cs="Tahoma"/>
                <w:b w:val="0"/>
                <w:color w:val="000000"/>
                <w:sz w:val="17"/>
                <w:lang w:val="fa-IR" w:bidi="fa-IR"/>
                <w:rtl w:val="1"/>
              </w:rPr>
              <w:t>اثبات پاسخ تازه و مستند در شرایط قطع WAN</w:t>
            </w:r>
          </w:p>
        </w:tc>
        <w:tc>
          <w:tcPr>
            <w:tcW w:type="dxa" w:w="3240"/>
            <w:vAlign w:val="center"/>
            <w:tcMar>
              <w:top w:w="95" w:type="dxa"/>
              <w:start w:w="120" w:type="dxa"/>
              <w:bottom w:w="95" w:type="dxa"/>
              <w:end w:w="120" w:type="dxa"/>
            </w:tcMar>
            <w:shd w:fill="EAF2F8"/>
          </w:tcPr>
          <w:p>
            <w:pPr>
              <w:spacing w:after="0" w:line="252" w:lineRule="auto"/>
              <w:bidi w:val="1"/>
              <w:jc w:val="right"/>
            </w:pPr>
            <w:r>
              <w:rPr>
                <w:rFonts w:ascii="Tahoma" w:hAnsi="Tahoma" w:eastAsia="Tahoma" w:cs="Tahoma"/>
                <w:b w:val="0"/>
                <w:color w:val="000000"/>
                <w:sz w:val="17"/>
                <w:lang w:val="fa-IR" w:bidi="fa-IR"/>
                <w:rtl w:val="1"/>
              </w:rPr>
              <w:t>قراردادها و شرایط پذیرش مستند شده‌اند</w:t>
            </w:r>
          </w:p>
        </w:tc>
        <w:tc>
          <w:tcPr>
            <w:tcW w:type="dxa" w:w="1800"/>
            <w:vAlign w:val="center"/>
            <w:tcMar>
              <w:top w:w="95" w:type="dxa"/>
              <w:start w:w="120" w:type="dxa"/>
              <w:bottom w:w="95" w:type="dxa"/>
              <w:end w:w="120" w:type="dxa"/>
            </w:tcMar>
            <w:shd w:fill="EAF2F8"/>
          </w:tcPr>
          <w:p>
            <w:pPr>
              <w:spacing w:after="0" w:line="252" w:lineRule="auto"/>
              <w:bidi w:val="1"/>
              <w:jc w:val="right"/>
            </w:pPr>
            <w:r>
              <w:rPr>
                <w:rFonts w:ascii="Tahoma" w:hAnsi="Tahoma" w:eastAsia="Tahoma" w:cs="Tahoma"/>
                <w:b w:val="0"/>
                <w:color w:val="000000"/>
                <w:sz w:val="17"/>
                <w:lang w:val="fa-IR" w:bidi="fa-IR"/>
                <w:rtl w:val="1"/>
              </w:rPr>
              <w:t>هنوز اثبات نشده است</w:t>
            </w:r>
          </w:p>
        </w:tc>
        <w:tc>
          <w:tcPr>
            <w:tcW w:type="dxa" w:w="1800"/>
            <w:vAlign w:val="center"/>
            <w:tcMar>
              <w:top w:w="95" w:type="dxa"/>
              <w:start w:w="120" w:type="dxa"/>
              <w:bottom w:w="95" w:type="dxa"/>
              <w:end w:w="120" w:type="dxa"/>
            </w:tcMar>
            <w:shd w:fill="EAF2F8"/>
          </w:tcPr>
          <w:p>
            <w:pPr>
              <w:spacing w:after="0" w:line="252" w:lineRule="auto"/>
              <w:bidi w:val="1"/>
              <w:jc w:val="right"/>
            </w:pPr>
            <w:r>
              <w:rPr>
                <w:rFonts w:ascii="Tahoma" w:hAnsi="Tahoma" w:eastAsia="Tahoma" w:cs="Tahoma"/>
                <w:b w:val="0"/>
                <w:color w:val="000000"/>
                <w:sz w:val="17"/>
                <w:lang w:val="fa-IR" w:bidi="fa-IR"/>
                <w:rtl w:val="1"/>
              </w:rPr>
              <w:t>خروجی بدون اینترنت</w:t>
            </w:r>
          </w:p>
        </w:tc>
      </w:tr>
    </w:tbl>
    <w:p>
      <w:pPr>
        <w:spacing w:after="20"/>
      </w:pPr>
    </w:p>
    <w:p>
      <w:pPr>
        <w:pStyle w:val="Heading1"/>
        <w:spacing w:before="240" w:after="100"/>
        <w:keepNext/>
        <w:keepLines/>
        <w:bidi w:val="1"/>
        <w:jc w:val="right"/>
      </w:pPr>
      <w:r>
        <w:rPr>
          <w:rFonts w:ascii="Tahoma" w:hAnsi="Tahoma" w:eastAsia="Tahoma" w:cs="Tahoma"/>
          <w:b/>
          <w:color w:val="000000"/>
          <w:sz w:val="32"/>
          <w:lang w:val="fa-IR" w:bidi="fa-IR"/>
          <w:rtl w:val="1"/>
        </w:rPr>
        <w:t>آنچه تاکنون انجام شده است</w:t>
      </w:r>
    </w:p>
    <w:p>
      <w:pPr>
        <w:pStyle w:val="Heading2"/>
        <w:spacing w:before="160" w:after="100"/>
        <w:keepNext/>
        <w:keepLines/>
        <w:bidi w:val="1"/>
        <w:jc w:val="right"/>
      </w:pPr>
      <w:r>
        <w:rPr>
          <w:rFonts w:ascii="Tahoma" w:hAnsi="Tahoma" w:eastAsia="Tahoma" w:cs="Tahoma"/>
          <w:b/>
          <w:color w:val="000000"/>
          <w:sz w:val="25"/>
          <w:lang w:val="fa-IR" w:bidi="fa-IR"/>
          <w:rtl w:val="1"/>
        </w:rPr>
        <w:t>معماری الزامات و مرزهای ایمنی</w:t>
      </w:r>
    </w:p>
    <w:p>
      <w:pPr>
        <w:pStyle w:val="ListBullet"/>
        <w:spacing w:after="80" w:line="269" w:lineRule="auto"/>
        <w:keepNext w:val="0"/>
        <w:keepLines/>
        <w:bidi w:val="1"/>
        <w:ind w:right="288" w:left="0"/>
        <w:jc w:val="right"/>
      </w:pPr>
      <w:r>
        <w:rPr>
          <w:rFonts w:ascii="Tahoma" w:hAnsi="Tahoma" w:eastAsia="Tahoma" w:cs="Tahoma"/>
          <w:b w:val="0"/>
          <w:color w:val="000000"/>
          <w:sz w:val="20"/>
          <w:lang w:val="fa-IR" w:bidi="fa-IR"/>
          <w:rtl w:val="1"/>
        </w:rPr>
        <w:t>مالک پروژه مرحلهٔ صفر، مسیر تحویل 1A تا 1E و تصمیم‌های معماری 0001 تا 0006 را پذیرفته است.</w:t>
      </w:r>
    </w:p>
    <w:p>
      <w:pPr>
        <w:pStyle w:val="ListBullet"/>
        <w:spacing w:after="80" w:line="269" w:lineRule="auto"/>
        <w:keepNext w:val="0"/>
        <w:keepLines/>
        <w:bidi w:val="1"/>
        <w:ind w:right="288" w:left="0"/>
        <w:jc w:val="right"/>
      </w:pPr>
      <w:r>
        <w:rPr>
          <w:rFonts w:ascii="Tahoma" w:hAnsi="Tahoma" w:eastAsia="Tahoma" w:cs="Tahoma"/>
          <w:b w:val="0"/>
          <w:color w:val="000000"/>
          <w:sz w:val="20"/>
          <w:lang w:val="fa-IR" w:bidi="fa-IR"/>
          <w:rtl w:val="1"/>
        </w:rPr>
        <w:t>چهار ماشین مجازی اولیه در مجموع ۴۰ پردازندهٔ مجازی، ۱۸۴ گیبی‌بایت حافظه و ۹۸۰ گیبی‌بایت دیسک مجازی دارند.</w:t>
      </w:r>
    </w:p>
    <w:p>
      <w:pPr>
        <w:pStyle w:val="ListBullet"/>
        <w:spacing w:after="80" w:line="269" w:lineRule="auto"/>
        <w:keepNext w:val="0"/>
        <w:keepLines/>
        <w:bidi w:val="1"/>
        <w:ind w:right="288" w:left="0"/>
        <w:jc w:val="right"/>
      </w:pPr>
      <w:r>
        <w:rPr>
          <w:rFonts w:ascii="Tahoma" w:hAnsi="Tahoma" w:eastAsia="Tahoma" w:cs="Tahoma"/>
          <w:b w:val="0"/>
          <w:color w:val="000000"/>
          <w:sz w:val="20"/>
          <w:lang w:val="fa-IR" w:bidi="fa-IR"/>
          <w:rtl w:val="1"/>
        </w:rPr>
        <w:t>تولید پاسخ به‌طور کامل روی پردازندهٔ مرکزی محلی انجام می‌شود؛ سامانه به GPU وابسته نیست و مسیر جایگزین ابری ندارد.</w:t>
      </w:r>
    </w:p>
    <w:p>
      <w:pPr>
        <w:pStyle w:val="ListBullet"/>
        <w:spacing w:after="80" w:line="269" w:lineRule="auto"/>
        <w:keepNext w:val="0"/>
        <w:keepLines/>
        <w:bidi w:val="1"/>
        <w:ind w:right="288" w:left="0"/>
        <w:jc w:val="right"/>
      </w:pPr>
      <w:r>
        <w:rPr>
          <w:rFonts w:ascii="Tahoma" w:hAnsi="Tahoma" w:eastAsia="Tahoma" w:cs="Tahoma"/>
          <w:b w:val="0"/>
          <w:color w:val="000000"/>
          <w:sz w:val="20"/>
          <w:lang w:val="fa-IR" w:bidi="fa-IR"/>
          <w:rtl w:val="1"/>
        </w:rPr>
        <w:t>مرحلهٔ نخست فقط‌خواندنی است و مدل نه به اطلاعات ورود مقصد دسترسی دارد و نه اختیار تأیید تغییر را در اختیار می‌گیرد.</w:t>
      </w:r>
    </w:p>
    <w:p>
      <w:pPr>
        <w:pStyle w:val="Heading2"/>
        <w:spacing w:before="160" w:after="100"/>
        <w:keepNext/>
        <w:keepLines/>
        <w:bidi w:val="1"/>
        <w:jc w:val="right"/>
      </w:pPr>
      <w:r>
        <w:rPr>
          <w:rFonts w:ascii="Tahoma" w:hAnsi="Tahoma" w:eastAsia="Tahoma" w:cs="Tahoma"/>
          <w:b/>
          <w:color w:val="000000"/>
          <w:sz w:val="25"/>
          <w:lang w:val="fa-IR" w:bidi="fa-IR"/>
          <w:rtl w:val="1"/>
        </w:rPr>
        <w:t>پایهٔ نرم‌افزار و ساختار مخزن</w:t>
      </w:r>
    </w:p>
    <w:p>
      <w:pPr>
        <w:pStyle w:val="ListBullet"/>
        <w:spacing w:after="80" w:line="269" w:lineRule="auto"/>
        <w:keepNext w:val="0"/>
        <w:keepLines/>
        <w:bidi w:val="1"/>
        <w:ind w:right="288" w:left="0"/>
        <w:jc w:val="right"/>
      </w:pPr>
      <w:r>
        <w:rPr>
          <w:rFonts w:ascii="Tahoma" w:hAnsi="Tahoma" w:eastAsia="Tahoma" w:cs="Tahoma"/>
          <w:b w:val="0"/>
          <w:color w:val="000000"/>
          <w:sz w:val="20"/>
          <w:lang w:val="fa-IR" w:bidi="fa-IR"/>
          <w:rtl w:val="1"/>
        </w:rPr>
        <w:t>مرحلهٔ 1A هویت مبتنی بر Argon2id، نشست‌های امن، PostgreSQL و Alembic، اجرای ماندگار و تکرارپذیر کارها، مهلت منقضی‌شوندهٔ مالکیت کار، سابقهٔ ممیزی صرفاً‌افزودنی و API احرازهویت‌شده با FastAPI را فراهم کرده است.</w:t>
      </w:r>
    </w:p>
    <w:p>
      <w:pPr>
        <w:pStyle w:val="ListBullet"/>
        <w:spacing w:after="80" w:line="269" w:lineRule="auto"/>
        <w:keepNext w:val="0"/>
        <w:keepLines/>
        <w:bidi w:val="1"/>
        <w:ind w:right="288" w:left="0"/>
        <w:jc w:val="right"/>
      </w:pPr>
      <w:r>
        <w:rPr>
          <w:rFonts w:ascii="Tahoma" w:hAnsi="Tahoma" w:eastAsia="Tahoma" w:cs="Tahoma"/>
          <w:b w:val="0"/>
          <w:color w:val="000000"/>
          <w:sz w:val="20"/>
          <w:lang w:val="fa-IR" w:bidi="fa-IR"/>
          <w:rtl w:val="1"/>
        </w:rPr>
        <w:t>مرحلهٔ 1B قرارداد LLMProvider، مرزهای احرازهویت‌شدهٔ پردازش مدل، رابط محلی llama.cpp، صف یک درخواست فعال و دو درخواست در انتظار، محدودیت ورودی و خروجی، لغو درخواست، بررسی ایمن آمادگی و خطاهای روشن را پیاده کرده است.</w:t>
      </w:r>
    </w:p>
    <w:p>
      <w:pPr>
        <w:pStyle w:val="ListBullet"/>
        <w:spacing w:after="80" w:line="269" w:lineRule="auto"/>
        <w:keepNext w:val="0"/>
        <w:keepLines/>
        <w:bidi w:val="1"/>
        <w:ind w:right="288" w:left="0"/>
        <w:jc w:val="right"/>
      </w:pPr>
      <w:r>
        <w:rPr>
          <w:rFonts w:ascii="Tahoma" w:hAnsi="Tahoma" w:eastAsia="Tahoma" w:cs="Tahoma"/>
          <w:b w:val="0"/>
          <w:color w:val="000000"/>
          <w:sz w:val="20"/>
          <w:lang w:val="fa-IR" w:bidi="fa-IR"/>
          <w:rtl w:val="1"/>
        </w:rPr>
        <w:t>چهار پروندهٔ استقرار همراه با طرح‌واره و نصب‌کننده‌های محافظت‌شده، شیوهٔ تحویل هر نقش را بدون انتشار شناسه یا اطلاعات ورود خصوصی مشخص می‌کنند.</w:t>
      </w:r>
    </w:p>
    <w:p>
      <w:pPr>
        <w:pStyle w:val="Heading2"/>
        <w:spacing w:before="160" w:after="100"/>
        <w:keepNext/>
        <w:keepLines/>
        <w:bidi w:val="1"/>
        <w:jc w:val="right"/>
      </w:pPr>
      <w:r>
        <w:rPr>
          <w:rFonts w:ascii="Tahoma" w:hAnsi="Tahoma" w:eastAsia="Tahoma" w:cs="Tahoma"/>
          <w:b/>
          <w:color w:val="000000"/>
          <w:sz w:val="25"/>
          <w:lang w:val="fa-IR" w:bidi="fa-IR"/>
          <w:rtl w:val="1"/>
        </w:rPr>
        <w:t>آماده‌سازی و ارزیابی اولیهٔ سرورها</w:t>
      </w:r>
    </w:p>
    <w:p>
      <w:pPr>
        <w:pStyle w:val="ListBullet"/>
        <w:spacing w:after="80" w:line="269" w:lineRule="auto"/>
        <w:keepNext w:val="0"/>
        <w:keepLines/>
        <w:bidi w:val="1"/>
        <w:ind w:right="288" w:left="0"/>
        <w:jc w:val="right"/>
      </w:pPr>
      <w:r>
        <w:rPr>
          <w:rFonts w:ascii="Tahoma" w:hAnsi="Tahoma" w:eastAsia="Tahoma" w:cs="Tahoma"/>
          <w:b w:val="0"/>
          <w:color w:val="000000"/>
          <w:sz w:val="20"/>
          <w:lang w:val="fa-IR" w:bidi="fa-IR"/>
          <w:rtl w:val="1"/>
        </w:rPr>
        <w:t>هر چهار مهمان Ubuntu 24.04.5 LTS از نظر کلید میزبان، احراز هویت صرفاً با کلید، ممنوع بودن ورود مستقیم root، منابع، دیسک‌ها، زمان، VMware Tools، دیوارهٔ آتش، درگاه‌های شنونده، به‌روزرسانی، نیاز به راه‌اندازی مجدد و سلامت سیستم بررسی شده‌اند.</w:t>
      </w:r>
    </w:p>
    <w:p>
      <w:pPr>
        <w:pStyle w:val="ListBullet"/>
        <w:spacing w:after="80" w:line="269" w:lineRule="auto"/>
        <w:keepNext w:val="0"/>
        <w:keepLines/>
        <w:bidi w:val="1"/>
        <w:ind w:right="288" w:left="0"/>
        <w:jc w:val="right"/>
      </w:pPr>
      <w:r>
        <w:rPr>
          <w:rFonts w:ascii="Tahoma" w:hAnsi="Tahoma" w:eastAsia="Tahoma" w:cs="Tahoma"/>
          <w:b w:val="0"/>
          <w:color w:val="000000"/>
          <w:sz w:val="20"/>
          <w:lang w:val="fa-IR" w:bidi="fa-IR"/>
          <w:rtl w:val="1"/>
        </w:rPr>
        <w:t>بسته‌های هر نقش از مسیر زنجیرهٔ پراکسی موجود و بدون ارتقای کلی سیستم‌عامل نصب شدند. راه‌اندازی خودکار سرویس‌ها و ایجاد خودکار خوشهٔ PostgreSQL نیز مسدود شد.</w:t>
      </w:r>
    </w:p>
    <w:p>
      <w:pPr>
        <w:pStyle w:val="ListBullet"/>
        <w:spacing w:after="80" w:line="269" w:lineRule="auto"/>
        <w:keepNext w:val="0"/>
        <w:keepLines/>
        <w:bidi w:val="1"/>
        <w:ind w:right="288" w:left="0"/>
        <w:jc w:val="right"/>
      </w:pPr>
      <w:r>
        <w:rPr>
          <w:rFonts w:ascii="Tahoma" w:hAnsi="Tahoma" w:eastAsia="Tahoma" w:cs="Tahoma"/>
          <w:b w:val="0"/>
          <w:color w:val="000000"/>
          <w:sz w:val="20"/>
          <w:lang w:val="fa-IR" w:bidi="fa-IR"/>
          <w:rtl w:val="1"/>
        </w:rPr>
        <w:t>سرور برنامه PostgreSQL 16.15 و Nginx 1.24 دارد. سرور هوش مصنوعی به GCC 13.3، CMake 3.28، Ninja 1.11، OpenBLAS 0.3.26 و uv 0.12.17 مجهز است. سرور اتصال‌دهنده از محیط مجازی Python 3.12 پشتیبانی می‌کند. سرور پایش نیز Zabbix 7.0.30، PostgreSQL 16.15، Nginx 1.24، PHP 8.3.6، رابط وب، اسکریپت‌های SQL و Agent 2 را در اختیار دارد.</w:t>
      </w:r>
    </w:p>
    <w:p>
      <w:pPr>
        <w:pStyle w:val="ListBullet"/>
        <w:spacing w:after="80" w:line="269" w:lineRule="auto"/>
        <w:keepNext w:val="0"/>
        <w:keepLines/>
        <w:bidi w:val="1"/>
        <w:ind w:right="288" w:left="0"/>
        <w:jc w:val="right"/>
      </w:pPr>
      <w:r>
        <w:rPr>
          <w:rFonts w:ascii="Tahoma" w:hAnsi="Tahoma" w:eastAsia="Tahoma" w:cs="Tahoma"/>
          <w:b w:val="0"/>
          <w:color w:val="000000"/>
          <w:sz w:val="20"/>
          <w:lang w:val="fa-IR" w:bidi="fa-IR"/>
          <w:rtl w:val="1"/>
        </w:rPr>
        <w:t>شناسه‌های سیستمیِ بدون امکان ورود و مسیرهای محافظت‌شده ساخته شده‌اند و سرویس‌های برنامه، پایگاه داده و وب طبق برنامه همچنان متوقف و غیرفعال‌اند.</w:t>
      </w:r>
    </w:p>
    <w:p>
      <w:pPr>
        <w:pStyle w:val="ListBullet"/>
        <w:spacing w:after="80" w:line="269" w:lineRule="auto"/>
        <w:keepNext w:val="0"/>
        <w:keepLines/>
        <w:bidi w:val="1"/>
        <w:ind w:right="288" w:left="0"/>
        <w:jc w:val="right"/>
      </w:pPr>
      <w:r>
        <w:rPr>
          <w:rFonts w:ascii="Tahoma" w:hAnsi="Tahoma" w:eastAsia="Tahoma" w:cs="Tahoma"/>
          <w:b w:val="0"/>
          <w:color w:val="000000"/>
          <w:sz w:val="20"/>
          <w:lang w:val="fa-IR" w:bidi="fa-IR"/>
          <w:rtl w:val="1"/>
        </w:rPr>
        <w:t>Docker نصب نشد، زیرا معماری فعلی بر بسته‌های بومی و systemd متکی است و سوکت Docker بدون نیاز فنی، دامنهٔ دسترسی ممتاز را گسترش می‌دهد.</w:t>
      </w:r>
    </w:p>
    <w:p>
      <w:pPr>
        <w:pStyle w:val="Heading2"/>
        <w:spacing w:before="160" w:after="100"/>
        <w:keepNext/>
        <w:keepLines/>
        <w:bidi w:val="1"/>
        <w:jc w:val="right"/>
      </w:pPr>
      <w:r>
        <w:rPr>
          <w:rFonts w:ascii="Tahoma" w:hAnsi="Tahoma" w:eastAsia="Tahoma" w:cs="Tahoma"/>
          <w:b/>
          <w:color w:val="000000"/>
          <w:sz w:val="25"/>
          <w:lang w:val="fa-IR" w:bidi="fa-IR"/>
          <w:rtl w:val="1"/>
        </w:rPr>
        <w:t>شواهد اجرای مدل محلی روی پردازندهٔ مرکزی</w:t>
      </w:r>
    </w:p>
    <w:p>
      <w:pPr>
        <w:pStyle w:val="ListBullet"/>
        <w:spacing w:after="80" w:line="269" w:lineRule="auto"/>
        <w:keepNext w:val="0"/>
        <w:keepLines/>
        <w:bidi w:val="1"/>
        <w:ind w:right="288" w:left="0"/>
        <w:jc w:val="right"/>
      </w:pPr>
      <w:r>
        <w:rPr>
          <w:rFonts w:ascii="Tahoma" w:hAnsi="Tahoma" w:eastAsia="Tahoma" w:cs="Tahoma"/>
          <w:b w:val="0"/>
          <w:color w:val="000000"/>
          <w:sz w:val="20"/>
          <w:lang w:val="fa-IR" w:bidi="fa-IR"/>
          <w:rtl w:val="1"/>
        </w:rPr>
        <w:t>نسخهٔ تثبیت‌شدهٔ llama.cpp در حالت Release، با بهینه‌سازی بومی CPU، OpenMP و OpenBLAS و بدون پیوند به GPU ساخته شد. چکیدهٔ فایل اجرایی نهایی در فهرست اقلام پردازش مدل ثبت شده است.</w:t>
      </w:r>
    </w:p>
    <w:p>
      <w:pPr>
        <w:pStyle w:val="ListBullet"/>
        <w:spacing w:after="80" w:line="269" w:lineRule="auto"/>
        <w:keepNext w:val="0"/>
        <w:keepLines/>
        <w:bidi w:val="1"/>
        <w:ind w:right="288" w:left="0"/>
        <w:jc w:val="right"/>
      </w:pPr>
      <w:r>
        <w:rPr>
          <w:rFonts w:ascii="Tahoma" w:hAnsi="Tahoma" w:eastAsia="Tahoma" w:cs="Tahoma"/>
          <w:b w:val="0"/>
          <w:color w:val="000000"/>
          <w:sz w:val="20"/>
          <w:lang w:val="fa-IR" w:bidi="fa-IR"/>
          <w:rtl w:val="1"/>
        </w:rPr>
        <w:t>فایل Qwen3-8B-Q4_K_M برابر ۵٬۰۲۷٬۷۸۳٬۴۸۸ بایت است و مقدار SHA-256 آن پیش و پس از انتقال به فضای محافظت‌شده یکسان بود.</w:t>
      </w:r>
    </w:p>
    <w:p>
      <w:pPr>
        <w:pStyle w:val="ListBullet"/>
        <w:spacing w:after="80" w:line="269" w:lineRule="auto"/>
        <w:keepNext w:val="0"/>
        <w:keepLines/>
        <w:bidi w:val="1"/>
        <w:ind w:right="288" w:left="0"/>
        <w:jc w:val="right"/>
      </w:pPr>
      <w:r>
        <w:rPr>
          <w:rFonts w:ascii="Tahoma" w:hAnsi="Tahoma" w:eastAsia="Tahoma" w:cs="Tahoma"/>
          <w:b w:val="0"/>
          <w:color w:val="000000"/>
          <w:sz w:val="20"/>
          <w:lang w:val="fa-IR" w:bidi="fa-IR"/>
          <w:rtl w:val="1"/>
        </w:rPr>
        <w:t>یک سرویس موقت و احرازهویت‌شده فقط روی رابط محلی اجرا شد؛ ظرفیت آن یک درخواست هم‌زمان، پنجرهٔ متن آن 8K، تعداد لایه‌های GPU آن صفر و رابط وب آن غیرفعال بود. راه‌اندازی سرد ۷ ثانیه طول کشید؛ READY در ۶۳۰ میلی‌ثانیه و آماده در ۱۴۳۱ میلی‌ثانیه دریافت شد. پس از توقف نیز هیچ فرایند یا درگاه شنونده‌ای باقی نماند.</w:t>
      </w:r>
    </w:p>
    <w:p>
      <w:pPr>
        <w:pStyle w:val="ListBullet"/>
        <w:spacing w:after="80" w:line="269" w:lineRule="auto"/>
        <w:keepNext w:val="0"/>
        <w:keepLines/>
        <w:bidi w:val="1"/>
        <w:ind w:right="288" w:left="0"/>
        <w:jc w:val="right"/>
      </w:pPr>
      <w:r>
        <w:rPr>
          <w:rFonts w:ascii="Tahoma" w:hAnsi="Tahoma" w:eastAsia="Tahoma" w:cs="Tahoma"/>
          <w:b w:val="0"/>
          <w:color w:val="000000"/>
          <w:sz w:val="20"/>
          <w:lang w:val="fa-IR" w:bidi="fa-IR"/>
          <w:rtl w:val="1"/>
        </w:rPr>
        <w:t>این نتیجه تنها شواهد یک آزمون مقدماتی محدود است و به معنای پذیرش عملیاتی، تأیید کیفیت، آزمون بار پایدار، اثبات بازیابی یا پذیرش کارکرد در شرایط قطع اینترنت نیست.</w:t>
      </w:r>
    </w:p>
    <w:p>
      <w:pPr>
        <w:pStyle w:val="Heading2"/>
        <w:spacing w:before="160" w:after="100"/>
        <w:keepNext/>
        <w:keepLines/>
        <w:bidi w:val="1"/>
        <w:jc w:val="right"/>
      </w:pPr>
      <w:r>
        <w:rPr>
          <w:rFonts w:ascii="Tahoma" w:hAnsi="Tahoma" w:eastAsia="Tahoma" w:cs="Tahoma"/>
          <w:b/>
          <w:color w:val="000000"/>
          <w:sz w:val="25"/>
          <w:lang w:val="fa-IR" w:bidi="fa-IR"/>
          <w:rtl w:val="1"/>
        </w:rPr>
        <w:t>نتایج آزمون و اعتبارسنجی</w:t>
      </w:r>
    </w:p>
    <w:p>
      <w:pPr>
        <w:pStyle w:val="ListBullet"/>
        <w:spacing w:after="80" w:line="269" w:lineRule="auto"/>
        <w:keepNext w:val="0"/>
        <w:keepLines/>
        <w:bidi w:val="1"/>
        <w:ind w:right="288" w:left="0"/>
        <w:jc w:val="right"/>
      </w:pPr>
      <w:r>
        <w:rPr>
          <w:rFonts w:ascii="Tahoma" w:hAnsi="Tahoma" w:eastAsia="Tahoma" w:cs="Tahoma"/>
          <w:b w:val="0"/>
          <w:color w:val="000000"/>
          <w:sz w:val="20"/>
          <w:lang w:val="fa-IR" w:bidi="fa-IR"/>
          <w:rtl w:val="1"/>
        </w:rPr>
        <w:t>قالب‌بندی کد، تحلیل ایستا، بررسی سخت‌گیرانهٔ نوع‌ها، مستندات، پرونده‌های استقرار، فایل‌های پردازش مدل و نصب‌کننده‌ها برای نسخهٔ بازبینی‌شده با موفقیت اعتبارسنجی شدند.</w:t>
      </w:r>
    </w:p>
    <w:p>
      <w:pPr>
        <w:pStyle w:val="ListBullet"/>
        <w:spacing w:after="80" w:line="269" w:lineRule="auto"/>
        <w:keepNext w:val="0"/>
        <w:keepLines/>
        <w:bidi w:val="1"/>
        <w:ind w:right="288" w:left="0"/>
        <w:jc w:val="right"/>
      </w:pPr>
      <w:r>
        <w:rPr>
          <w:rFonts w:ascii="Tahoma" w:hAnsi="Tahoma" w:eastAsia="Tahoma" w:cs="Tahoma"/>
          <w:b w:val="0"/>
          <w:color w:val="000000"/>
          <w:sz w:val="20"/>
          <w:lang w:val="fa-IR" w:bidi="fa-IR"/>
          <w:rtl w:val="1"/>
        </w:rPr>
        <w:t>در محیط رومیزی، هر ۷۱ آزمون غیر یکپارچه موفق بود. پنج آزمون پایگاه داده به‌دلیل در دسترس نبودن نشانی PostgreSQL محلی اجرا نشد.</w:t>
      </w:r>
    </w:p>
    <w:p>
      <w:pPr>
        <w:pStyle w:val="ListBullet"/>
        <w:spacing w:after="80" w:line="269" w:lineRule="auto"/>
        <w:keepNext w:val="0"/>
        <w:keepLines/>
        <w:bidi w:val="1"/>
        <w:ind w:right="288" w:left="0"/>
        <w:jc w:val="right"/>
      </w:pPr>
      <w:r>
        <w:rPr>
          <w:rFonts w:ascii="Tahoma" w:hAnsi="Tahoma" w:eastAsia="Tahoma" w:cs="Tahoma"/>
          <w:b w:val="0"/>
          <w:color w:val="000000"/>
          <w:sz w:val="20"/>
          <w:lang w:val="fa-IR" w:bidi="fa-IR"/>
          <w:rtl w:val="1"/>
        </w:rPr>
        <w:t>روی سرور برنامه، همان نسخه بررسی‌های قالب‌بندی، تحلیل ایستا و نوع‌ها را گذراند. هر ۷۱ آزمون غیر یکپارچه و هر پنج آزمون یکپارچه‌سازی روی یک خوشهٔ موقت و جداشدهٔ PostgreSQL 16.15 موفق بود؛ خوشه پس از پایان آزمون حذف شد.</w:t>
      </w:r>
    </w:p>
    <w:p>
      <w:pPr>
        <w:pStyle w:val="Heading1"/>
        <w:spacing w:before="240" w:after="100"/>
        <w:keepNext/>
        <w:keepLines/>
        <w:bidi w:val="1"/>
        <w:jc w:val="right"/>
      </w:pPr>
      <w:r>
        <w:rPr>
          <w:rFonts w:ascii="Tahoma" w:hAnsi="Tahoma" w:eastAsia="Tahoma" w:cs="Tahoma"/>
          <w:b/>
          <w:color w:val="000000"/>
          <w:sz w:val="32"/>
          <w:lang w:val="fa-IR" w:bidi="fa-IR"/>
          <w:rtl w:val="1"/>
        </w:rPr>
        <w:t>کارهای باقی‌مانده تا تحویل</w:t>
      </w:r>
    </w:p>
    <w:p>
      <w:pPr>
        <w:pStyle w:val="Heading2"/>
        <w:spacing w:before="160" w:after="100"/>
        <w:keepNext/>
        <w:keepLines/>
        <w:bidi w:val="1"/>
        <w:jc w:val="right"/>
      </w:pPr>
      <w:r>
        <w:rPr>
          <w:rFonts w:ascii="Tahoma" w:hAnsi="Tahoma" w:eastAsia="Tahoma" w:cs="Tahoma"/>
          <w:b/>
          <w:color w:val="000000"/>
          <w:sz w:val="25"/>
          <w:lang w:val="fa-IR" w:bidi="fa-IR"/>
          <w:rtl w:val="1"/>
        </w:rPr>
        <w:t>آماده‌سازی سرویس پردازش مدل در مرحلهٔ 1B</w:t>
      </w:r>
    </w:p>
    <w:p>
      <w:pPr>
        <w:spacing w:after="140" w:line="283" w:lineRule="auto"/>
        <w:keepNext w:val="0"/>
        <w:keepLines/>
        <w:bidi w:val="1"/>
        <w:jc w:val="right"/>
      </w:pPr>
      <w:r>
        <w:rPr>
          <w:rFonts w:ascii="Tahoma" w:hAnsi="Tahoma" w:eastAsia="Tahoma" w:cs="Tahoma"/>
          <w:b w:val="0"/>
          <w:color w:val="000000"/>
          <w:sz w:val="21"/>
          <w:lang w:val="fa-IR" w:bidi="fa-IR"/>
          <w:rtl w:val="1"/>
        </w:rPr>
        <w:t>واحد بازبینی‌شدهٔ nextops-ai و پیکربندی متعلق به root نصب شود؛ سرویس فقط روی رابط محلی در دسترس باشد؛ اطلاعات محرمانه به‌شکل ایمن ارجاع داده شوند؛ محدودیت‌های CPU و حافظه اعمال شود؛ و احراز هویت، سلامت سرویس، راه‌اندازی مجدد، ثبت گزارش، ازدحام، لغو، پایان مهلت، بازگشت نسخه، کیفیت دوزبانه، بار و راه‌اندازی سرد در شرایط قطع اینترنت آزموده شوند.</w:t>
      </w:r>
    </w:p>
    <w:p>
      <w:pPr>
        <w:pStyle w:val="Heading2"/>
        <w:spacing w:before="160" w:after="100"/>
        <w:keepNext/>
        <w:keepLines/>
        <w:bidi w:val="1"/>
        <w:jc w:val="right"/>
      </w:pPr>
      <w:r>
        <w:rPr>
          <w:rFonts w:ascii="Tahoma" w:hAnsi="Tahoma" w:eastAsia="Tahoma" w:cs="Tahoma"/>
          <w:b/>
          <w:color w:val="000000"/>
          <w:sz w:val="25"/>
          <w:lang w:val="fa-IR" w:bidi="fa-IR"/>
          <w:rtl w:val="1"/>
        </w:rPr>
        <w:t>استقرار برنامه و پایگاه داده در مرحلهٔ 1A</w:t>
      </w:r>
    </w:p>
    <w:p>
      <w:pPr>
        <w:spacing w:after="140" w:line="283" w:lineRule="auto"/>
        <w:keepNext w:val="0"/>
        <w:keepLines/>
        <w:bidi w:val="1"/>
        <w:jc w:val="right"/>
      </w:pPr>
      <w:r>
        <w:rPr>
          <w:rFonts w:ascii="Tahoma" w:hAnsi="Tahoma" w:eastAsia="Tahoma" w:cs="Tahoma"/>
          <w:b w:val="0"/>
          <w:color w:val="000000"/>
          <w:sz w:val="21"/>
          <w:lang w:val="fa-IR" w:bidi="fa-IR"/>
          <w:rtl w:val="1"/>
        </w:rPr>
        <w:t>نسخهٔ آفلاین برنامه بسته‌بندی شود؛ PostgreSQL 16 روی محل اختصاصی دیسک مقداردهی اولیه شود؛ نقش‌های کم‌دسترسی ساخته شوند؛ مهاجرت‌های پایگاه داده اجرا شوند؛ هویت محلی اولیه ایجاد شود؛ و سرویس‌های API و پردازشگر پس‌زمینه مستقر شوند. Nginx و TLS، رابط مرورگر، تحویل امن اطلاعات محرمانه، پشتیبان‌گیری، بازیابی و بازگشت نسخه نیز تکمیل شوند.</w:t>
      </w:r>
    </w:p>
    <w:p>
      <w:pPr>
        <w:pStyle w:val="Heading2"/>
        <w:spacing w:before="160" w:after="100"/>
        <w:keepNext/>
        <w:keepLines/>
        <w:bidi w:val="1"/>
        <w:jc w:val="right"/>
      </w:pPr>
      <w:r>
        <w:rPr>
          <w:rFonts w:ascii="Tahoma" w:hAnsi="Tahoma" w:eastAsia="Tahoma" w:cs="Tahoma"/>
          <w:b/>
          <w:color w:val="000000"/>
          <w:sz w:val="25"/>
          <w:lang w:val="fa-IR" w:bidi="fa-IR"/>
          <w:rtl w:val="1"/>
        </w:rPr>
        <w:t>راه‌اندازی Zabbix به‌عنوان پیش‌نیاز اتصال</w:t>
      </w:r>
    </w:p>
    <w:p>
      <w:pPr>
        <w:spacing w:after="140" w:line="283" w:lineRule="auto"/>
        <w:keepNext w:val="0"/>
        <w:keepLines/>
        <w:bidi w:val="1"/>
        <w:jc w:val="right"/>
      </w:pPr>
      <w:r>
        <w:rPr>
          <w:rFonts w:ascii="Tahoma" w:hAnsi="Tahoma" w:eastAsia="Tahoma" w:cs="Tahoma"/>
          <w:b w:val="0"/>
          <w:color w:val="000000"/>
          <w:sz w:val="21"/>
          <w:lang w:val="fa-IR" w:bidi="fa-IR"/>
          <w:rtl w:val="1"/>
        </w:rPr>
        <w:t>پایگاه Zabbix مقداردهی اولیه و طرح‌وارهٔ آن وارد شود؛ Zabbix Server، Nginx، PHP-FPM و Agent 2 پیکربندی شوند؛ مسیر بازیابی مدیر محلی، پایش خود سامانه، سنجش نگه‌داری داده بر پایهٔ رشد واقعی و حساب API فقط‌خواندنی با کمترین سطح دسترسی برقرار شوند.</w:t>
      </w:r>
    </w:p>
    <w:p>
      <w:pPr>
        <w:pStyle w:val="Heading2"/>
        <w:spacing w:before="160" w:after="100"/>
        <w:keepNext/>
        <w:keepLines/>
        <w:bidi w:val="1"/>
        <w:jc w:val="right"/>
      </w:pPr>
      <w:r>
        <w:rPr>
          <w:rFonts w:ascii="Tahoma" w:hAnsi="Tahoma" w:eastAsia="Tahoma" w:cs="Tahoma"/>
          <w:b/>
          <w:color w:val="000000"/>
          <w:sz w:val="25"/>
          <w:lang w:val="fa-IR" w:bidi="fa-IR"/>
          <w:rtl w:val="1"/>
        </w:rPr>
        <w:t>استقرار اتصال‌دهندهٔ فقط‌خواندنی و تولید نخستین پاسخ مستند</w:t>
      </w:r>
    </w:p>
    <w:p>
      <w:pPr>
        <w:spacing w:after="140" w:line="283" w:lineRule="auto"/>
        <w:keepNext w:val="0"/>
        <w:keepLines/>
        <w:bidi w:val="1"/>
        <w:jc w:val="right"/>
      </w:pPr>
      <w:r>
        <w:rPr>
          <w:rFonts w:ascii="Tahoma" w:hAnsi="Tahoma" w:eastAsia="Tahoma" w:cs="Tahoma"/>
          <w:b w:val="0"/>
          <w:color w:val="000000"/>
          <w:sz w:val="21"/>
          <w:lang w:val="fa-IR" w:bidi="fa-IR"/>
          <w:rtl w:val="1"/>
        </w:rPr>
        <w:t>درگاه و اجراکنندهٔ جداشدهٔ Zabbix مستقر شوند. توکن محدود فقط در اختیار همان اجراکننده باشد؛ تنها روش‌های خواندنِ ازپیش‌فهرست‌شده مجاز باشند؛ و اندازه و زمان پاسخ محدود شود. سپس یک پرسش تازهٔ فارسی و انگلیسی با شواهد جاری Zabbix، توضیح مدل محلی، زمان منبع، دامنه و سابقهٔ ممیزی نمایش داده شود.</w:t>
      </w:r>
    </w:p>
    <w:p>
      <w:pPr>
        <w:pStyle w:val="Heading2"/>
        <w:spacing w:before="160" w:after="100"/>
        <w:keepNext/>
        <w:keepLines/>
        <w:bidi w:val="1"/>
        <w:jc w:val="right"/>
      </w:pPr>
      <w:r>
        <w:rPr>
          <w:rFonts w:ascii="Tahoma" w:hAnsi="Tahoma" w:eastAsia="Tahoma" w:cs="Tahoma"/>
          <w:b/>
          <w:color w:val="000000"/>
          <w:sz w:val="25"/>
          <w:lang w:val="fa-IR" w:bidi="fa-IR"/>
          <w:rtl w:val="1"/>
        </w:rPr>
        <w:t>آزمون کارکرد بدون اینترنت و بازیابی</w:t>
      </w:r>
    </w:p>
    <w:p>
      <w:pPr>
        <w:spacing w:after="140" w:line="283" w:lineRule="auto"/>
        <w:keepNext w:val="0"/>
        <w:keepLines/>
        <w:bidi w:val="1"/>
        <w:jc w:val="right"/>
      </w:pPr>
      <w:r>
        <w:rPr>
          <w:rFonts w:ascii="Tahoma" w:hAnsi="Tahoma" w:eastAsia="Tahoma" w:cs="Tahoma"/>
          <w:b w:val="0"/>
          <w:color w:val="000000"/>
          <w:sz w:val="21"/>
          <w:lang w:val="fa-IR" w:bidi="fa-IR"/>
          <w:rtl w:val="1"/>
        </w:rPr>
        <w:t>در شرایط قطع WAN، راه‌اندازی سرد همهٔ سرویس‌ها، ورود تازهٔ محلی، رفتار در برابر توکن باطل و مقصد خارج از دسترس، برچسب دادهٔ قدیمی، کمبود فضای دیسک، محدودیت منابع، پشتیبان‌گیری مستقل، بازیابی و بازگشت نسخه روی هر چهار سرور و یک دستگاه کاربر تازه اثبات شوند.</w:t>
      </w:r>
    </w:p>
    <w:p>
      <w:pPr>
        <w:pStyle w:val="Heading1"/>
        <w:spacing w:before="240" w:after="100"/>
        <w:keepNext/>
        <w:keepLines/>
        <w:bidi w:val="1"/>
        <w:jc w:val="right"/>
      </w:pPr>
      <w:r>
        <w:rPr>
          <w:rFonts w:ascii="Tahoma" w:hAnsi="Tahoma" w:eastAsia="Tahoma" w:cs="Tahoma"/>
          <w:b/>
          <w:color w:val="000000"/>
          <w:sz w:val="32"/>
          <w:lang w:val="fa-IR" w:bidi="fa-IR"/>
          <w:rtl w:val="1"/>
        </w:rPr>
        <w:t>ترتیب پیشنهادی برای ادامه</w:t>
      </w:r>
    </w:p>
    <w:p>
      <w:pPr>
        <w:spacing w:after="100" w:line="269" w:lineRule="auto"/>
        <w:keepNext w:val="0"/>
        <w:keepLines/>
        <w:bidi w:val="1"/>
        <w:ind w:right="288" w:left="0"/>
        <w:jc w:val="right"/>
      </w:pPr>
      <w:r>
        <w:rPr>
          <w:rFonts w:ascii="Tahoma" w:hAnsi="Tahoma" w:eastAsia="Tahoma" w:cs="Tahoma"/>
          <w:b w:val="0"/>
          <w:color w:val="000000"/>
          <w:sz w:val="20"/>
          <w:lang w:val="fa-IR" w:bidi="fa-IR"/>
          <w:rtl w:val="1"/>
        </w:rPr>
        <w:t>۱. سرویس عملیاتی هوش مصنوعی آماده و ارزیابی دوزبانه و بدون اینترنت مرحلهٔ 1B تکمیل شود.</w:t>
      </w:r>
    </w:p>
    <w:p>
      <w:pPr>
        <w:spacing w:after="100" w:line="269" w:lineRule="auto"/>
        <w:keepNext w:val="0"/>
        <w:keepLines/>
        <w:bidi w:val="1"/>
        <w:ind w:right="288" w:left="0"/>
        <w:jc w:val="right"/>
      </w:pPr>
      <w:r>
        <w:rPr>
          <w:rFonts w:ascii="Tahoma" w:hAnsi="Tahoma" w:eastAsia="Tahoma" w:cs="Tahoma"/>
          <w:b w:val="0"/>
          <w:color w:val="000000"/>
          <w:sz w:val="20"/>
          <w:lang w:val="fa-IR" w:bidi="fa-IR"/>
          <w:rtl w:val="1"/>
        </w:rPr>
        <w:t>۲. پایگاه داده، API، پردازشگر پس‌زمینه، پراکسی معکوس، TLS، اطلاعات محرمانه، پشتیبان‌گیری و بازیابی برنامه بسته‌بندی و مستقر شوند.</w:t>
      </w:r>
    </w:p>
    <w:p>
      <w:pPr>
        <w:spacing w:after="100" w:line="269" w:lineRule="auto"/>
        <w:keepNext w:val="0"/>
        <w:keepLines/>
        <w:bidi w:val="1"/>
        <w:ind w:right="288" w:left="0"/>
        <w:jc w:val="right"/>
      </w:pPr>
      <w:r>
        <w:rPr>
          <w:rFonts w:ascii="Tahoma" w:hAnsi="Tahoma" w:eastAsia="Tahoma" w:cs="Tahoma"/>
          <w:b w:val="0"/>
          <w:color w:val="000000"/>
          <w:sz w:val="20"/>
          <w:lang w:val="fa-IR" w:bidi="fa-IR"/>
          <w:rtl w:val="1"/>
        </w:rPr>
        <w:t>۳. Zabbix مقداردهی اولیه و حساب API فقط‌خواندنی با دسترسی محدود ایجاد شود.</w:t>
      </w:r>
    </w:p>
    <w:p>
      <w:pPr>
        <w:spacing w:after="100" w:line="269" w:lineRule="auto"/>
        <w:keepNext w:val="0"/>
        <w:keepLines/>
        <w:bidi w:val="1"/>
        <w:ind w:right="288" w:left="0"/>
        <w:jc w:val="right"/>
      </w:pPr>
      <w:r>
        <w:rPr>
          <w:rFonts w:ascii="Tahoma" w:hAnsi="Tahoma" w:eastAsia="Tahoma" w:cs="Tahoma"/>
          <w:b w:val="0"/>
          <w:color w:val="000000"/>
          <w:sz w:val="20"/>
          <w:lang w:val="fa-IR" w:bidi="fa-IR"/>
          <w:rtl w:val="1"/>
        </w:rPr>
        <w:t>۴. اتصال‌دهنده مستقر و خواندن زنده و محدود مرحلهٔ 1C تکمیل شود.</w:t>
      </w:r>
    </w:p>
    <w:p>
      <w:pPr>
        <w:spacing w:after="100" w:line="269" w:lineRule="auto"/>
        <w:keepNext w:val="0"/>
        <w:keepLines/>
        <w:bidi w:val="1"/>
        <w:ind w:right="288" w:left="0"/>
        <w:jc w:val="right"/>
      </w:pPr>
      <w:r>
        <w:rPr>
          <w:rFonts w:ascii="Tahoma" w:hAnsi="Tahoma" w:eastAsia="Tahoma" w:cs="Tahoma"/>
          <w:b w:val="0"/>
          <w:color w:val="000000"/>
          <w:sz w:val="20"/>
          <w:lang w:val="fa-IR" w:bidi="fa-IR"/>
          <w:rtl w:val="1"/>
        </w:rPr>
        <w:t>۵. پاسخ مستند مرحلهٔ 1D ارائه و پذیرش کارکرد بدون اینترنت و بازیابی مرحلهٔ 1E نهایی شود.</w:t>
      </w:r>
    </w:p>
    <w:p>
      <w:pPr>
        <w:pStyle w:val="Heading1"/>
        <w:spacing w:before="240" w:after="100"/>
        <w:keepNext/>
        <w:keepLines/>
        <w:bidi w:val="1"/>
        <w:jc w:val="right"/>
      </w:pPr>
      <w:r>
        <w:rPr>
          <w:rFonts w:ascii="Tahoma" w:hAnsi="Tahoma" w:eastAsia="Tahoma" w:cs="Tahoma"/>
          <w:b/>
          <w:color w:val="000000"/>
          <w:sz w:val="32"/>
          <w:lang w:val="fa-IR" w:bidi="fa-IR"/>
          <w:rtl w:val="1"/>
        </w:rPr>
        <w:t>جمع‌بندی نهایی</w:t>
      </w:r>
    </w:p>
    <w:p>
      <w:pPr>
        <w:spacing w:after="140" w:line="283" w:lineRule="auto"/>
        <w:keepNext w:val="0"/>
        <w:keepLines/>
        <w:bidi w:val="1"/>
        <w:jc w:val="right"/>
      </w:pPr>
      <w:r>
        <w:rPr>
          <w:rFonts w:ascii="Tahoma" w:hAnsi="Tahoma" w:eastAsia="Tahoma" w:cs="Tahoma"/>
          <w:b w:val="0"/>
          <w:color w:val="000000"/>
          <w:sz w:val="21"/>
          <w:lang w:val="fa-IR" w:bidi="fa-IR"/>
          <w:rtl w:val="1"/>
        </w:rPr>
        <w:t>زیرساخت و پایهٔ نرم‌افزاری برای آغاز استقرار کنترل‌شده آماده است. NextOps اکنون چهار سرور تأییدشده، بسته‌های نرم‌افزاری موردنیاز هر نقش، کد منبع آزموده‌شده و فایل عملیاتی مدل محلی برای پردازش روی CPU دارد. آنچه باقی مانده، پیکربندی عملیاتی، مقداردهی سرویس‌های دارای وضعیت ماندگار، اتصال فقط‌خواندنی، اثبات بازیابی و پذیرش کامل در شرایط قطع اینترنت است. تا عبور از این مراحل، پروژه را باید آماده برای آغاز استقرار و تا حدی اعتبارسنجی‌شده دانست، نه آمادهٔ بهره‌برداری.</w:t>
      </w:r>
    </w:p>
    <w:sectPr w:rsidR="00FC693F" w:rsidRPr="0006063C" w:rsidSect="00034616">
      <w:footerReference w:type="default" r:id="rId10"/>
      <w:pgSz w:w="12240" w:h="15840"/>
      <w:pgMar w:top="1037" w:right="1037" w:bottom="97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s="Arial"/>
        <w:b w:val="0"/>
        <w:color w:val="646464"/>
        <w:sz w:val="16"/>
      </w:rPr>
      <w:t>NextOps Project Status Brief  |  21 September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s="Arial"/>
        <w:b w:val="0"/>
        <w:color w:val="646464"/>
        <w:sz w:val="16"/>
      </w:rPr>
      <w:t>گزارش پیشرفت و وضعیت اجرایی NextOps  |  ۳۰ شهریور ۱۴۰۵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NextOps Project Status Brief</dc:title>
  <dc:subject>Completed work and remaining delivery plan in English and Persian</dc:subject>
  <dc:creator>NextOps Project</dc:creator>
  <cp:keywords>NextOps, project status, English, Persian, offline AI, Zabbix</cp:keywords>
  <dc:description>generated by python-docx</dc:description>
  <cp:lastModifiedBy/>
  <cp:revision>1</cp:revision>
  <dcterms:created xsi:type="dcterms:W3CDTF">2013-12-23T23:15:00Z</dcterms:created>
  <dcterms:modified xsi:type="dcterms:W3CDTF">2013-12-23T23:15:00Z</dcterms:modified>
  <cp:category/>
</cp:coreProperties>
</file>