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Experiment 11 | Prospective validation of automatically calibrated adversarial budgets</w:t>
      </w:r>
    </w:p>
    <w:p>
      <w:pPr>
        <w:pStyle w:val="Subtitle"/>
      </w:pPr>
      <w:r>
        <w:t>Noise-aware adversarial training for CEBRA neural decoders</w:t>
      </w:r>
    </w:p>
    <w:p>
      <w:r>
        <w:rPr>
          <w:b/>
        </w:rPr>
        <w:t xml:space="preserve">Full results and critical analysis  </w:t>
      </w:r>
      <w:r>
        <w:t>|  10 unseen Perich sessions  |  360 completed encoder-decoder evaluations  |  October 2026</w:t>
      </w:r>
    </w:p>
    <w:p>
      <w:pPr>
        <w:pStyle w:val="SmallNote"/>
      </w:pPr>
      <w:r>
        <w:t>Research progress report for supervisor review. Data source: frozen Exp11 per-run summaries, evaluation outputs and preregistered predictions captured on 24 October 2026. This is not a claim of external-dataset or formal equivalence validation.</w:t>
      </w:r>
    </w:p>
    <w:p>
      <w:pPr>
        <w:pStyle w:val="Heading1"/>
      </w:pPr>
      <w:r>
        <w:t>Executive summary</w:t>
      </w:r>
    </w:p>
    <w:p>
      <w:r>
        <w:t>Exp11 evaluates whether a session-specific adversarial-training budget, computed from training-set statistics before model fitting, can approach the performance of a strong previously selected fixed d-prime budget without new per-session epsilon sweeps. The study extends the initial nine-session experiments to ten prospectively selected, previously unseen Perich sessions. All 360 planned model runs finished successfully, with all 360 robustness JSON outputs and all checkpoint pairs present.</w:t>
      </w:r>
    </w:p>
    <w:p>
      <w:r>
        <w:t>Main finding: In supervised CEBRA, difference-residual AUTO_BEH (DIFF/BEH) reproduces the robustness of fixed DIFF8 very closely: paired geometric-mean reference half-damage threshold ratio 0.994 (95% session-bootstrap CI 0.959–1.025), while mean clean decoding R2 differs by only -0.0017. Both outperform raw-L2 PGD6 in the noise-shaped threat metric by ~16–17%. Crucially, DIFF/BEH has zero operational floor failures versus three for DIFF8, although those three all come from a single challenging session and are not independent observations.</w:t>
      </w:r>
    </w:p>
    <w:p>
      <w:r>
        <w:t>In time-only CEBRA, DIFF/AUTO_SIG similarly approaches fixed DIFF8: paired ratio 0.990 (95% CI 0.978–1.003) with clean R2 change -0.0032; both are ~14–15% more robust than PGD6 under noise-shaped attacks. No operational floor failures occurred in any of the 150 time-only models, so failure prediction cannot be validated in this mode.</w:t>
      </w:r>
    </w:p>
    <w:p>
      <w:r>
        <w:t>The supervision-specific preregistered vulnerability score x_beh generalizes well descriptively: AUROC 0.954 (vs 0.820 for x_sig), 15/18 failures detected, 6 false alarms, and accuracy 95.7% (vs 91.4% for a no-failure predictor). However, the original decisions were correlated across seeds and many failures cluster in T-RT2. These data support practical budget transfer, not proof that AUTO_BEH matches a session-specific oracle or that two methods are statistically equivalent.</w:t>
      </w:r>
    </w:p>
    <w:p>
      <w:pPr>
        <w:pStyle w:val="Heading1"/>
      </w:pPr>
      <w:r>
        <w:t>1. Research question and prospective design</w:t>
      </w:r>
    </w:p>
    <w:p>
      <w:r>
        <w:t>The earlier Exp1–8 report established that covariance-aware d-prime training improves noise-shaped robustness but that a fixed large spatial (SP8) budget can overshoot in supervised CEBRA. Exp9–10 explored automatic epsilon selection and behavior-derived measures of vulnerability. Exp11 tests a locked rule on new sessions, without choosing the per-session epsilon by evaluating the newly trained decoder.</w:t>
      </w:r>
    </w:p>
    <w:p>
      <w:r>
        <w:t>Preselection: 102 candidate Perich sessions meeting ≥10 channels and ≥2,000 training bins; the nine previous sessions excluded. A seed-2026 draw saved 20 ordered candidates and their data SHA256 hashes in DPRIME_EXP11_SESSIONS.json. The executed preregistered subset is the first 10 of those 20. The PREDICTIONS files were timestamped 23 October 2026 before the model runs. No separate new-animals or independent-dataset claim follows from this split.</w:t>
      </w:r>
    </w:p>
    <w:tbl>
      <w:tblPr>
        <w:tblStyle w:val="LightShading-Accent1"/>
        <w:tblW w:type="auto" w:w="0"/>
        <w:jc w:val="center"/>
        <w:tblLayout w:type="autofit"/>
        <w:tblLook w:firstColumn="1" w:firstRow="1" w:lastColumn="0" w:lastRow="0" w:noHBand="0" w:noVBand="1" w:val="04A0"/>
      </w:tblPr>
      <w:tblGrid>
        <w:gridCol w:w="2527"/>
        <w:gridCol w:w="2527"/>
        <w:gridCol w:w="2527"/>
        <w:gridCol w:w="2527"/>
      </w:tblGrid>
      <w:tr>
        <w:tc>
          <w:tcPr>
            <w:tcW w:type="dxa" w:w="2527"/>
            <w:shd w:fill="17334B"/>
            <w:vAlign w:val="center"/>
          </w:tcPr>
          <w:p>
            <w:pPr>
              <w:spacing w:after="0" w:before="0"/>
            </w:pPr>
            <w:r>
              <w:rPr>
                <w:b/>
                <w:color w:val="FFFFFF"/>
                <w:sz w:val="16"/>
              </w:rPr>
              <w:t>Session</w:t>
            </w:r>
          </w:p>
        </w:tc>
        <w:tc>
          <w:tcPr>
            <w:tcW w:type="dxa" w:w="2527"/>
            <w:shd w:fill="17334B"/>
            <w:vAlign w:val="center"/>
          </w:tcPr>
          <w:p>
            <w:pPr>
              <w:spacing w:after="0" w:before="0"/>
            </w:pPr>
            <w:r>
              <w:rPr>
                <w:b/>
                <w:color w:val="FFFFFF"/>
                <w:sz w:val="16"/>
              </w:rPr>
              <w:t>Neurons</w:t>
            </w:r>
          </w:p>
        </w:tc>
        <w:tc>
          <w:tcPr>
            <w:tcW w:type="dxa" w:w="2527"/>
            <w:shd w:fill="17334B"/>
            <w:vAlign w:val="center"/>
          </w:tcPr>
          <w:p>
            <w:pPr>
              <w:spacing w:after="0" w:before="0"/>
            </w:pPr>
            <w:r>
              <w:rPr>
                <w:b/>
                <w:color w:val="FFFFFF"/>
                <w:sz w:val="16"/>
              </w:rPr>
              <w:t>Train bins</w:t>
            </w:r>
          </w:p>
        </w:tc>
        <w:tc>
          <w:tcPr>
            <w:tcW w:type="dxa" w:w="2527"/>
            <w:shd w:fill="17334B"/>
            <w:vAlign w:val="center"/>
          </w:tcPr>
          <w:p>
            <w:pPr>
              <w:spacing w:after="0" w:before="0"/>
            </w:pPr>
            <w:r>
              <w:rPr>
                <w:b/>
                <w:color w:val="FFFFFF"/>
                <w:sz w:val="16"/>
              </w:rPr>
              <w:t>Validation bins</w:t>
            </w:r>
          </w:p>
        </w:tc>
      </w:tr>
      <w:tr>
        <w:tc>
          <w:tcPr>
            <w:tcW w:type="dxa" w:w="2527"/>
            <w:vAlign w:val="center"/>
          </w:tcPr>
          <w:p>
            <w:pPr>
              <w:spacing w:after="0" w:before="0"/>
            </w:pPr>
            <w:r>
              <w:rPr>
                <w:sz w:val="16"/>
              </w:rPr>
              <w:t>C-CO25</w:t>
            </w:r>
          </w:p>
        </w:tc>
        <w:tc>
          <w:tcPr>
            <w:tcW w:type="dxa" w:w="2527"/>
            <w:vAlign w:val="center"/>
          </w:tcPr>
          <w:p>
            <w:pPr>
              <w:spacing w:after="0" w:before="0"/>
            </w:pPr>
            <w:r>
              <w:rPr>
                <w:sz w:val="16"/>
              </w:rPr>
              <w:t>60</w:t>
            </w:r>
          </w:p>
        </w:tc>
        <w:tc>
          <w:tcPr>
            <w:tcW w:type="dxa" w:w="2527"/>
            <w:vAlign w:val="center"/>
          </w:tcPr>
          <w:p>
            <w:pPr>
              <w:spacing w:after="0" w:before="0"/>
            </w:pPr>
            <w:r>
              <w:rPr>
                <w:sz w:val="16"/>
              </w:rPr>
              <w:t>3,557</w:t>
            </w:r>
          </w:p>
        </w:tc>
        <w:tc>
          <w:tcPr>
            <w:tcW w:type="dxa" w:w="2527"/>
            <w:vAlign w:val="center"/>
          </w:tcPr>
          <w:p>
            <w:pPr>
              <w:spacing w:after="0" w:before="0"/>
            </w:pPr>
            <w:r>
              <w:rPr>
                <w:sz w:val="16"/>
              </w:rPr>
              <w:t>880</w:t>
            </w:r>
          </w:p>
        </w:tc>
      </w:tr>
      <w:tr>
        <w:tc>
          <w:tcPr>
            <w:tcW w:type="dxa" w:w="2527"/>
            <w:vAlign w:val="center"/>
          </w:tcPr>
          <w:p>
            <w:pPr>
              <w:spacing w:after="0" w:before="0"/>
            </w:pPr>
            <w:r>
              <w:rPr>
                <w:sz w:val="16"/>
              </w:rPr>
              <w:t>C-CO26</w:t>
            </w:r>
          </w:p>
        </w:tc>
        <w:tc>
          <w:tcPr>
            <w:tcW w:type="dxa" w:w="2527"/>
            <w:vAlign w:val="center"/>
          </w:tcPr>
          <w:p>
            <w:pPr>
              <w:spacing w:after="0" w:before="0"/>
            </w:pPr>
            <w:r>
              <w:rPr>
                <w:sz w:val="16"/>
              </w:rPr>
              <w:t>61</w:t>
            </w:r>
          </w:p>
        </w:tc>
        <w:tc>
          <w:tcPr>
            <w:tcW w:type="dxa" w:w="2527"/>
            <w:vAlign w:val="center"/>
          </w:tcPr>
          <w:p>
            <w:pPr>
              <w:spacing w:after="0" w:before="0"/>
            </w:pPr>
            <w:r>
              <w:rPr>
                <w:sz w:val="16"/>
              </w:rPr>
              <w:t>3,554</w:t>
            </w:r>
          </w:p>
        </w:tc>
        <w:tc>
          <w:tcPr>
            <w:tcW w:type="dxa" w:w="2527"/>
            <w:vAlign w:val="center"/>
          </w:tcPr>
          <w:p>
            <w:pPr>
              <w:spacing w:after="0" w:before="0"/>
            </w:pPr>
            <w:r>
              <w:rPr>
                <w:sz w:val="16"/>
              </w:rPr>
              <w:t>893</w:t>
            </w:r>
          </w:p>
        </w:tc>
      </w:tr>
      <w:tr>
        <w:tc>
          <w:tcPr>
            <w:tcW w:type="dxa" w:w="2527"/>
            <w:vAlign w:val="center"/>
          </w:tcPr>
          <w:p>
            <w:pPr>
              <w:spacing w:after="0" w:before="0"/>
            </w:pPr>
            <w:r>
              <w:rPr>
                <w:sz w:val="16"/>
              </w:rPr>
              <w:t>T-RT2</w:t>
            </w:r>
          </w:p>
        </w:tc>
        <w:tc>
          <w:tcPr>
            <w:tcW w:type="dxa" w:w="2527"/>
            <w:vAlign w:val="center"/>
          </w:tcPr>
          <w:p>
            <w:pPr>
              <w:spacing w:after="0" w:before="0"/>
            </w:pPr>
            <w:r>
              <w:rPr>
                <w:sz w:val="16"/>
              </w:rPr>
              <w:t>36</w:t>
            </w:r>
          </w:p>
        </w:tc>
        <w:tc>
          <w:tcPr>
            <w:tcW w:type="dxa" w:w="2527"/>
            <w:vAlign w:val="center"/>
          </w:tcPr>
          <w:p>
            <w:pPr>
              <w:spacing w:after="0" w:before="0"/>
            </w:pPr>
            <w:r>
              <w:rPr>
                <w:sz w:val="16"/>
              </w:rPr>
              <w:t>8,389</w:t>
            </w:r>
          </w:p>
        </w:tc>
        <w:tc>
          <w:tcPr>
            <w:tcW w:type="dxa" w:w="2527"/>
            <w:vAlign w:val="center"/>
          </w:tcPr>
          <w:p>
            <w:pPr>
              <w:spacing w:after="0" w:before="0"/>
            </w:pPr>
            <w:r>
              <w:rPr>
                <w:sz w:val="16"/>
              </w:rPr>
              <w:t>2,011</w:t>
            </w:r>
          </w:p>
        </w:tc>
      </w:tr>
      <w:tr>
        <w:tc>
          <w:tcPr>
            <w:tcW w:type="dxa" w:w="2527"/>
            <w:vAlign w:val="center"/>
          </w:tcPr>
          <w:p>
            <w:pPr>
              <w:spacing w:after="0" w:before="0"/>
            </w:pPr>
            <w:r>
              <w:rPr>
                <w:sz w:val="16"/>
              </w:rPr>
              <w:t>C-CO2</w:t>
            </w:r>
          </w:p>
        </w:tc>
        <w:tc>
          <w:tcPr>
            <w:tcW w:type="dxa" w:w="2527"/>
            <w:vAlign w:val="center"/>
          </w:tcPr>
          <w:p>
            <w:pPr>
              <w:spacing w:after="0" w:before="0"/>
            </w:pPr>
            <w:r>
              <w:rPr>
                <w:sz w:val="16"/>
              </w:rPr>
              <w:t>61</w:t>
            </w:r>
          </w:p>
        </w:tc>
        <w:tc>
          <w:tcPr>
            <w:tcW w:type="dxa" w:w="2527"/>
            <w:vAlign w:val="center"/>
          </w:tcPr>
          <w:p>
            <w:pPr>
              <w:spacing w:after="0" w:before="0"/>
            </w:pPr>
            <w:r>
              <w:rPr>
                <w:sz w:val="16"/>
              </w:rPr>
              <w:t>2,779</w:t>
            </w:r>
          </w:p>
        </w:tc>
        <w:tc>
          <w:tcPr>
            <w:tcW w:type="dxa" w:w="2527"/>
            <w:vAlign w:val="center"/>
          </w:tcPr>
          <w:p>
            <w:pPr>
              <w:spacing w:after="0" w:before="0"/>
            </w:pPr>
            <w:r>
              <w:rPr>
                <w:sz w:val="16"/>
              </w:rPr>
              <w:t>675</w:t>
            </w:r>
          </w:p>
        </w:tc>
      </w:tr>
      <w:tr>
        <w:tc>
          <w:tcPr>
            <w:tcW w:type="dxa" w:w="2527"/>
            <w:vAlign w:val="center"/>
          </w:tcPr>
          <w:p>
            <w:pPr>
              <w:spacing w:after="0" w:before="0"/>
            </w:pPr>
            <w:r>
              <w:rPr>
                <w:sz w:val="16"/>
              </w:rPr>
              <w:t>T-CO1</w:t>
            </w:r>
          </w:p>
        </w:tc>
        <w:tc>
          <w:tcPr>
            <w:tcW w:type="dxa" w:w="2527"/>
            <w:vAlign w:val="center"/>
          </w:tcPr>
          <w:p>
            <w:pPr>
              <w:spacing w:after="0" w:before="0"/>
            </w:pPr>
            <w:r>
              <w:rPr>
                <w:sz w:val="16"/>
              </w:rPr>
              <w:t>59</w:t>
            </w:r>
          </w:p>
        </w:tc>
        <w:tc>
          <w:tcPr>
            <w:tcW w:type="dxa" w:w="2527"/>
            <w:vAlign w:val="center"/>
          </w:tcPr>
          <w:p>
            <w:pPr>
              <w:spacing w:after="0" w:before="0"/>
            </w:pPr>
            <w:r>
              <w:rPr>
                <w:sz w:val="16"/>
              </w:rPr>
              <w:t>3,368</w:t>
            </w:r>
          </w:p>
        </w:tc>
        <w:tc>
          <w:tcPr>
            <w:tcW w:type="dxa" w:w="2527"/>
            <w:vAlign w:val="center"/>
          </w:tcPr>
          <w:p>
            <w:pPr>
              <w:spacing w:after="0" w:before="0"/>
            </w:pPr>
            <w:r>
              <w:rPr>
                <w:sz w:val="16"/>
              </w:rPr>
              <w:t>867</w:t>
            </w:r>
          </w:p>
        </w:tc>
      </w:tr>
      <w:tr>
        <w:tc>
          <w:tcPr>
            <w:tcW w:type="dxa" w:w="2527"/>
            <w:vAlign w:val="center"/>
          </w:tcPr>
          <w:p>
            <w:pPr>
              <w:spacing w:after="0" w:before="0"/>
            </w:pPr>
            <w:r>
              <w:rPr>
                <w:sz w:val="16"/>
              </w:rPr>
              <w:t>C-CO39</w:t>
            </w:r>
          </w:p>
        </w:tc>
        <w:tc>
          <w:tcPr>
            <w:tcW w:type="dxa" w:w="2527"/>
            <w:vAlign w:val="center"/>
          </w:tcPr>
          <w:p>
            <w:pPr>
              <w:spacing w:after="0" w:before="0"/>
            </w:pPr>
            <w:r>
              <w:rPr>
                <w:sz w:val="16"/>
              </w:rPr>
              <w:t>246</w:t>
            </w:r>
          </w:p>
        </w:tc>
        <w:tc>
          <w:tcPr>
            <w:tcW w:type="dxa" w:w="2527"/>
            <w:vAlign w:val="center"/>
          </w:tcPr>
          <w:p>
            <w:pPr>
              <w:spacing w:after="0" w:before="0"/>
            </w:pPr>
            <w:r>
              <w:rPr>
                <w:sz w:val="16"/>
              </w:rPr>
              <w:t>3,058</w:t>
            </w:r>
          </w:p>
        </w:tc>
        <w:tc>
          <w:tcPr>
            <w:tcW w:type="dxa" w:w="2527"/>
            <w:vAlign w:val="center"/>
          </w:tcPr>
          <w:p>
            <w:pPr>
              <w:spacing w:after="0" w:before="0"/>
            </w:pPr>
            <w:r>
              <w:rPr>
                <w:sz w:val="16"/>
              </w:rPr>
              <w:t>741</w:t>
            </w:r>
          </w:p>
        </w:tc>
      </w:tr>
      <w:tr>
        <w:tc>
          <w:tcPr>
            <w:tcW w:type="dxa" w:w="2527"/>
            <w:vAlign w:val="center"/>
          </w:tcPr>
          <w:p>
            <w:pPr>
              <w:spacing w:after="0" w:before="0"/>
            </w:pPr>
            <w:r>
              <w:rPr>
                <w:sz w:val="16"/>
              </w:rPr>
              <w:t>C-CO21</w:t>
            </w:r>
          </w:p>
        </w:tc>
        <w:tc>
          <w:tcPr>
            <w:tcW w:type="dxa" w:w="2527"/>
            <w:vAlign w:val="center"/>
          </w:tcPr>
          <w:p>
            <w:pPr>
              <w:spacing w:after="0" w:before="0"/>
            </w:pPr>
            <w:r>
              <w:rPr>
                <w:sz w:val="16"/>
              </w:rPr>
              <w:t>61</w:t>
            </w:r>
          </w:p>
        </w:tc>
        <w:tc>
          <w:tcPr>
            <w:tcW w:type="dxa" w:w="2527"/>
            <w:vAlign w:val="center"/>
          </w:tcPr>
          <w:p>
            <w:pPr>
              <w:spacing w:after="0" w:before="0"/>
            </w:pPr>
            <w:r>
              <w:rPr>
                <w:sz w:val="16"/>
              </w:rPr>
              <w:t>3,707</w:t>
            </w:r>
          </w:p>
        </w:tc>
        <w:tc>
          <w:tcPr>
            <w:tcW w:type="dxa" w:w="2527"/>
            <w:vAlign w:val="center"/>
          </w:tcPr>
          <w:p>
            <w:pPr>
              <w:spacing w:after="0" w:before="0"/>
            </w:pPr>
            <w:r>
              <w:rPr>
                <w:sz w:val="16"/>
              </w:rPr>
              <w:t>911</w:t>
            </w:r>
          </w:p>
        </w:tc>
      </w:tr>
      <w:tr>
        <w:tc>
          <w:tcPr>
            <w:tcW w:type="dxa" w:w="2527"/>
            <w:vAlign w:val="center"/>
          </w:tcPr>
          <w:p>
            <w:pPr>
              <w:spacing w:after="0" w:before="0"/>
            </w:pPr>
            <w:r>
              <w:rPr>
                <w:sz w:val="16"/>
              </w:rPr>
              <w:t>J-CO1</w:t>
            </w:r>
          </w:p>
        </w:tc>
        <w:tc>
          <w:tcPr>
            <w:tcW w:type="dxa" w:w="2527"/>
            <w:vAlign w:val="center"/>
          </w:tcPr>
          <w:p>
            <w:pPr>
              <w:spacing w:after="0" w:before="0"/>
            </w:pPr>
            <w:r>
              <w:rPr>
                <w:sz w:val="16"/>
              </w:rPr>
              <w:t>18</w:t>
            </w:r>
          </w:p>
        </w:tc>
        <w:tc>
          <w:tcPr>
            <w:tcW w:type="dxa" w:w="2527"/>
            <w:vAlign w:val="center"/>
          </w:tcPr>
          <w:p>
            <w:pPr>
              <w:spacing w:after="0" w:before="0"/>
            </w:pPr>
            <w:r>
              <w:rPr>
                <w:sz w:val="16"/>
              </w:rPr>
              <w:t>3,564</w:t>
            </w:r>
          </w:p>
        </w:tc>
        <w:tc>
          <w:tcPr>
            <w:tcW w:type="dxa" w:w="2527"/>
            <w:vAlign w:val="center"/>
          </w:tcPr>
          <w:p>
            <w:pPr>
              <w:spacing w:after="0" w:before="0"/>
            </w:pPr>
            <w:r>
              <w:rPr>
                <w:sz w:val="16"/>
              </w:rPr>
              <w:t>859</w:t>
            </w:r>
          </w:p>
        </w:tc>
      </w:tr>
      <w:tr>
        <w:tc>
          <w:tcPr>
            <w:tcW w:type="dxa" w:w="2527"/>
            <w:vAlign w:val="center"/>
          </w:tcPr>
          <w:p>
            <w:pPr>
              <w:spacing w:after="0" w:before="0"/>
            </w:pPr>
            <w:r>
              <w:rPr>
                <w:sz w:val="16"/>
              </w:rPr>
              <w:t>M-CO7</w:t>
            </w:r>
          </w:p>
        </w:tc>
        <w:tc>
          <w:tcPr>
            <w:tcW w:type="dxa" w:w="2527"/>
            <w:vAlign w:val="center"/>
          </w:tcPr>
          <w:p>
            <w:pPr>
              <w:spacing w:after="0" w:before="0"/>
            </w:pPr>
            <w:r>
              <w:rPr>
                <w:sz w:val="16"/>
              </w:rPr>
              <w:t>26</w:t>
            </w:r>
          </w:p>
        </w:tc>
        <w:tc>
          <w:tcPr>
            <w:tcW w:type="dxa" w:w="2527"/>
            <w:vAlign w:val="center"/>
          </w:tcPr>
          <w:p>
            <w:pPr>
              <w:spacing w:after="0" w:before="0"/>
            </w:pPr>
            <w:r>
              <w:rPr>
                <w:sz w:val="16"/>
              </w:rPr>
              <w:t>13,484</w:t>
            </w:r>
          </w:p>
        </w:tc>
        <w:tc>
          <w:tcPr>
            <w:tcW w:type="dxa" w:w="2527"/>
            <w:vAlign w:val="center"/>
          </w:tcPr>
          <w:p>
            <w:pPr>
              <w:spacing w:after="0" w:before="0"/>
            </w:pPr>
            <w:r>
              <w:rPr>
                <w:sz w:val="16"/>
              </w:rPr>
              <w:t>3,235</w:t>
            </w:r>
          </w:p>
        </w:tc>
      </w:tr>
      <w:tr>
        <w:tc>
          <w:tcPr>
            <w:tcW w:type="dxa" w:w="2527"/>
            <w:vAlign w:val="center"/>
          </w:tcPr>
          <w:p>
            <w:pPr>
              <w:spacing w:after="0" w:before="0"/>
            </w:pPr>
            <w:r>
              <w:rPr>
                <w:sz w:val="16"/>
              </w:rPr>
              <w:t>C-RT12</w:t>
            </w:r>
          </w:p>
        </w:tc>
        <w:tc>
          <w:tcPr>
            <w:tcW w:type="dxa" w:w="2527"/>
            <w:vAlign w:val="center"/>
          </w:tcPr>
          <w:p>
            <w:pPr>
              <w:spacing w:after="0" w:before="0"/>
            </w:pPr>
            <w:r>
              <w:rPr>
                <w:sz w:val="16"/>
              </w:rPr>
              <w:t>78</w:t>
            </w:r>
          </w:p>
        </w:tc>
        <w:tc>
          <w:tcPr>
            <w:tcW w:type="dxa" w:w="2527"/>
            <w:vAlign w:val="center"/>
          </w:tcPr>
          <w:p>
            <w:pPr>
              <w:spacing w:after="0" w:before="0"/>
            </w:pPr>
            <w:r>
              <w:rPr>
                <w:sz w:val="16"/>
              </w:rPr>
              <w:t>25,926</w:t>
            </w:r>
          </w:p>
        </w:tc>
        <w:tc>
          <w:tcPr>
            <w:tcW w:type="dxa" w:w="2527"/>
            <w:vAlign w:val="center"/>
          </w:tcPr>
          <w:p>
            <w:pPr>
              <w:spacing w:after="0" w:before="0"/>
            </w:pPr>
            <w:r>
              <w:rPr>
                <w:sz w:val="16"/>
              </w:rPr>
              <w:t>6,450</w:t>
            </w:r>
          </w:p>
        </w:tc>
      </w:tr>
    </w:tbl>
    <w:p>
      <w:pPr>
        <w:spacing w:after="0"/>
      </w:pPr>
    </w:p>
    <w:p>
      <w:r>
        <w:t>Factorial design: three random seeds (42/43/44) and two CEBRA modes. Supervised: 10 × 3 × 7 = 210 fits; time-only: 10 × 3 × 5 = 150 fits. Thus 360 independently fitted encoder-decoder pairs were evaluated, but the primary inferential replication unit for transfer is the session (n=10), rather than treating 30 seed runs as independent biological datasets.</w:t>
      </w:r>
    </w:p>
    <w:p>
      <w:pPr>
        <w:pStyle w:val="Heading1"/>
      </w:pPr>
      <w:r>
        <w:t>2. Automatic budget selection and comparisons</w:t>
      </w:r>
    </w:p>
    <w:p>
      <w:r>
        <w:t>Training employs a covariance-shaped constraint d′(delta) = sqrt(delta^T Sigma^-1 delta), with spatial noise covariance from Ledoit–Wolf estimation and a white temporal factor. The DIFF geometry uses first-difference residuals to attenuate slower signal components; SP uses whole residuals. A pool arm mixes the spatial covariance with an isotropic member. The method optimizes perturbations inside the d-prime ball via APGD within the adversarial CEBRA objective.</w:t>
      </w:r>
    </w:p>
    <w:p>
      <w:r>
        <w:t>Frozen rules: AUTO_SIG uses epsilon = min[(2D)^(1/4), 0.24 epsilon_sig], where D is the number of neuron × time-bin input dimensions. AUTO_BEH uses epsilon = max[1, min((2D)^(1/4), 0.363 epsilon_beh)] from training behavioral labels, with a JND floor. The 0.363 and 0.24 coefficients were fixed from previous work; they are not tuned on the new sessions. AUTO_BEH is supervised-only. Both budget estimators are geometry-specific: eps_sig and eps_beh depend on the selected noise metric M, so the numerical epsilon differs across SP and DIFF. For pool arms, the reported nominal budget is not the only realized pool-member budget.</w:t>
      </w:r>
    </w:p>
    <w:p>
      <w:r>
        <w:t>Supervised arms: PGD6 (raw L2), SP8, DIFF8, SP/AUTO_SIG, DIFF/AUTO_BEH, SP/AUTO_BEH and POOL/AUTO_BEH. Time-only: PGD6, DIFF8, DIFF/AUTO_SIG, SP/AUTO_SIG and POOL/AUTO_SIG. The fixed DIFF8 baseline is a strong earlier selected configuration; it is NOT an oracle optimized by a full epsilon sweep separately on each Exp11 session.</w:t>
      </w:r>
    </w:p>
    <w:p>
      <w:pPr>
        <w:pStyle w:val="Heading2"/>
      </w:pPr>
      <w:r>
        <w:t>2.1 Frozen budgets by new session</w:t>
      </w:r>
    </w:p>
    <w:tbl>
      <w:tblPr>
        <w:tblStyle w:val="LightShading-Accent1"/>
        <w:tblW w:type="auto" w:w="0"/>
        <w:jc w:val="center"/>
        <w:tblLayout w:type="autofit"/>
        <w:tblLook w:firstColumn="1" w:firstRow="1" w:lastColumn="0" w:lastRow="0" w:noHBand="0" w:noVBand="1" w:val="04A0"/>
      </w:tblPr>
      <w:tblGrid>
        <w:gridCol w:w="1263"/>
        <w:gridCol w:w="1263"/>
        <w:gridCol w:w="1263"/>
        <w:gridCol w:w="1263"/>
        <w:gridCol w:w="1263"/>
        <w:gridCol w:w="1263"/>
        <w:gridCol w:w="1263"/>
        <w:gridCol w:w="1263"/>
      </w:tblGrid>
      <w:tr>
        <w:tc>
          <w:tcPr>
            <w:tcW w:type="dxa" w:w="1263"/>
            <w:shd w:fill="17334B"/>
            <w:vAlign w:val="center"/>
          </w:tcPr>
          <w:p>
            <w:pPr>
              <w:spacing w:after="0" w:before="0"/>
            </w:pPr>
            <w:r>
              <w:rPr>
                <w:b/>
                <w:color w:val="FFFFFF"/>
                <w:sz w:val="14"/>
              </w:rPr>
              <w:t>Session</w:t>
            </w:r>
          </w:p>
        </w:tc>
        <w:tc>
          <w:tcPr>
            <w:tcW w:type="dxa" w:w="1263"/>
            <w:shd w:fill="17334B"/>
            <w:vAlign w:val="center"/>
          </w:tcPr>
          <w:p>
            <w:pPr>
              <w:spacing w:after="0" w:before="0"/>
            </w:pPr>
            <w:r>
              <w:rPr>
                <w:b/>
                <w:color w:val="FFFFFF"/>
                <w:sz w:val="14"/>
              </w:rPr>
              <w:t>C</w:t>
            </w:r>
          </w:p>
        </w:tc>
        <w:tc>
          <w:tcPr>
            <w:tcW w:type="dxa" w:w="1263"/>
            <w:shd w:fill="17334B"/>
            <w:vAlign w:val="center"/>
          </w:tcPr>
          <w:p>
            <w:pPr>
              <w:spacing w:after="0" w:before="0"/>
            </w:pPr>
            <w:r>
              <w:rPr>
                <w:b/>
                <w:color w:val="FFFFFF"/>
                <w:sz w:val="14"/>
              </w:rPr>
              <w:t>Blind cap</w:t>
            </w:r>
          </w:p>
        </w:tc>
        <w:tc>
          <w:tcPr>
            <w:tcW w:type="dxa" w:w="1263"/>
            <w:shd w:fill="17334B"/>
            <w:vAlign w:val="center"/>
          </w:tcPr>
          <w:p>
            <w:pPr>
              <w:spacing w:after="0" w:before="0"/>
            </w:pPr>
            <w:r>
              <w:rPr>
                <w:b/>
                <w:color w:val="FFFFFF"/>
                <w:sz w:val="14"/>
              </w:rPr>
              <w:t>S DIFF/BEH</w:t>
            </w:r>
          </w:p>
        </w:tc>
        <w:tc>
          <w:tcPr>
            <w:tcW w:type="dxa" w:w="1263"/>
            <w:shd w:fill="17334B"/>
            <w:vAlign w:val="center"/>
          </w:tcPr>
          <w:p>
            <w:pPr>
              <w:spacing w:after="0" w:before="0"/>
            </w:pPr>
            <w:r>
              <w:rPr>
                <w:b/>
                <w:color w:val="FFFFFF"/>
                <w:sz w:val="14"/>
              </w:rPr>
              <w:t>S SP/BEH</w:t>
            </w:r>
          </w:p>
        </w:tc>
        <w:tc>
          <w:tcPr>
            <w:tcW w:type="dxa" w:w="1263"/>
            <w:shd w:fill="17334B"/>
            <w:vAlign w:val="center"/>
          </w:tcPr>
          <w:p>
            <w:pPr>
              <w:spacing w:after="0" w:before="0"/>
            </w:pPr>
            <w:r>
              <w:rPr>
                <w:b/>
                <w:color w:val="FFFFFF"/>
                <w:sz w:val="14"/>
              </w:rPr>
              <w:t>S SP/SIG</w:t>
            </w:r>
          </w:p>
        </w:tc>
        <w:tc>
          <w:tcPr>
            <w:tcW w:type="dxa" w:w="1263"/>
            <w:shd w:fill="17334B"/>
            <w:vAlign w:val="center"/>
          </w:tcPr>
          <w:p>
            <w:pPr>
              <w:spacing w:after="0" w:before="0"/>
            </w:pPr>
            <w:r>
              <w:rPr>
                <w:b/>
                <w:color w:val="FFFFFF"/>
                <w:sz w:val="14"/>
              </w:rPr>
              <w:t>T DIFF/SIG</w:t>
            </w:r>
          </w:p>
        </w:tc>
        <w:tc>
          <w:tcPr>
            <w:tcW w:type="dxa" w:w="1263"/>
            <w:shd w:fill="17334B"/>
            <w:vAlign w:val="center"/>
          </w:tcPr>
          <w:p>
            <w:pPr>
              <w:spacing w:after="0" w:before="0"/>
            </w:pPr>
            <w:r>
              <w:rPr>
                <w:b/>
                <w:color w:val="FFFFFF"/>
                <w:sz w:val="14"/>
              </w:rPr>
              <w:t>T SP/SIG</w:t>
            </w:r>
          </w:p>
        </w:tc>
      </w:tr>
      <w:tr>
        <w:tc>
          <w:tcPr>
            <w:tcW w:type="dxa" w:w="1263"/>
            <w:vAlign w:val="center"/>
          </w:tcPr>
          <w:p>
            <w:pPr>
              <w:spacing w:after="0" w:before="0"/>
            </w:pPr>
            <w:r>
              <w:rPr>
                <w:sz w:val="14"/>
              </w:rPr>
              <w:t>C-CO25</w:t>
            </w:r>
          </w:p>
        </w:tc>
        <w:tc>
          <w:tcPr>
            <w:tcW w:type="dxa" w:w="1263"/>
            <w:vAlign w:val="center"/>
          </w:tcPr>
          <w:p>
            <w:pPr>
              <w:spacing w:after="0" w:before="0"/>
            </w:pPr>
            <w:r>
              <w:rPr>
                <w:sz w:val="14"/>
              </w:rPr>
              <w:t>60</w:t>
            </w:r>
          </w:p>
        </w:tc>
        <w:tc>
          <w:tcPr>
            <w:tcW w:type="dxa" w:w="1263"/>
            <w:vAlign w:val="center"/>
          </w:tcPr>
          <w:p>
            <w:pPr>
              <w:spacing w:after="0" w:before="0"/>
            </w:pPr>
            <w:r>
              <w:rPr>
                <w:sz w:val="14"/>
              </w:rPr>
              <w:t>8.11</w:t>
            </w:r>
          </w:p>
        </w:tc>
        <w:tc>
          <w:tcPr>
            <w:tcW w:type="dxa" w:w="1263"/>
            <w:vAlign w:val="center"/>
          </w:tcPr>
          <w:p>
            <w:pPr>
              <w:spacing w:after="0" w:before="0"/>
            </w:pPr>
            <w:r>
              <w:rPr>
                <w:sz w:val="14"/>
              </w:rPr>
              <w:t>8.11</w:t>
            </w:r>
          </w:p>
        </w:tc>
        <w:tc>
          <w:tcPr>
            <w:tcW w:type="dxa" w:w="1263"/>
            <w:vAlign w:val="center"/>
          </w:tcPr>
          <w:p>
            <w:pPr>
              <w:spacing w:after="0" w:before="0"/>
            </w:pPr>
            <w:r>
              <w:rPr>
                <w:sz w:val="14"/>
              </w:rPr>
              <w:t>6.92</w:t>
            </w:r>
          </w:p>
        </w:tc>
        <w:tc>
          <w:tcPr>
            <w:tcW w:type="dxa" w:w="1263"/>
            <w:vAlign w:val="center"/>
          </w:tcPr>
          <w:p>
            <w:pPr>
              <w:spacing w:after="0" w:before="0"/>
            </w:pPr>
            <w:r>
              <w:rPr>
                <w:sz w:val="14"/>
              </w:rPr>
              <w:t>4.48</w:t>
            </w:r>
          </w:p>
        </w:tc>
        <w:tc>
          <w:tcPr>
            <w:tcW w:type="dxa" w:w="1263"/>
            <w:vAlign w:val="center"/>
          </w:tcPr>
          <w:p>
            <w:pPr>
              <w:spacing w:after="0" w:before="0"/>
            </w:pPr>
            <w:r>
              <w:rPr>
                <w:sz w:val="14"/>
              </w:rPr>
              <w:t>7.15</w:t>
            </w:r>
          </w:p>
        </w:tc>
        <w:tc>
          <w:tcPr>
            <w:tcW w:type="dxa" w:w="1263"/>
            <w:vAlign w:val="center"/>
          </w:tcPr>
          <w:p>
            <w:pPr>
              <w:spacing w:after="0" w:before="0"/>
            </w:pPr>
            <w:r>
              <w:rPr>
                <w:sz w:val="14"/>
              </w:rPr>
              <w:t>4.48</w:t>
            </w:r>
          </w:p>
        </w:tc>
      </w:tr>
      <w:tr>
        <w:tc>
          <w:tcPr>
            <w:tcW w:type="dxa" w:w="1263"/>
            <w:vAlign w:val="center"/>
          </w:tcPr>
          <w:p>
            <w:pPr>
              <w:spacing w:after="0" w:before="0"/>
            </w:pPr>
            <w:r>
              <w:rPr>
                <w:sz w:val="14"/>
              </w:rPr>
              <w:t>C-CO26</w:t>
            </w:r>
          </w:p>
        </w:tc>
        <w:tc>
          <w:tcPr>
            <w:tcW w:type="dxa" w:w="1263"/>
            <w:vAlign w:val="center"/>
          </w:tcPr>
          <w:p>
            <w:pPr>
              <w:spacing w:after="0" w:before="0"/>
            </w:pPr>
            <w:r>
              <w:rPr>
                <w:sz w:val="14"/>
              </w:rPr>
              <w:t>61</w:t>
            </w:r>
          </w:p>
        </w:tc>
        <w:tc>
          <w:tcPr>
            <w:tcW w:type="dxa" w:w="1263"/>
            <w:vAlign w:val="center"/>
          </w:tcPr>
          <w:p>
            <w:pPr>
              <w:spacing w:after="0" w:before="0"/>
            </w:pPr>
            <w:r>
              <w:rPr>
                <w:sz w:val="14"/>
              </w:rPr>
              <w:t>8.14</w:t>
            </w:r>
          </w:p>
        </w:tc>
        <w:tc>
          <w:tcPr>
            <w:tcW w:type="dxa" w:w="1263"/>
            <w:vAlign w:val="center"/>
          </w:tcPr>
          <w:p>
            <w:pPr>
              <w:spacing w:after="0" w:before="0"/>
            </w:pPr>
            <w:r>
              <w:rPr>
                <w:sz w:val="14"/>
              </w:rPr>
              <w:t>8.14</w:t>
            </w:r>
          </w:p>
        </w:tc>
        <w:tc>
          <w:tcPr>
            <w:tcW w:type="dxa" w:w="1263"/>
            <w:vAlign w:val="center"/>
          </w:tcPr>
          <w:p>
            <w:pPr>
              <w:spacing w:after="0" w:before="0"/>
            </w:pPr>
            <w:r>
              <w:rPr>
                <w:sz w:val="14"/>
              </w:rPr>
              <w:t>6.68</w:t>
            </w:r>
          </w:p>
        </w:tc>
        <w:tc>
          <w:tcPr>
            <w:tcW w:type="dxa" w:w="1263"/>
            <w:vAlign w:val="center"/>
          </w:tcPr>
          <w:p>
            <w:pPr>
              <w:spacing w:after="0" w:before="0"/>
            </w:pPr>
            <w:r>
              <w:rPr>
                <w:sz w:val="14"/>
              </w:rPr>
              <w:t>4.13</w:t>
            </w:r>
          </w:p>
        </w:tc>
        <w:tc>
          <w:tcPr>
            <w:tcW w:type="dxa" w:w="1263"/>
            <w:vAlign w:val="center"/>
          </w:tcPr>
          <w:p>
            <w:pPr>
              <w:spacing w:after="0" w:before="0"/>
            </w:pPr>
            <w:r>
              <w:rPr>
                <w:sz w:val="14"/>
              </w:rPr>
              <w:t>6.87</w:t>
            </w:r>
          </w:p>
        </w:tc>
        <w:tc>
          <w:tcPr>
            <w:tcW w:type="dxa" w:w="1263"/>
            <w:vAlign w:val="center"/>
          </w:tcPr>
          <w:p>
            <w:pPr>
              <w:spacing w:after="0" w:before="0"/>
            </w:pPr>
            <w:r>
              <w:rPr>
                <w:sz w:val="14"/>
              </w:rPr>
              <w:t>4.13</w:t>
            </w:r>
          </w:p>
        </w:tc>
      </w:tr>
      <w:tr>
        <w:tc>
          <w:tcPr>
            <w:tcW w:type="dxa" w:w="1263"/>
            <w:vAlign w:val="center"/>
          </w:tcPr>
          <w:p>
            <w:pPr>
              <w:spacing w:after="0" w:before="0"/>
            </w:pPr>
            <w:r>
              <w:rPr>
                <w:sz w:val="14"/>
              </w:rPr>
              <w:t>T-RT2</w:t>
            </w:r>
          </w:p>
        </w:tc>
        <w:tc>
          <w:tcPr>
            <w:tcW w:type="dxa" w:w="1263"/>
            <w:vAlign w:val="center"/>
          </w:tcPr>
          <w:p>
            <w:pPr>
              <w:spacing w:after="0" w:before="0"/>
            </w:pPr>
            <w:r>
              <w:rPr>
                <w:sz w:val="14"/>
              </w:rPr>
              <w:t>36</w:t>
            </w:r>
          </w:p>
        </w:tc>
        <w:tc>
          <w:tcPr>
            <w:tcW w:type="dxa" w:w="1263"/>
            <w:vAlign w:val="center"/>
          </w:tcPr>
          <w:p>
            <w:pPr>
              <w:spacing w:after="0" w:before="0"/>
            </w:pPr>
            <w:r>
              <w:rPr>
                <w:sz w:val="14"/>
              </w:rPr>
              <w:t>7.14</w:t>
            </w:r>
          </w:p>
        </w:tc>
        <w:tc>
          <w:tcPr>
            <w:tcW w:type="dxa" w:w="1263"/>
            <w:vAlign w:val="center"/>
          </w:tcPr>
          <w:p>
            <w:pPr>
              <w:spacing w:after="0" w:before="0"/>
            </w:pPr>
            <w:r>
              <w:rPr>
                <w:sz w:val="14"/>
              </w:rPr>
              <w:t>4.51</w:t>
            </w:r>
          </w:p>
        </w:tc>
        <w:tc>
          <w:tcPr>
            <w:tcW w:type="dxa" w:w="1263"/>
            <w:vAlign w:val="center"/>
          </w:tcPr>
          <w:p>
            <w:pPr>
              <w:spacing w:after="0" w:before="0"/>
            </w:pPr>
            <w:r>
              <w:rPr>
                <w:sz w:val="14"/>
              </w:rPr>
              <w:t>3.57</w:t>
            </w:r>
          </w:p>
        </w:tc>
        <w:tc>
          <w:tcPr>
            <w:tcW w:type="dxa" w:w="1263"/>
            <w:vAlign w:val="center"/>
          </w:tcPr>
          <w:p>
            <w:pPr>
              <w:spacing w:after="0" w:before="0"/>
            </w:pPr>
            <w:r>
              <w:rPr>
                <w:sz w:val="14"/>
              </w:rPr>
              <w:t>4.28</w:t>
            </w:r>
          </w:p>
        </w:tc>
        <w:tc>
          <w:tcPr>
            <w:tcW w:type="dxa" w:w="1263"/>
            <w:vAlign w:val="center"/>
          </w:tcPr>
          <w:p>
            <w:pPr>
              <w:spacing w:after="0" w:before="0"/>
            </w:pPr>
            <w:r>
              <w:rPr>
                <w:sz w:val="14"/>
              </w:rPr>
              <w:t>5.35</w:t>
            </w:r>
          </w:p>
        </w:tc>
        <w:tc>
          <w:tcPr>
            <w:tcW w:type="dxa" w:w="1263"/>
            <w:vAlign w:val="center"/>
          </w:tcPr>
          <w:p>
            <w:pPr>
              <w:spacing w:after="0" w:before="0"/>
            </w:pPr>
            <w:r>
              <w:rPr>
                <w:sz w:val="14"/>
              </w:rPr>
              <w:t>4.28</w:t>
            </w:r>
          </w:p>
        </w:tc>
      </w:tr>
      <w:tr>
        <w:tc>
          <w:tcPr>
            <w:tcW w:type="dxa" w:w="1263"/>
            <w:vAlign w:val="center"/>
          </w:tcPr>
          <w:p>
            <w:pPr>
              <w:spacing w:after="0" w:before="0"/>
            </w:pPr>
            <w:r>
              <w:rPr>
                <w:sz w:val="14"/>
              </w:rPr>
              <w:t>C-CO2</w:t>
            </w:r>
          </w:p>
        </w:tc>
        <w:tc>
          <w:tcPr>
            <w:tcW w:type="dxa" w:w="1263"/>
            <w:vAlign w:val="center"/>
          </w:tcPr>
          <w:p>
            <w:pPr>
              <w:spacing w:after="0" w:before="0"/>
            </w:pPr>
            <w:r>
              <w:rPr>
                <w:sz w:val="14"/>
              </w:rPr>
              <w:t>61</w:t>
            </w:r>
          </w:p>
        </w:tc>
        <w:tc>
          <w:tcPr>
            <w:tcW w:type="dxa" w:w="1263"/>
            <w:vAlign w:val="center"/>
          </w:tcPr>
          <w:p>
            <w:pPr>
              <w:spacing w:after="0" w:before="0"/>
            </w:pPr>
            <w:r>
              <w:rPr>
                <w:sz w:val="14"/>
              </w:rPr>
              <w:t>8.14</w:t>
            </w:r>
          </w:p>
        </w:tc>
        <w:tc>
          <w:tcPr>
            <w:tcW w:type="dxa" w:w="1263"/>
            <w:vAlign w:val="center"/>
          </w:tcPr>
          <w:p>
            <w:pPr>
              <w:spacing w:after="0" w:before="0"/>
            </w:pPr>
            <w:r>
              <w:rPr>
                <w:sz w:val="14"/>
              </w:rPr>
              <w:t>8.14</w:t>
            </w:r>
          </w:p>
        </w:tc>
        <w:tc>
          <w:tcPr>
            <w:tcW w:type="dxa" w:w="1263"/>
            <w:vAlign w:val="center"/>
          </w:tcPr>
          <w:p>
            <w:pPr>
              <w:spacing w:after="0" w:before="0"/>
            </w:pPr>
            <w:r>
              <w:rPr>
                <w:sz w:val="14"/>
              </w:rPr>
              <w:t>6.91</w:t>
            </w:r>
          </w:p>
        </w:tc>
        <w:tc>
          <w:tcPr>
            <w:tcW w:type="dxa" w:w="1263"/>
            <w:vAlign w:val="center"/>
          </w:tcPr>
          <w:p>
            <w:pPr>
              <w:spacing w:after="0" w:before="0"/>
            </w:pPr>
            <w:r>
              <w:rPr>
                <w:sz w:val="14"/>
              </w:rPr>
              <w:t>4.98</w:t>
            </w:r>
          </w:p>
        </w:tc>
        <w:tc>
          <w:tcPr>
            <w:tcW w:type="dxa" w:w="1263"/>
            <w:vAlign w:val="center"/>
          </w:tcPr>
          <w:p>
            <w:pPr>
              <w:spacing w:after="0" w:before="0"/>
            </w:pPr>
            <w:r>
              <w:rPr>
                <w:sz w:val="14"/>
              </w:rPr>
              <w:t>7.53</w:t>
            </w:r>
          </w:p>
        </w:tc>
        <w:tc>
          <w:tcPr>
            <w:tcW w:type="dxa" w:w="1263"/>
            <w:vAlign w:val="center"/>
          </w:tcPr>
          <w:p>
            <w:pPr>
              <w:spacing w:after="0" w:before="0"/>
            </w:pPr>
            <w:r>
              <w:rPr>
                <w:sz w:val="14"/>
              </w:rPr>
              <w:t>4.98</w:t>
            </w:r>
          </w:p>
        </w:tc>
      </w:tr>
      <w:tr>
        <w:tc>
          <w:tcPr>
            <w:tcW w:type="dxa" w:w="1263"/>
            <w:vAlign w:val="center"/>
          </w:tcPr>
          <w:p>
            <w:pPr>
              <w:spacing w:after="0" w:before="0"/>
            </w:pPr>
            <w:r>
              <w:rPr>
                <w:sz w:val="14"/>
              </w:rPr>
              <w:t>T-CO1</w:t>
            </w:r>
          </w:p>
        </w:tc>
        <w:tc>
          <w:tcPr>
            <w:tcW w:type="dxa" w:w="1263"/>
            <w:vAlign w:val="center"/>
          </w:tcPr>
          <w:p>
            <w:pPr>
              <w:spacing w:after="0" w:before="0"/>
            </w:pPr>
            <w:r>
              <w:rPr>
                <w:sz w:val="14"/>
              </w:rPr>
              <w:t>59</w:t>
            </w:r>
          </w:p>
        </w:tc>
        <w:tc>
          <w:tcPr>
            <w:tcW w:type="dxa" w:w="1263"/>
            <w:vAlign w:val="center"/>
          </w:tcPr>
          <w:p>
            <w:pPr>
              <w:spacing w:after="0" w:before="0"/>
            </w:pPr>
            <w:r>
              <w:rPr>
                <w:sz w:val="14"/>
              </w:rPr>
              <w:t>8.07</w:t>
            </w:r>
          </w:p>
        </w:tc>
        <w:tc>
          <w:tcPr>
            <w:tcW w:type="dxa" w:w="1263"/>
            <w:vAlign w:val="center"/>
          </w:tcPr>
          <w:p>
            <w:pPr>
              <w:spacing w:after="0" w:before="0"/>
            </w:pPr>
            <w:r>
              <w:rPr>
                <w:sz w:val="14"/>
              </w:rPr>
              <w:t>8.07</w:t>
            </w:r>
          </w:p>
        </w:tc>
        <w:tc>
          <w:tcPr>
            <w:tcW w:type="dxa" w:w="1263"/>
            <w:vAlign w:val="center"/>
          </w:tcPr>
          <w:p>
            <w:pPr>
              <w:spacing w:after="0" w:before="0"/>
            </w:pPr>
            <w:r>
              <w:rPr>
                <w:sz w:val="14"/>
              </w:rPr>
              <w:t>6.07</w:t>
            </w:r>
          </w:p>
        </w:tc>
        <w:tc>
          <w:tcPr>
            <w:tcW w:type="dxa" w:w="1263"/>
            <w:vAlign w:val="center"/>
          </w:tcPr>
          <w:p>
            <w:pPr>
              <w:spacing w:after="0" w:before="0"/>
            </w:pPr>
            <w:r>
              <w:rPr>
                <w:sz w:val="14"/>
              </w:rPr>
              <w:t>5.16</w:t>
            </w:r>
          </w:p>
        </w:tc>
        <w:tc>
          <w:tcPr>
            <w:tcW w:type="dxa" w:w="1263"/>
            <w:vAlign w:val="center"/>
          </w:tcPr>
          <w:p>
            <w:pPr>
              <w:spacing w:after="0" w:before="0"/>
            </w:pPr>
            <w:r>
              <w:rPr>
                <w:sz w:val="14"/>
              </w:rPr>
              <w:t>7.60</w:t>
            </w:r>
          </w:p>
        </w:tc>
        <w:tc>
          <w:tcPr>
            <w:tcW w:type="dxa" w:w="1263"/>
            <w:vAlign w:val="center"/>
          </w:tcPr>
          <w:p>
            <w:pPr>
              <w:spacing w:after="0" w:before="0"/>
            </w:pPr>
            <w:r>
              <w:rPr>
                <w:sz w:val="14"/>
              </w:rPr>
              <w:t>5.16</w:t>
            </w:r>
          </w:p>
        </w:tc>
      </w:tr>
      <w:tr>
        <w:tc>
          <w:tcPr>
            <w:tcW w:type="dxa" w:w="1263"/>
            <w:vAlign w:val="center"/>
          </w:tcPr>
          <w:p>
            <w:pPr>
              <w:spacing w:after="0" w:before="0"/>
            </w:pPr>
            <w:r>
              <w:rPr>
                <w:sz w:val="14"/>
              </w:rPr>
              <w:t>C-CO39</w:t>
            </w:r>
          </w:p>
        </w:tc>
        <w:tc>
          <w:tcPr>
            <w:tcW w:type="dxa" w:w="1263"/>
            <w:vAlign w:val="center"/>
          </w:tcPr>
          <w:p>
            <w:pPr>
              <w:spacing w:after="0" w:before="0"/>
            </w:pPr>
            <w:r>
              <w:rPr>
                <w:sz w:val="14"/>
              </w:rPr>
              <w:t>246</w:t>
            </w:r>
          </w:p>
        </w:tc>
        <w:tc>
          <w:tcPr>
            <w:tcW w:type="dxa" w:w="1263"/>
            <w:vAlign w:val="center"/>
          </w:tcPr>
          <w:p>
            <w:pPr>
              <w:spacing w:after="0" w:before="0"/>
            </w:pPr>
            <w:r>
              <w:rPr>
                <w:sz w:val="14"/>
              </w:rPr>
              <w:t>11.54</w:t>
            </w:r>
          </w:p>
        </w:tc>
        <w:tc>
          <w:tcPr>
            <w:tcW w:type="dxa" w:w="1263"/>
            <w:vAlign w:val="center"/>
          </w:tcPr>
          <w:p>
            <w:pPr>
              <w:spacing w:after="0" w:before="0"/>
            </w:pPr>
            <w:r>
              <w:rPr>
                <w:sz w:val="14"/>
              </w:rPr>
              <w:t>11.54</w:t>
            </w:r>
          </w:p>
        </w:tc>
        <w:tc>
          <w:tcPr>
            <w:tcW w:type="dxa" w:w="1263"/>
            <w:vAlign w:val="center"/>
          </w:tcPr>
          <w:p>
            <w:pPr>
              <w:spacing w:after="0" w:before="0"/>
            </w:pPr>
            <w:r>
              <w:rPr>
                <w:sz w:val="14"/>
              </w:rPr>
              <w:t>7.75</w:t>
            </w:r>
          </w:p>
        </w:tc>
        <w:tc>
          <w:tcPr>
            <w:tcW w:type="dxa" w:w="1263"/>
            <w:vAlign w:val="center"/>
          </w:tcPr>
          <w:p>
            <w:pPr>
              <w:spacing w:after="0" w:before="0"/>
            </w:pPr>
            <w:r>
              <w:rPr>
                <w:sz w:val="14"/>
              </w:rPr>
              <w:t>6.21</w:t>
            </w:r>
          </w:p>
        </w:tc>
        <w:tc>
          <w:tcPr>
            <w:tcW w:type="dxa" w:w="1263"/>
            <w:vAlign w:val="center"/>
          </w:tcPr>
          <w:p>
            <w:pPr>
              <w:spacing w:after="0" w:before="0"/>
            </w:pPr>
            <w:r>
              <w:rPr>
                <w:sz w:val="14"/>
              </w:rPr>
              <w:t>11.54</w:t>
            </w:r>
          </w:p>
        </w:tc>
        <w:tc>
          <w:tcPr>
            <w:tcW w:type="dxa" w:w="1263"/>
            <w:vAlign w:val="center"/>
          </w:tcPr>
          <w:p>
            <w:pPr>
              <w:spacing w:after="0" w:before="0"/>
            </w:pPr>
            <w:r>
              <w:rPr>
                <w:sz w:val="14"/>
              </w:rPr>
              <w:t>6.21</w:t>
            </w:r>
          </w:p>
        </w:tc>
      </w:tr>
      <w:tr>
        <w:tc>
          <w:tcPr>
            <w:tcW w:type="dxa" w:w="1263"/>
            <w:vAlign w:val="center"/>
          </w:tcPr>
          <w:p>
            <w:pPr>
              <w:spacing w:after="0" w:before="0"/>
            </w:pPr>
            <w:r>
              <w:rPr>
                <w:sz w:val="14"/>
              </w:rPr>
              <w:t>C-CO21</w:t>
            </w:r>
          </w:p>
        </w:tc>
        <w:tc>
          <w:tcPr>
            <w:tcW w:type="dxa" w:w="1263"/>
            <w:vAlign w:val="center"/>
          </w:tcPr>
          <w:p>
            <w:pPr>
              <w:spacing w:after="0" w:before="0"/>
            </w:pPr>
            <w:r>
              <w:rPr>
                <w:sz w:val="14"/>
              </w:rPr>
              <w:t>61</w:t>
            </w:r>
          </w:p>
        </w:tc>
        <w:tc>
          <w:tcPr>
            <w:tcW w:type="dxa" w:w="1263"/>
            <w:vAlign w:val="center"/>
          </w:tcPr>
          <w:p>
            <w:pPr>
              <w:spacing w:after="0" w:before="0"/>
            </w:pPr>
            <w:r>
              <w:rPr>
                <w:sz w:val="14"/>
              </w:rPr>
              <w:t>8.14</w:t>
            </w:r>
          </w:p>
        </w:tc>
        <w:tc>
          <w:tcPr>
            <w:tcW w:type="dxa" w:w="1263"/>
            <w:vAlign w:val="center"/>
          </w:tcPr>
          <w:p>
            <w:pPr>
              <w:spacing w:after="0" w:before="0"/>
            </w:pPr>
            <w:r>
              <w:rPr>
                <w:sz w:val="14"/>
              </w:rPr>
              <w:t>8.14</w:t>
            </w:r>
          </w:p>
        </w:tc>
        <w:tc>
          <w:tcPr>
            <w:tcW w:type="dxa" w:w="1263"/>
            <w:vAlign w:val="center"/>
          </w:tcPr>
          <w:p>
            <w:pPr>
              <w:spacing w:after="0" w:before="0"/>
            </w:pPr>
            <w:r>
              <w:rPr>
                <w:sz w:val="14"/>
              </w:rPr>
              <w:t>6.54</w:t>
            </w:r>
          </w:p>
        </w:tc>
        <w:tc>
          <w:tcPr>
            <w:tcW w:type="dxa" w:w="1263"/>
            <w:vAlign w:val="center"/>
          </w:tcPr>
          <w:p>
            <w:pPr>
              <w:spacing w:after="0" w:before="0"/>
            </w:pPr>
            <w:r>
              <w:rPr>
                <w:sz w:val="14"/>
              </w:rPr>
              <w:t>4.03</w:t>
            </w:r>
          </w:p>
        </w:tc>
        <w:tc>
          <w:tcPr>
            <w:tcW w:type="dxa" w:w="1263"/>
            <w:vAlign w:val="center"/>
          </w:tcPr>
          <w:p>
            <w:pPr>
              <w:spacing w:after="0" w:before="0"/>
            </w:pPr>
            <w:r>
              <w:rPr>
                <w:sz w:val="14"/>
              </w:rPr>
              <w:t>6.58</w:t>
            </w:r>
          </w:p>
        </w:tc>
        <w:tc>
          <w:tcPr>
            <w:tcW w:type="dxa" w:w="1263"/>
            <w:vAlign w:val="center"/>
          </w:tcPr>
          <w:p>
            <w:pPr>
              <w:spacing w:after="0" w:before="0"/>
            </w:pPr>
            <w:r>
              <w:rPr>
                <w:sz w:val="14"/>
              </w:rPr>
              <w:t>4.03</w:t>
            </w:r>
          </w:p>
        </w:tc>
      </w:tr>
      <w:tr>
        <w:tc>
          <w:tcPr>
            <w:tcW w:type="dxa" w:w="1263"/>
            <w:vAlign w:val="center"/>
          </w:tcPr>
          <w:p>
            <w:pPr>
              <w:spacing w:after="0" w:before="0"/>
            </w:pPr>
            <w:r>
              <w:rPr>
                <w:sz w:val="14"/>
              </w:rPr>
              <w:t>J-CO1</w:t>
            </w:r>
          </w:p>
        </w:tc>
        <w:tc>
          <w:tcPr>
            <w:tcW w:type="dxa" w:w="1263"/>
            <w:vAlign w:val="center"/>
          </w:tcPr>
          <w:p>
            <w:pPr>
              <w:spacing w:after="0" w:before="0"/>
            </w:pPr>
            <w:r>
              <w:rPr>
                <w:sz w:val="14"/>
              </w:rPr>
              <w:t>18</w:t>
            </w:r>
          </w:p>
        </w:tc>
        <w:tc>
          <w:tcPr>
            <w:tcW w:type="dxa" w:w="1263"/>
            <w:vAlign w:val="center"/>
          </w:tcPr>
          <w:p>
            <w:pPr>
              <w:spacing w:after="0" w:before="0"/>
            </w:pPr>
            <w:r>
              <w:rPr>
                <w:sz w:val="14"/>
              </w:rPr>
              <w:t>6.00</w:t>
            </w:r>
          </w:p>
        </w:tc>
        <w:tc>
          <w:tcPr>
            <w:tcW w:type="dxa" w:w="1263"/>
            <w:vAlign w:val="center"/>
          </w:tcPr>
          <w:p>
            <w:pPr>
              <w:spacing w:after="0" w:before="0"/>
            </w:pPr>
            <w:r>
              <w:rPr>
                <w:sz w:val="14"/>
              </w:rPr>
              <w:t>5.43</w:t>
            </w:r>
          </w:p>
        </w:tc>
        <w:tc>
          <w:tcPr>
            <w:tcW w:type="dxa" w:w="1263"/>
            <w:vAlign w:val="center"/>
          </w:tcPr>
          <w:p>
            <w:pPr>
              <w:spacing w:after="0" w:before="0"/>
            </w:pPr>
            <w:r>
              <w:rPr>
                <w:sz w:val="14"/>
              </w:rPr>
              <w:t>3.57</w:t>
            </w:r>
          </w:p>
        </w:tc>
        <w:tc>
          <w:tcPr>
            <w:tcW w:type="dxa" w:w="1263"/>
            <w:vAlign w:val="center"/>
          </w:tcPr>
          <w:p>
            <w:pPr>
              <w:spacing w:after="0" w:before="0"/>
            </w:pPr>
            <w:r>
              <w:rPr>
                <w:sz w:val="14"/>
              </w:rPr>
              <w:t>3.75</w:t>
            </w:r>
          </w:p>
        </w:tc>
        <w:tc>
          <w:tcPr>
            <w:tcW w:type="dxa" w:w="1263"/>
            <w:vAlign w:val="center"/>
          </w:tcPr>
          <w:p>
            <w:pPr>
              <w:spacing w:after="0" w:before="0"/>
            </w:pPr>
            <w:r>
              <w:rPr>
                <w:sz w:val="14"/>
              </w:rPr>
              <w:t>5.72</w:t>
            </w:r>
          </w:p>
        </w:tc>
        <w:tc>
          <w:tcPr>
            <w:tcW w:type="dxa" w:w="1263"/>
            <w:vAlign w:val="center"/>
          </w:tcPr>
          <w:p>
            <w:pPr>
              <w:spacing w:after="0" w:before="0"/>
            </w:pPr>
            <w:r>
              <w:rPr>
                <w:sz w:val="14"/>
              </w:rPr>
              <w:t>3.75</w:t>
            </w:r>
          </w:p>
        </w:tc>
      </w:tr>
      <w:tr>
        <w:tc>
          <w:tcPr>
            <w:tcW w:type="dxa" w:w="1263"/>
            <w:vAlign w:val="center"/>
          </w:tcPr>
          <w:p>
            <w:pPr>
              <w:spacing w:after="0" w:before="0"/>
            </w:pPr>
            <w:r>
              <w:rPr>
                <w:sz w:val="14"/>
              </w:rPr>
              <w:t>M-CO7</w:t>
            </w:r>
          </w:p>
        </w:tc>
        <w:tc>
          <w:tcPr>
            <w:tcW w:type="dxa" w:w="1263"/>
            <w:vAlign w:val="center"/>
          </w:tcPr>
          <w:p>
            <w:pPr>
              <w:spacing w:after="0" w:before="0"/>
            </w:pPr>
            <w:r>
              <w:rPr>
                <w:sz w:val="14"/>
              </w:rPr>
              <w:t>26</w:t>
            </w:r>
          </w:p>
        </w:tc>
        <w:tc>
          <w:tcPr>
            <w:tcW w:type="dxa" w:w="1263"/>
            <w:vAlign w:val="center"/>
          </w:tcPr>
          <w:p>
            <w:pPr>
              <w:spacing w:after="0" w:before="0"/>
            </w:pPr>
            <w:r>
              <w:rPr>
                <w:sz w:val="14"/>
              </w:rPr>
              <w:t>6.58</w:t>
            </w:r>
          </w:p>
        </w:tc>
        <w:tc>
          <w:tcPr>
            <w:tcW w:type="dxa" w:w="1263"/>
            <w:vAlign w:val="center"/>
          </w:tcPr>
          <w:p>
            <w:pPr>
              <w:spacing w:after="0" w:before="0"/>
            </w:pPr>
            <w:r>
              <w:rPr>
                <w:sz w:val="14"/>
              </w:rPr>
              <w:t>6.58</w:t>
            </w:r>
          </w:p>
        </w:tc>
        <w:tc>
          <w:tcPr>
            <w:tcW w:type="dxa" w:w="1263"/>
            <w:vAlign w:val="center"/>
          </w:tcPr>
          <w:p>
            <w:pPr>
              <w:spacing w:after="0" w:before="0"/>
            </w:pPr>
            <w:r>
              <w:rPr>
                <w:sz w:val="14"/>
              </w:rPr>
              <w:t>5.82</w:t>
            </w:r>
          </w:p>
        </w:tc>
        <w:tc>
          <w:tcPr>
            <w:tcW w:type="dxa" w:w="1263"/>
            <w:vAlign w:val="center"/>
          </w:tcPr>
          <w:p>
            <w:pPr>
              <w:spacing w:after="0" w:before="0"/>
            </w:pPr>
            <w:r>
              <w:rPr>
                <w:sz w:val="14"/>
              </w:rPr>
              <w:t>4.56</w:t>
            </w:r>
          </w:p>
        </w:tc>
        <w:tc>
          <w:tcPr>
            <w:tcW w:type="dxa" w:w="1263"/>
            <w:vAlign w:val="center"/>
          </w:tcPr>
          <w:p>
            <w:pPr>
              <w:spacing w:after="0" w:before="0"/>
            </w:pPr>
            <w:r>
              <w:rPr>
                <w:sz w:val="14"/>
              </w:rPr>
              <w:t>6.58</w:t>
            </w:r>
          </w:p>
        </w:tc>
        <w:tc>
          <w:tcPr>
            <w:tcW w:type="dxa" w:w="1263"/>
            <w:vAlign w:val="center"/>
          </w:tcPr>
          <w:p>
            <w:pPr>
              <w:spacing w:after="0" w:before="0"/>
            </w:pPr>
            <w:r>
              <w:rPr>
                <w:sz w:val="14"/>
              </w:rPr>
              <w:t>4.56</w:t>
            </w:r>
          </w:p>
        </w:tc>
      </w:tr>
      <w:tr>
        <w:tc>
          <w:tcPr>
            <w:tcW w:type="dxa" w:w="1263"/>
            <w:vAlign w:val="center"/>
          </w:tcPr>
          <w:p>
            <w:pPr>
              <w:spacing w:after="0" w:before="0"/>
            </w:pPr>
            <w:r>
              <w:rPr>
                <w:sz w:val="14"/>
              </w:rPr>
              <w:t>C-RT12</w:t>
            </w:r>
          </w:p>
        </w:tc>
        <w:tc>
          <w:tcPr>
            <w:tcW w:type="dxa" w:w="1263"/>
            <w:vAlign w:val="center"/>
          </w:tcPr>
          <w:p>
            <w:pPr>
              <w:spacing w:after="0" w:before="0"/>
            </w:pPr>
            <w:r>
              <w:rPr>
                <w:sz w:val="14"/>
              </w:rPr>
              <w:t>78</w:t>
            </w:r>
          </w:p>
        </w:tc>
        <w:tc>
          <w:tcPr>
            <w:tcW w:type="dxa" w:w="1263"/>
            <w:vAlign w:val="center"/>
          </w:tcPr>
          <w:p>
            <w:pPr>
              <w:spacing w:after="0" w:before="0"/>
            </w:pPr>
            <w:r>
              <w:rPr>
                <w:sz w:val="14"/>
              </w:rPr>
              <w:t>8.66</w:t>
            </w:r>
          </w:p>
        </w:tc>
        <w:tc>
          <w:tcPr>
            <w:tcW w:type="dxa" w:w="1263"/>
            <w:vAlign w:val="center"/>
          </w:tcPr>
          <w:p>
            <w:pPr>
              <w:spacing w:after="0" w:before="0"/>
            </w:pPr>
            <w:r>
              <w:rPr>
                <w:sz w:val="14"/>
              </w:rPr>
              <w:t>7.15</w:t>
            </w:r>
          </w:p>
        </w:tc>
        <w:tc>
          <w:tcPr>
            <w:tcW w:type="dxa" w:w="1263"/>
            <w:vAlign w:val="center"/>
          </w:tcPr>
          <w:p>
            <w:pPr>
              <w:spacing w:after="0" w:before="0"/>
            </w:pPr>
            <w:r>
              <w:rPr>
                <w:sz w:val="14"/>
              </w:rPr>
              <w:t>5.45</w:t>
            </w:r>
          </w:p>
        </w:tc>
        <w:tc>
          <w:tcPr>
            <w:tcW w:type="dxa" w:w="1263"/>
            <w:vAlign w:val="center"/>
          </w:tcPr>
          <w:p>
            <w:pPr>
              <w:spacing w:after="0" w:before="0"/>
            </w:pPr>
            <w:r>
              <w:rPr>
                <w:sz w:val="14"/>
              </w:rPr>
              <w:t>6.16</w:t>
            </w:r>
          </w:p>
        </w:tc>
        <w:tc>
          <w:tcPr>
            <w:tcW w:type="dxa" w:w="1263"/>
            <w:vAlign w:val="center"/>
          </w:tcPr>
          <w:p>
            <w:pPr>
              <w:spacing w:after="0" w:before="0"/>
            </w:pPr>
            <w:r>
              <w:rPr>
                <w:sz w:val="14"/>
              </w:rPr>
              <w:t>8.66</w:t>
            </w:r>
          </w:p>
        </w:tc>
        <w:tc>
          <w:tcPr>
            <w:tcW w:type="dxa" w:w="1263"/>
            <w:vAlign w:val="center"/>
          </w:tcPr>
          <w:p>
            <w:pPr>
              <w:spacing w:after="0" w:before="0"/>
            </w:pPr>
            <w:r>
              <w:rPr>
                <w:sz w:val="14"/>
              </w:rPr>
              <w:t>6.16</w:t>
            </w:r>
          </w:p>
        </w:tc>
      </w:tr>
    </w:tbl>
    <w:p>
      <w:pPr>
        <w:spacing w:after="0"/>
      </w:pPr>
    </w:p>
    <w:p>
      <w:pPr>
        <w:pStyle w:val="SmallNote"/>
      </w:pPr>
      <w:r>
        <w:t>S = supervised; T = time-only. These are preregistered nominal d-prime training radii. PGD6 is in raw L2 units and is not numerically commensurate with these values; DIFF8 and SP8 always use d-prime epsilon = 8.</w:t>
      </w:r>
    </w:p>
    <w:p>
      <w:pPr>
        <w:pStyle w:val="Heading2"/>
      </w:pPr>
      <w:r>
        <w:t>2.2 Training and evaluation settings</w:t>
      </w:r>
    </w:p>
    <w:tbl>
      <w:tblPr>
        <w:tblStyle w:val="LightShading-Accent1"/>
        <w:tblW w:type="auto" w:w="0"/>
        <w:jc w:val="center"/>
        <w:tblLayout w:type="autofit"/>
        <w:tblLook w:firstColumn="1" w:firstRow="1" w:lastColumn="0" w:lastRow="0" w:noHBand="0" w:noVBand="1" w:val="04A0"/>
      </w:tblPr>
      <w:tblGrid>
        <w:gridCol w:w="5054"/>
        <w:gridCol w:w="5054"/>
      </w:tblGrid>
      <w:tr>
        <w:tc>
          <w:tcPr>
            <w:tcW w:type="dxa" w:w="5054"/>
            <w:shd w:fill="17334B"/>
            <w:vAlign w:val="center"/>
          </w:tcPr>
          <w:p>
            <w:pPr>
              <w:spacing w:after="0" w:before="0"/>
            </w:pPr>
            <w:r>
              <w:rPr>
                <w:b/>
                <w:color w:val="FFFFFF"/>
                <w:sz w:val="15"/>
              </w:rPr>
              <w:t>Component</w:t>
            </w:r>
          </w:p>
        </w:tc>
        <w:tc>
          <w:tcPr>
            <w:tcW w:type="dxa" w:w="5054"/>
            <w:shd w:fill="17334B"/>
            <w:vAlign w:val="center"/>
          </w:tcPr>
          <w:p>
            <w:pPr>
              <w:spacing w:after="0" w:before="0"/>
            </w:pPr>
            <w:r>
              <w:rPr>
                <w:b/>
                <w:color w:val="FFFFFF"/>
                <w:sz w:val="15"/>
              </w:rPr>
              <w:t>Frozen configuration</w:t>
            </w:r>
          </w:p>
        </w:tc>
      </w:tr>
      <w:tr>
        <w:tc>
          <w:tcPr>
            <w:tcW w:type="dxa" w:w="5054"/>
            <w:vAlign w:val="center"/>
          </w:tcPr>
          <w:p>
            <w:pPr>
              <w:spacing w:after="0" w:before="0"/>
            </w:pPr>
            <w:r>
              <w:rPr>
                <w:sz w:val="15"/>
              </w:rPr>
              <w:t>Neural encoder</w:t>
            </w:r>
          </w:p>
        </w:tc>
        <w:tc>
          <w:tcPr>
            <w:tcW w:type="dxa" w:w="5054"/>
            <w:vAlign w:val="center"/>
          </w:tcPr>
          <w:p>
            <w:pPr>
              <w:spacing w:after="0" w:before="0"/>
            </w:pPr>
            <w:r>
              <w:rPr>
                <w:sz w:val="15"/>
              </w:rPr>
              <w:t>CEBRA offset36-model-more-dropout; 64-D embedding; 64 hidden units; 3,000 iterations; temperature 0.4; batch 2,048</w:t>
            </w:r>
          </w:p>
        </w:tc>
      </w:tr>
      <w:tr>
        <w:tc>
          <w:tcPr>
            <w:tcW w:type="dxa" w:w="5054"/>
            <w:vAlign w:val="center"/>
          </w:tcPr>
          <w:p>
            <w:pPr>
              <w:spacing w:after="0" w:before="0"/>
            </w:pPr>
            <w:r>
              <w:rPr>
                <w:sz w:val="15"/>
              </w:rPr>
              <w:t>Encoder supervision</w:t>
            </w:r>
          </w:p>
        </w:tc>
        <w:tc>
          <w:tcPr>
            <w:tcW w:type="dxa" w:w="5054"/>
            <w:vAlign w:val="center"/>
          </w:tcPr>
          <w:p>
            <w:pPr>
              <w:spacing w:after="0" w:before="0"/>
            </w:pPr>
            <w:r>
              <w:rPr>
                <w:sz w:val="15"/>
              </w:rPr>
              <w:t>Supervised CEBRA.fit(X_train, y_train), time_delta conditional, hybrid=False; time-only CEBRA.fit(X_train)</w:t>
            </w:r>
          </w:p>
        </w:tc>
      </w:tr>
      <w:tr>
        <w:tc>
          <w:tcPr>
            <w:tcW w:type="dxa" w:w="5054"/>
            <w:vAlign w:val="center"/>
          </w:tcPr>
          <w:p>
            <w:pPr>
              <w:spacing w:after="0" w:before="0"/>
            </w:pPr>
            <w:r>
              <w:rPr>
                <w:sz w:val="15"/>
              </w:rPr>
              <w:t>Decoder</w:t>
            </w:r>
          </w:p>
        </w:tc>
        <w:tc>
          <w:tcPr>
            <w:tcW w:type="dxa" w:w="5054"/>
            <w:vAlign w:val="center"/>
          </w:tcPr>
          <w:p>
            <w:pPr>
              <w:spacing w:after="0" w:before="0"/>
            </w:pPr>
            <w:r>
              <w:rPr>
                <w:sz w:val="15"/>
              </w:rPr>
              <w:t>2-layer MLP; 2,500 training epochs; test metric is mean validation decoding R2</w:t>
            </w:r>
          </w:p>
        </w:tc>
      </w:tr>
      <w:tr>
        <w:tc>
          <w:tcPr>
            <w:tcW w:type="dxa" w:w="5054"/>
            <w:vAlign w:val="center"/>
          </w:tcPr>
          <w:p>
            <w:pPr>
              <w:spacing w:after="0" w:before="0"/>
            </w:pPr>
            <w:r>
              <w:rPr>
                <w:sz w:val="15"/>
              </w:rPr>
              <w:t>Adversarial training</w:t>
            </w:r>
          </w:p>
        </w:tc>
        <w:tc>
          <w:tcPr>
            <w:tcW w:type="dxa" w:w="5054"/>
            <w:vAlign w:val="center"/>
          </w:tcPr>
          <w:p>
            <w:pPr>
              <w:spacing w:after="0" w:before="0"/>
            </w:pPr>
            <w:r>
              <w:rPr>
                <w:sz w:val="15"/>
              </w:rPr>
              <w:t>Madry-style objective; 10 attack steps; d-prime APGD with 1 restart; no curriculum, guards or warm-up</w:t>
            </w:r>
          </w:p>
        </w:tc>
      </w:tr>
      <w:tr>
        <w:tc>
          <w:tcPr>
            <w:tcW w:type="dxa" w:w="5054"/>
            <w:vAlign w:val="center"/>
          </w:tcPr>
          <w:p>
            <w:pPr>
              <w:spacing w:after="0" w:before="0"/>
            </w:pPr>
            <w:r>
              <w:rPr>
                <w:sz w:val="15"/>
              </w:rPr>
              <w:t>Robustness evaluation</w:t>
            </w:r>
          </w:p>
        </w:tc>
        <w:tc>
          <w:tcPr>
            <w:tcW w:type="dxa" w:w="5054"/>
            <w:vAlign w:val="center"/>
          </w:tcPr>
          <w:p>
            <w:pPr>
              <w:spacing w:after="0" w:before="0"/>
            </w:pPr>
            <w:r>
              <w:rPr>
                <w:sz w:val="15"/>
              </w:rPr>
              <w:t>White-box full encoder+decoder attack, 20 APGD steps, d-prime budgets 0.5, 1, 2, 4, 8, 16; noise-shaped reference and isotropic threat geometries</w:t>
            </w:r>
          </w:p>
        </w:tc>
      </w:tr>
      <w:tr>
        <w:tc>
          <w:tcPr>
            <w:tcW w:type="dxa" w:w="5054"/>
            <w:vAlign w:val="center"/>
          </w:tcPr>
          <w:p>
            <w:pPr>
              <w:spacing w:after="0" w:before="0"/>
            </w:pPr>
            <w:r>
              <w:rPr>
                <w:sz w:val="15"/>
              </w:rPr>
              <w:t>Additional evaluation</w:t>
            </w:r>
          </w:p>
        </w:tc>
        <w:tc>
          <w:tcPr>
            <w:tcW w:type="dxa" w:w="5054"/>
            <w:vAlign w:val="center"/>
          </w:tcPr>
          <w:p>
            <w:pPr>
              <w:spacing w:after="0" w:before="0"/>
            </w:pPr>
            <w:r>
              <w:rPr>
                <w:sz w:val="15"/>
              </w:rPr>
              <w:t>1024-window margin estimation, 100 steps; natural-noise decoding; held-out reference covariance estimated from complete training split</w:t>
            </w:r>
          </w:p>
        </w:tc>
      </w:tr>
      <w:tr>
        <w:tc>
          <w:tcPr>
            <w:tcW w:type="dxa" w:w="5054"/>
            <w:vAlign w:val="center"/>
          </w:tcPr>
          <w:p>
            <w:pPr>
              <w:spacing w:after="0" w:before="0"/>
            </w:pPr>
            <w:r>
              <w:rPr>
                <w:sz w:val="15"/>
              </w:rPr>
              <w:t>Compute / reproducibility</w:t>
            </w:r>
          </w:p>
        </w:tc>
        <w:tc>
          <w:tcPr>
            <w:tcW w:type="dxa" w:w="5054"/>
            <w:vAlign w:val="center"/>
          </w:tcPr>
          <w:p>
            <w:pPr>
              <w:spacing w:after="0" w:before="0"/>
            </w:pPr>
            <w:r>
              <w:rPr>
                <w:sz w:val="15"/>
              </w:rPr>
              <w:t>Four NVIDIA H200 GPUs; seeds 42/43/44; checkpoint, config, hash and evaluation records preserved for all 360 fits</w:t>
            </w:r>
          </w:p>
        </w:tc>
      </w:tr>
    </w:tbl>
    <w:p>
      <w:pPr>
        <w:spacing w:after="0"/>
      </w:pPr>
    </w:p>
    <w:p>
      <w:r>
        <w:t>The main robustness statistic epsilon_1/2 is the smallest attack budget (interpolated across the evaluation grid) that halves each model’s clean decoding R2. Higher is better. A reported value of exactly 0.500 represents the evaluation floor: the threshold may be at or below the smallest tested budget. We call this an operational floor failure rather than equating it with an unconstrained generalization or training failure.</w:t>
      </w:r>
    </w:p>
    <w:p>
      <w:pPr>
        <w:pStyle w:val="Heading1"/>
      </w:pPr>
      <w:r>
        <w:t>3. Main results: supervised CEBRA (210/210 successful)</w:t>
      </w:r>
    </w:p>
    <w:tbl>
      <w:tblPr>
        <w:tblStyle w:val="LightShading-Accent1"/>
        <w:tblW w:type="auto" w:w="0"/>
        <w:jc w:val="center"/>
        <w:tblLayout w:type="autofit"/>
        <w:tblLook w:firstColumn="1" w:firstRow="1" w:lastColumn="0" w:lastRow="0" w:noHBand="0" w:noVBand="1" w:val="04A0"/>
      </w:tblPr>
      <w:tblGrid>
        <w:gridCol w:w="1444"/>
        <w:gridCol w:w="1444"/>
        <w:gridCol w:w="1444"/>
        <w:gridCol w:w="1444"/>
        <w:gridCol w:w="1444"/>
        <w:gridCol w:w="1444"/>
        <w:gridCol w:w="1444"/>
      </w:tblGrid>
      <w:tr>
        <w:tc>
          <w:tcPr>
            <w:tcW w:type="dxa" w:w="1444"/>
            <w:shd w:fill="17334B"/>
            <w:vAlign w:val="center"/>
          </w:tcPr>
          <w:p>
            <w:pPr>
              <w:spacing w:after="0" w:before="0"/>
            </w:pPr>
            <w:r>
              <w:rPr>
                <w:b/>
                <w:color w:val="FFFFFF"/>
                <w:sz w:val="14"/>
              </w:rPr>
              <w:t>Arm</w:t>
            </w:r>
          </w:p>
        </w:tc>
        <w:tc>
          <w:tcPr>
            <w:tcW w:type="dxa" w:w="1444"/>
            <w:shd w:fill="17334B"/>
            <w:vAlign w:val="center"/>
          </w:tcPr>
          <w:p>
            <w:pPr>
              <w:spacing w:after="0" w:before="0"/>
            </w:pPr>
            <w:r>
              <w:rPr>
                <w:b/>
                <w:color w:val="FFFFFF"/>
                <w:sz w:val="14"/>
              </w:rPr>
              <w:t>Clean R2 mean</w:t>
            </w:r>
          </w:p>
        </w:tc>
        <w:tc>
          <w:tcPr>
            <w:tcW w:type="dxa" w:w="1444"/>
            <w:shd w:fill="17334B"/>
            <w:vAlign w:val="center"/>
          </w:tcPr>
          <w:p>
            <w:pPr>
              <w:spacing w:after="0" w:before="0"/>
            </w:pPr>
            <w:r>
              <w:rPr>
                <w:b/>
                <w:color w:val="FFFFFF"/>
                <w:sz w:val="14"/>
              </w:rPr>
              <w:t>Ref eps½ med.</w:t>
            </w:r>
          </w:p>
        </w:tc>
        <w:tc>
          <w:tcPr>
            <w:tcW w:type="dxa" w:w="1444"/>
            <w:shd w:fill="17334B"/>
            <w:vAlign w:val="center"/>
          </w:tcPr>
          <w:p>
            <w:pPr>
              <w:spacing w:after="0" w:before="0"/>
            </w:pPr>
            <w:r>
              <w:rPr>
                <w:b/>
                <w:color w:val="FFFFFF"/>
                <w:sz w:val="14"/>
              </w:rPr>
              <w:t>Iso eps½ mean</w:t>
            </w:r>
          </w:p>
        </w:tc>
        <w:tc>
          <w:tcPr>
            <w:tcW w:type="dxa" w:w="1444"/>
            <w:shd w:fill="17334B"/>
            <w:vAlign w:val="center"/>
          </w:tcPr>
          <w:p>
            <w:pPr>
              <w:spacing w:after="0" w:before="0"/>
            </w:pPr>
            <w:r>
              <w:rPr>
                <w:b/>
                <w:color w:val="FFFFFF"/>
                <w:sz w:val="14"/>
              </w:rPr>
              <w:t>Ref / PGD6</w:t>
            </w:r>
          </w:p>
        </w:tc>
        <w:tc>
          <w:tcPr>
            <w:tcW w:type="dxa" w:w="1444"/>
            <w:shd w:fill="17334B"/>
            <w:vAlign w:val="center"/>
          </w:tcPr>
          <w:p>
            <w:pPr>
              <w:spacing w:after="0" w:before="0"/>
            </w:pPr>
            <w:r>
              <w:rPr>
                <w:b/>
                <w:color w:val="FFFFFF"/>
                <w:sz w:val="14"/>
              </w:rPr>
              <w:t>Floor failures</w:t>
            </w:r>
          </w:p>
        </w:tc>
        <w:tc>
          <w:tcPr>
            <w:tcW w:type="dxa" w:w="1444"/>
            <w:shd w:fill="17334B"/>
            <w:vAlign w:val="center"/>
          </w:tcPr>
          <w:p>
            <w:pPr>
              <w:spacing w:after="0" w:before="0"/>
            </w:pPr>
            <w:r>
              <w:rPr>
                <w:b/>
                <w:color w:val="FFFFFF"/>
                <w:sz w:val="14"/>
              </w:rPr>
              <w:t>Δ clean vs PGD6</w:t>
            </w:r>
          </w:p>
        </w:tc>
      </w:tr>
      <w:tr>
        <w:tc>
          <w:tcPr>
            <w:tcW w:type="dxa" w:w="1444"/>
            <w:vAlign w:val="center"/>
          </w:tcPr>
          <w:p>
            <w:pPr>
              <w:spacing w:after="0" w:before="0"/>
            </w:pPr>
            <w:r>
              <w:rPr>
                <w:sz w:val="14"/>
              </w:rPr>
              <w:t>PGD6</w:t>
            </w:r>
          </w:p>
        </w:tc>
        <w:tc>
          <w:tcPr>
            <w:tcW w:type="dxa" w:w="1444"/>
            <w:vAlign w:val="center"/>
          </w:tcPr>
          <w:p>
            <w:pPr>
              <w:spacing w:after="0" w:before="0"/>
            </w:pPr>
            <w:r>
              <w:rPr>
                <w:sz w:val="14"/>
              </w:rPr>
              <w:t>0.701</w:t>
            </w:r>
          </w:p>
        </w:tc>
        <w:tc>
          <w:tcPr>
            <w:tcW w:type="dxa" w:w="1444"/>
            <w:vAlign w:val="center"/>
          </w:tcPr>
          <w:p>
            <w:pPr>
              <w:spacing w:after="0" w:before="0"/>
            </w:pPr>
            <w:r>
              <w:rPr>
                <w:sz w:val="14"/>
              </w:rPr>
              <w:t>1.397</w:t>
            </w:r>
          </w:p>
        </w:tc>
        <w:tc>
          <w:tcPr>
            <w:tcW w:type="dxa" w:w="1444"/>
            <w:vAlign w:val="center"/>
          </w:tcPr>
          <w:p>
            <w:pPr>
              <w:spacing w:after="0" w:before="0"/>
            </w:pPr>
            <w:r>
              <w:rPr>
                <w:sz w:val="14"/>
              </w:rPr>
              <w:t>3.015</w:t>
            </w:r>
          </w:p>
        </w:tc>
        <w:tc>
          <w:tcPr>
            <w:tcW w:type="dxa" w:w="1444"/>
            <w:vAlign w:val="center"/>
          </w:tcPr>
          <w:p>
            <w:pPr>
              <w:spacing w:after="0" w:before="0"/>
            </w:pPr>
            <w:r>
              <w:rPr>
                <w:sz w:val="14"/>
              </w:rPr>
              <w:t>1.000</w:t>
            </w:r>
          </w:p>
        </w:tc>
        <w:tc>
          <w:tcPr>
            <w:tcW w:type="dxa" w:w="1444"/>
            <w:vAlign w:val="center"/>
          </w:tcPr>
          <w:p>
            <w:pPr>
              <w:spacing w:after="0" w:before="0"/>
            </w:pPr>
            <w:r>
              <w:rPr>
                <w:sz w:val="14"/>
              </w:rPr>
              <w:t>3/30</w:t>
            </w:r>
          </w:p>
        </w:tc>
        <w:tc>
          <w:tcPr>
            <w:tcW w:type="dxa" w:w="1444"/>
            <w:vAlign w:val="center"/>
          </w:tcPr>
          <w:p>
            <w:pPr>
              <w:spacing w:after="0" w:before="0"/>
            </w:pPr>
            <w:r>
              <w:rPr>
                <w:sz w:val="14"/>
              </w:rPr>
              <w:t>—</w:t>
            </w:r>
          </w:p>
        </w:tc>
      </w:tr>
      <w:tr>
        <w:tc>
          <w:tcPr>
            <w:tcW w:type="dxa" w:w="1444"/>
            <w:vAlign w:val="center"/>
          </w:tcPr>
          <w:p>
            <w:pPr>
              <w:spacing w:after="0" w:before="0"/>
            </w:pPr>
            <w:r>
              <w:rPr>
                <w:sz w:val="14"/>
              </w:rPr>
              <w:t>DIFF8</w:t>
            </w:r>
          </w:p>
        </w:tc>
        <w:tc>
          <w:tcPr>
            <w:tcW w:type="dxa" w:w="1444"/>
            <w:vAlign w:val="center"/>
          </w:tcPr>
          <w:p>
            <w:pPr>
              <w:spacing w:after="0" w:before="0"/>
            </w:pPr>
            <w:r>
              <w:rPr>
                <w:sz w:val="14"/>
              </w:rPr>
              <w:t>0.703</w:t>
            </w:r>
          </w:p>
        </w:tc>
        <w:tc>
          <w:tcPr>
            <w:tcW w:type="dxa" w:w="1444"/>
            <w:vAlign w:val="center"/>
          </w:tcPr>
          <w:p>
            <w:pPr>
              <w:spacing w:after="0" w:before="0"/>
            </w:pPr>
            <w:r>
              <w:rPr>
                <w:sz w:val="14"/>
              </w:rPr>
              <w:t>2.018</w:t>
            </w:r>
          </w:p>
        </w:tc>
        <w:tc>
          <w:tcPr>
            <w:tcW w:type="dxa" w:w="1444"/>
            <w:vAlign w:val="center"/>
          </w:tcPr>
          <w:p>
            <w:pPr>
              <w:spacing w:after="0" w:before="0"/>
            </w:pPr>
            <w:r>
              <w:rPr>
                <w:sz w:val="14"/>
              </w:rPr>
              <w:t>2.018</w:t>
            </w:r>
          </w:p>
        </w:tc>
        <w:tc>
          <w:tcPr>
            <w:tcW w:type="dxa" w:w="1444"/>
            <w:vAlign w:val="center"/>
          </w:tcPr>
          <w:p>
            <w:pPr>
              <w:spacing w:after="0" w:before="0"/>
            </w:pPr>
            <w:r>
              <w:rPr>
                <w:sz w:val="14"/>
              </w:rPr>
              <w:t>1.174</w:t>
            </w:r>
          </w:p>
        </w:tc>
        <w:tc>
          <w:tcPr>
            <w:tcW w:type="dxa" w:w="1444"/>
            <w:vAlign w:val="center"/>
          </w:tcPr>
          <w:p>
            <w:pPr>
              <w:spacing w:after="0" w:before="0"/>
            </w:pPr>
            <w:r>
              <w:rPr>
                <w:sz w:val="14"/>
              </w:rPr>
              <w:t>3/30</w:t>
            </w:r>
          </w:p>
        </w:tc>
        <w:tc>
          <w:tcPr>
            <w:tcW w:type="dxa" w:w="1444"/>
            <w:vAlign w:val="center"/>
          </w:tcPr>
          <w:p>
            <w:pPr>
              <w:spacing w:after="0" w:before="0"/>
            </w:pPr>
            <w:r>
              <w:rPr>
                <w:sz w:val="14"/>
              </w:rPr>
              <w:t>0.0019</w:t>
            </w:r>
          </w:p>
        </w:tc>
      </w:tr>
      <w:tr>
        <w:tc>
          <w:tcPr>
            <w:tcW w:type="dxa" w:w="1444"/>
            <w:vAlign w:val="center"/>
          </w:tcPr>
          <w:p>
            <w:pPr>
              <w:spacing w:after="0" w:before="0"/>
            </w:pPr>
            <w:r>
              <w:rPr>
                <w:sz w:val="14"/>
              </w:rPr>
              <w:t>DIFF/BEH</w:t>
            </w:r>
          </w:p>
        </w:tc>
        <w:tc>
          <w:tcPr>
            <w:tcW w:type="dxa" w:w="1444"/>
            <w:vAlign w:val="center"/>
          </w:tcPr>
          <w:p>
            <w:pPr>
              <w:spacing w:after="0" w:before="0"/>
            </w:pPr>
            <w:r>
              <w:rPr>
                <w:sz w:val="14"/>
              </w:rPr>
              <w:t>0.701</w:t>
            </w:r>
          </w:p>
        </w:tc>
        <w:tc>
          <w:tcPr>
            <w:tcW w:type="dxa" w:w="1444"/>
            <w:vAlign w:val="center"/>
          </w:tcPr>
          <w:p>
            <w:pPr>
              <w:spacing w:after="0" w:before="0"/>
            </w:pPr>
            <w:r>
              <w:rPr>
                <w:sz w:val="14"/>
              </w:rPr>
              <w:t>2.020</w:t>
            </w:r>
          </w:p>
        </w:tc>
        <w:tc>
          <w:tcPr>
            <w:tcW w:type="dxa" w:w="1444"/>
            <w:vAlign w:val="center"/>
          </w:tcPr>
          <w:p>
            <w:pPr>
              <w:spacing w:after="0" w:before="0"/>
            </w:pPr>
            <w:r>
              <w:rPr>
                <w:sz w:val="14"/>
              </w:rPr>
              <w:t>1.990</w:t>
            </w:r>
          </w:p>
        </w:tc>
        <w:tc>
          <w:tcPr>
            <w:tcW w:type="dxa" w:w="1444"/>
            <w:vAlign w:val="center"/>
          </w:tcPr>
          <w:p>
            <w:pPr>
              <w:spacing w:after="0" w:before="0"/>
            </w:pPr>
            <w:r>
              <w:rPr>
                <w:sz w:val="14"/>
              </w:rPr>
              <w:t>1.166</w:t>
            </w:r>
          </w:p>
        </w:tc>
        <w:tc>
          <w:tcPr>
            <w:tcW w:type="dxa" w:w="1444"/>
            <w:vAlign w:val="center"/>
          </w:tcPr>
          <w:p>
            <w:pPr>
              <w:spacing w:after="0" w:before="0"/>
            </w:pPr>
            <w:r>
              <w:rPr>
                <w:sz w:val="14"/>
              </w:rPr>
              <w:t>0/30</w:t>
            </w:r>
          </w:p>
        </w:tc>
        <w:tc>
          <w:tcPr>
            <w:tcW w:type="dxa" w:w="1444"/>
            <w:vAlign w:val="center"/>
          </w:tcPr>
          <w:p>
            <w:pPr>
              <w:spacing w:after="0" w:before="0"/>
            </w:pPr>
            <w:r>
              <w:rPr>
                <w:sz w:val="14"/>
              </w:rPr>
              <w:t>0.0002</w:t>
            </w:r>
          </w:p>
        </w:tc>
      </w:tr>
      <w:tr>
        <w:tc>
          <w:tcPr>
            <w:tcW w:type="dxa" w:w="1444"/>
            <w:vAlign w:val="center"/>
          </w:tcPr>
          <w:p>
            <w:pPr>
              <w:spacing w:after="0" w:before="0"/>
            </w:pPr>
            <w:r>
              <w:rPr>
                <w:sz w:val="14"/>
              </w:rPr>
              <w:t>POOL/BEH</w:t>
            </w:r>
          </w:p>
        </w:tc>
        <w:tc>
          <w:tcPr>
            <w:tcW w:type="dxa" w:w="1444"/>
            <w:vAlign w:val="center"/>
          </w:tcPr>
          <w:p>
            <w:pPr>
              <w:spacing w:after="0" w:before="0"/>
            </w:pPr>
            <w:r>
              <w:rPr>
                <w:sz w:val="14"/>
              </w:rPr>
              <w:t>0.695</w:t>
            </w:r>
          </w:p>
        </w:tc>
        <w:tc>
          <w:tcPr>
            <w:tcW w:type="dxa" w:w="1444"/>
            <w:vAlign w:val="center"/>
          </w:tcPr>
          <w:p>
            <w:pPr>
              <w:spacing w:after="0" w:before="0"/>
            </w:pPr>
            <w:r>
              <w:rPr>
                <w:sz w:val="14"/>
              </w:rPr>
              <w:t>1.889</w:t>
            </w:r>
          </w:p>
        </w:tc>
        <w:tc>
          <w:tcPr>
            <w:tcW w:type="dxa" w:w="1444"/>
            <w:vAlign w:val="center"/>
          </w:tcPr>
          <w:p>
            <w:pPr>
              <w:spacing w:after="0" w:before="0"/>
            </w:pPr>
            <w:r>
              <w:rPr>
                <w:sz w:val="14"/>
              </w:rPr>
              <w:t>2.329</w:t>
            </w:r>
          </w:p>
        </w:tc>
        <w:tc>
          <w:tcPr>
            <w:tcW w:type="dxa" w:w="1444"/>
            <w:vAlign w:val="center"/>
          </w:tcPr>
          <w:p>
            <w:pPr>
              <w:spacing w:after="0" w:before="0"/>
            </w:pPr>
            <w:r>
              <w:rPr>
                <w:sz w:val="14"/>
              </w:rPr>
              <w:t>1.121</w:t>
            </w:r>
          </w:p>
        </w:tc>
        <w:tc>
          <w:tcPr>
            <w:tcW w:type="dxa" w:w="1444"/>
            <w:vAlign w:val="center"/>
          </w:tcPr>
          <w:p>
            <w:pPr>
              <w:spacing w:after="0" w:before="0"/>
            </w:pPr>
            <w:r>
              <w:rPr>
                <w:sz w:val="14"/>
              </w:rPr>
              <w:t>0/30</w:t>
            </w:r>
          </w:p>
        </w:tc>
        <w:tc>
          <w:tcPr>
            <w:tcW w:type="dxa" w:w="1444"/>
            <w:vAlign w:val="center"/>
          </w:tcPr>
          <w:p>
            <w:pPr>
              <w:spacing w:after="0" w:before="0"/>
            </w:pPr>
            <w:r>
              <w:rPr>
                <w:sz w:val="14"/>
              </w:rPr>
              <w:t>-0.0058</w:t>
            </w:r>
          </w:p>
        </w:tc>
      </w:tr>
      <w:tr>
        <w:tc>
          <w:tcPr>
            <w:tcW w:type="dxa" w:w="1444"/>
            <w:vAlign w:val="center"/>
          </w:tcPr>
          <w:p>
            <w:pPr>
              <w:spacing w:after="0" w:before="0"/>
            </w:pPr>
            <w:r>
              <w:rPr>
                <w:sz w:val="14"/>
              </w:rPr>
              <w:t>SP/SIG</w:t>
            </w:r>
          </w:p>
        </w:tc>
        <w:tc>
          <w:tcPr>
            <w:tcW w:type="dxa" w:w="1444"/>
            <w:vAlign w:val="center"/>
          </w:tcPr>
          <w:p>
            <w:pPr>
              <w:spacing w:after="0" w:before="0"/>
            </w:pPr>
            <w:r>
              <w:rPr>
                <w:sz w:val="14"/>
              </w:rPr>
              <w:t>0.700</w:t>
            </w:r>
          </w:p>
        </w:tc>
        <w:tc>
          <w:tcPr>
            <w:tcW w:type="dxa" w:w="1444"/>
            <w:vAlign w:val="center"/>
          </w:tcPr>
          <w:p>
            <w:pPr>
              <w:spacing w:after="0" w:before="0"/>
            </w:pPr>
            <w:r>
              <w:rPr>
                <w:sz w:val="14"/>
              </w:rPr>
              <w:t>1.814</w:t>
            </w:r>
          </w:p>
        </w:tc>
        <w:tc>
          <w:tcPr>
            <w:tcW w:type="dxa" w:w="1444"/>
            <w:vAlign w:val="center"/>
          </w:tcPr>
          <w:p>
            <w:pPr>
              <w:spacing w:after="0" w:before="0"/>
            </w:pPr>
            <w:r>
              <w:rPr>
                <w:sz w:val="14"/>
              </w:rPr>
              <w:t>1.517</w:t>
            </w:r>
          </w:p>
        </w:tc>
        <w:tc>
          <w:tcPr>
            <w:tcW w:type="dxa" w:w="1444"/>
            <w:vAlign w:val="center"/>
          </w:tcPr>
          <w:p>
            <w:pPr>
              <w:spacing w:after="0" w:before="0"/>
            </w:pPr>
            <w:r>
              <w:rPr>
                <w:sz w:val="14"/>
              </w:rPr>
              <w:t>1.109</w:t>
            </w:r>
          </w:p>
        </w:tc>
        <w:tc>
          <w:tcPr>
            <w:tcW w:type="dxa" w:w="1444"/>
            <w:vAlign w:val="center"/>
          </w:tcPr>
          <w:p>
            <w:pPr>
              <w:spacing w:after="0" w:before="0"/>
            </w:pPr>
            <w:r>
              <w:rPr>
                <w:sz w:val="14"/>
              </w:rPr>
              <w:t>0/30</w:t>
            </w:r>
          </w:p>
        </w:tc>
        <w:tc>
          <w:tcPr>
            <w:tcW w:type="dxa" w:w="1444"/>
            <w:vAlign w:val="center"/>
          </w:tcPr>
          <w:p>
            <w:pPr>
              <w:spacing w:after="0" w:before="0"/>
            </w:pPr>
            <w:r>
              <w:rPr>
                <w:sz w:val="14"/>
              </w:rPr>
              <w:t>-0.0012</w:t>
            </w:r>
          </w:p>
        </w:tc>
      </w:tr>
      <w:tr>
        <w:tc>
          <w:tcPr>
            <w:tcW w:type="dxa" w:w="1444"/>
            <w:vAlign w:val="center"/>
          </w:tcPr>
          <w:p>
            <w:pPr>
              <w:spacing w:after="0" w:before="0"/>
            </w:pPr>
            <w:r>
              <w:rPr>
                <w:sz w:val="14"/>
              </w:rPr>
              <w:t>SP/BEH</w:t>
            </w:r>
          </w:p>
        </w:tc>
        <w:tc>
          <w:tcPr>
            <w:tcW w:type="dxa" w:w="1444"/>
            <w:vAlign w:val="center"/>
          </w:tcPr>
          <w:p>
            <w:pPr>
              <w:spacing w:after="0" w:before="0"/>
            </w:pPr>
            <w:r>
              <w:rPr>
                <w:sz w:val="14"/>
              </w:rPr>
              <w:t>0.688</w:t>
            </w:r>
          </w:p>
        </w:tc>
        <w:tc>
          <w:tcPr>
            <w:tcW w:type="dxa" w:w="1444"/>
            <w:vAlign w:val="center"/>
          </w:tcPr>
          <w:p>
            <w:pPr>
              <w:spacing w:after="0" w:before="0"/>
            </w:pPr>
            <w:r>
              <w:rPr>
                <w:sz w:val="14"/>
              </w:rPr>
              <w:t>1.714</w:t>
            </w:r>
          </w:p>
        </w:tc>
        <w:tc>
          <w:tcPr>
            <w:tcW w:type="dxa" w:w="1444"/>
            <w:vAlign w:val="center"/>
          </w:tcPr>
          <w:p>
            <w:pPr>
              <w:spacing w:after="0" w:before="0"/>
            </w:pPr>
            <w:r>
              <w:rPr>
                <w:sz w:val="14"/>
              </w:rPr>
              <w:t>1.427</w:t>
            </w:r>
          </w:p>
        </w:tc>
        <w:tc>
          <w:tcPr>
            <w:tcW w:type="dxa" w:w="1444"/>
            <w:vAlign w:val="center"/>
          </w:tcPr>
          <w:p>
            <w:pPr>
              <w:spacing w:after="0" w:before="0"/>
            </w:pPr>
            <w:r>
              <w:rPr>
                <w:sz w:val="14"/>
              </w:rPr>
              <w:t>1.051</w:t>
            </w:r>
          </w:p>
        </w:tc>
        <w:tc>
          <w:tcPr>
            <w:tcW w:type="dxa" w:w="1444"/>
            <w:vAlign w:val="center"/>
          </w:tcPr>
          <w:p>
            <w:pPr>
              <w:spacing w:after="0" w:before="0"/>
            </w:pPr>
            <w:r>
              <w:rPr>
                <w:sz w:val="14"/>
              </w:rPr>
              <w:t>2/30</w:t>
            </w:r>
          </w:p>
        </w:tc>
        <w:tc>
          <w:tcPr>
            <w:tcW w:type="dxa" w:w="1444"/>
            <w:vAlign w:val="center"/>
          </w:tcPr>
          <w:p>
            <w:pPr>
              <w:spacing w:after="0" w:before="0"/>
            </w:pPr>
            <w:r>
              <w:rPr>
                <w:sz w:val="14"/>
              </w:rPr>
              <w:t>-0.0132</w:t>
            </w:r>
          </w:p>
        </w:tc>
      </w:tr>
      <w:tr>
        <w:tc>
          <w:tcPr>
            <w:tcW w:type="dxa" w:w="1444"/>
            <w:vAlign w:val="center"/>
          </w:tcPr>
          <w:p>
            <w:pPr>
              <w:spacing w:after="0" w:before="0"/>
            </w:pPr>
            <w:r>
              <w:rPr>
                <w:sz w:val="14"/>
              </w:rPr>
              <w:t>SP8</w:t>
            </w:r>
          </w:p>
        </w:tc>
        <w:tc>
          <w:tcPr>
            <w:tcW w:type="dxa" w:w="1444"/>
            <w:vAlign w:val="center"/>
          </w:tcPr>
          <w:p>
            <w:pPr>
              <w:spacing w:after="0" w:before="0"/>
            </w:pPr>
            <w:r>
              <w:rPr>
                <w:sz w:val="14"/>
              </w:rPr>
              <w:t>0.686</w:t>
            </w:r>
          </w:p>
        </w:tc>
        <w:tc>
          <w:tcPr>
            <w:tcW w:type="dxa" w:w="1444"/>
            <w:vAlign w:val="center"/>
          </w:tcPr>
          <w:p>
            <w:pPr>
              <w:spacing w:after="0" w:before="0"/>
            </w:pPr>
            <w:r>
              <w:rPr>
                <w:sz w:val="14"/>
              </w:rPr>
              <w:t>1.203</w:t>
            </w:r>
          </w:p>
        </w:tc>
        <w:tc>
          <w:tcPr>
            <w:tcW w:type="dxa" w:w="1444"/>
            <w:vAlign w:val="center"/>
          </w:tcPr>
          <w:p>
            <w:pPr>
              <w:spacing w:after="0" w:before="0"/>
            </w:pPr>
            <w:r>
              <w:rPr>
                <w:sz w:val="14"/>
              </w:rPr>
              <w:t>1.033</w:t>
            </w:r>
          </w:p>
        </w:tc>
        <w:tc>
          <w:tcPr>
            <w:tcW w:type="dxa" w:w="1444"/>
            <w:vAlign w:val="center"/>
          </w:tcPr>
          <w:p>
            <w:pPr>
              <w:spacing w:after="0" w:before="0"/>
            </w:pPr>
            <w:r>
              <w:rPr>
                <w:sz w:val="14"/>
              </w:rPr>
              <w:t>0.699</w:t>
            </w:r>
          </w:p>
        </w:tc>
        <w:tc>
          <w:tcPr>
            <w:tcW w:type="dxa" w:w="1444"/>
            <w:vAlign w:val="center"/>
          </w:tcPr>
          <w:p>
            <w:pPr>
              <w:spacing w:after="0" w:before="0"/>
            </w:pPr>
            <w:r>
              <w:rPr>
                <w:sz w:val="14"/>
              </w:rPr>
              <w:t>10/30</w:t>
            </w:r>
          </w:p>
        </w:tc>
        <w:tc>
          <w:tcPr>
            <w:tcW w:type="dxa" w:w="1444"/>
            <w:vAlign w:val="center"/>
          </w:tcPr>
          <w:p>
            <w:pPr>
              <w:spacing w:after="0" w:before="0"/>
            </w:pPr>
            <w:r>
              <w:rPr>
                <w:sz w:val="14"/>
              </w:rPr>
              <w:t>-0.0145</w:t>
            </w:r>
          </w:p>
        </w:tc>
      </w:tr>
    </w:tbl>
    <w:p>
      <w:pPr>
        <w:spacing w:after="0"/>
      </w:pPr>
    </w:p>
    <w:p>
      <w:pPr>
        <w:pStyle w:val="SmallNote"/>
      </w:pPr>
      <w:r>
        <w:t>Arithmetic average of model-level clean R2 and isotropic thresholds; reference half-damage median shown for absolute scale; robustness ratios use matched (session, seed) geometric means, not a ratio of marginal medians.</w:t>
      </w:r>
    </w:p>
    <w:p>
      <w:r>
        <w:t>Fixed DIFF8 has the largest aggregate reference ratio to PGD6 (1.1738), narrowly ahead of DIFF/BEH (1.1663). DIFF/BEH nevertheless records 25/30 wins over PGD6 and avoids all three floor failures seen under DIFF8, PGD6 and a total of 10 under SP8. Clean-decoding difference DIFF/BEH − DIFF8 is −0.00167 R2, and the natural-noise R2 mean is 0.613 vs 0.585 for DIFF8 (descriptive, not a separate significance claim). SP/BEH is not interchangeable with DIFF/BEH: its reference ratio to DIFF8 is 0.896 and its clean R2 drops by 0.0151.</w:t>
      </w:r>
    </w:p>
    <w:p>
      <w:pPr>
        <w:jc w:val="center"/>
      </w:pPr>
      <w:r>
        <w:drawing>
          <wp:inline xmlns:a="http://schemas.openxmlformats.org/drawingml/2006/main" xmlns:pic="http://schemas.openxmlformats.org/drawingml/2006/picture">
            <wp:extent cx="6126480" cy="2775269"/>
            <wp:docPr id="1" name="Picture 1"/>
            <wp:cNvGraphicFramePr>
              <a:graphicFrameLocks noChangeAspect="1"/>
            </wp:cNvGraphicFramePr>
            <a:graphic>
              <a:graphicData uri="http://schemas.openxmlformats.org/drawingml/2006/picture">
                <pic:pic>
                  <pic:nvPicPr>
                    <pic:cNvPr id="0" name="exp11_fig_robustness.png"/>
                    <pic:cNvPicPr/>
                  </pic:nvPicPr>
                  <pic:blipFill>
                    <a:blip r:embed="rId11"/>
                    <a:stretch>
                      <a:fillRect/>
                    </a:stretch>
                  </pic:blipFill>
                  <pic:spPr>
                    <a:xfrm>
                      <a:off x="0" y="0"/>
                      <a:ext cx="6126480" cy="2775269"/>
                    </a:xfrm>
                    <a:prstGeom prst="rect"/>
                  </pic:spPr>
                </pic:pic>
              </a:graphicData>
            </a:graphic>
          </wp:inline>
        </w:drawing>
      </w:r>
    </w:p>
    <w:p>
      <w:pPr>
        <w:pStyle w:val="SmallNote"/>
      </w:pPr>
      <w:r>
        <w:t>Figure 1. Paired noise-shaped robustness relative to raw-L2 PGD6, with cluster bootstrap confidence intervals across the ten sessions. Values above 1 mean a higher half-damage threshold.</w:t>
      </w:r>
    </w:p>
    <w:p>
      <w:pPr>
        <w:pStyle w:val="Heading2"/>
      </w:pPr>
      <w:r>
        <w:t>3.1 Direct comparison with fixed DIFF8 (primary automatic-budget endpoint)</w:t>
      </w:r>
    </w:p>
    <w:p>
      <w:r>
        <w:t>Across 30 matched session/seed pairs, DIFF/BEH versus DIFF8 yields a noise-shaped threshold ratio of 0.9936 (95% session-bootstrap CI [0.9589, 1.0246]), 16 wins / 30 paired runs, an isotropic threshold ratio of 0.9822, and mean Δ clean R2 of -0.00167. This is strong evidence for close performance against a robust fixed reference; the confidence interval spanning 1 does not establish formal equivalence without a prespecified equivalence margin and an appropriate equivalence test.</w:t>
      </w:r>
    </w:p>
    <w:p>
      <w:r>
        <w:t>The most consequential difference is concentrated in T-RT2: DIFF8 reaches the 0.5 reference evaluation floor in all three seeds, whereas DIFF/BEH achieves approximately 0.532–0.542. This avoids the recorded floor, but the absolute robustness margin is small; a denser evaluation grid below 0.5 would clarify the effect size. The automatically selected DIFF budget on T-RT2 is 4.506, versus a fixed 8.000. Other sessions predominantly receive near-8 or capped higher budgets, which explains the very close aggregate performance.</w:t>
      </w:r>
    </w:p>
    <w:p>
      <w:pPr>
        <w:pStyle w:val="Heading2"/>
      </w:pPr>
      <w:r>
        <w:t>3.2 Per-session reference robustness, supervised</w:t>
      </w:r>
    </w:p>
    <w:tbl>
      <w:tblPr>
        <w:tblStyle w:val="LightShading-Accent1"/>
        <w:tblW w:type="auto" w:w="0"/>
        <w:jc w:val="center"/>
        <w:tblLayout w:type="autofit"/>
        <w:tblLook w:firstColumn="1" w:firstRow="1" w:lastColumn="0" w:lastRow="0" w:noHBand="0" w:noVBand="1" w:val="04A0"/>
      </w:tblPr>
      <w:tblGrid>
        <w:gridCol w:w="1263"/>
        <w:gridCol w:w="1263"/>
        <w:gridCol w:w="1263"/>
        <w:gridCol w:w="1263"/>
        <w:gridCol w:w="1263"/>
        <w:gridCol w:w="1263"/>
        <w:gridCol w:w="1263"/>
        <w:gridCol w:w="1263"/>
      </w:tblGrid>
      <w:tr>
        <w:tc>
          <w:tcPr>
            <w:tcW w:type="dxa" w:w="1263"/>
            <w:shd w:fill="17334B"/>
            <w:vAlign w:val="center"/>
          </w:tcPr>
          <w:p>
            <w:pPr>
              <w:spacing w:after="0" w:before="0"/>
            </w:pPr>
            <w:r>
              <w:rPr>
                <w:b/>
                <w:color w:val="FFFFFF"/>
                <w:sz w:val="14"/>
              </w:rPr>
              <w:t>Session</w:t>
            </w:r>
          </w:p>
        </w:tc>
        <w:tc>
          <w:tcPr>
            <w:tcW w:type="dxa" w:w="1263"/>
            <w:shd w:fill="17334B"/>
            <w:vAlign w:val="center"/>
          </w:tcPr>
          <w:p>
            <w:pPr>
              <w:spacing w:after="0" w:before="0"/>
            </w:pPr>
            <w:r>
              <w:rPr>
                <w:b/>
                <w:color w:val="FFFFFF"/>
                <w:sz w:val="14"/>
              </w:rPr>
              <w:t>PGD6</w:t>
            </w:r>
          </w:p>
        </w:tc>
        <w:tc>
          <w:tcPr>
            <w:tcW w:type="dxa" w:w="1263"/>
            <w:shd w:fill="17334B"/>
            <w:vAlign w:val="center"/>
          </w:tcPr>
          <w:p>
            <w:pPr>
              <w:spacing w:after="0" w:before="0"/>
            </w:pPr>
            <w:r>
              <w:rPr>
                <w:b/>
                <w:color w:val="FFFFFF"/>
                <w:sz w:val="14"/>
              </w:rPr>
              <w:t>DIFF8</w:t>
            </w:r>
          </w:p>
        </w:tc>
        <w:tc>
          <w:tcPr>
            <w:tcW w:type="dxa" w:w="1263"/>
            <w:shd w:fill="17334B"/>
            <w:vAlign w:val="center"/>
          </w:tcPr>
          <w:p>
            <w:pPr>
              <w:spacing w:after="0" w:before="0"/>
            </w:pPr>
            <w:r>
              <w:rPr>
                <w:b/>
                <w:color w:val="FFFFFF"/>
                <w:sz w:val="14"/>
              </w:rPr>
              <w:t>DIFF/BEH</w:t>
            </w:r>
          </w:p>
        </w:tc>
        <w:tc>
          <w:tcPr>
            <w:tcW w:type="dxa" w:w="1263"/>
            <w:shd w:fill="17334B"/>
            <w:vAlign w:val="center"/>
          </w:tcPr>
          <w:p>
            <w:pPr>
              <w:spacing w:after="0" w:before="0"/>
            </w:pPr>
            <w:r>
              <w:rPr>
                <w:b/>
                <w:color w:val="FFFFFF"/>
                <w:sz w:val="14"/>
              </w:rPr>
              <w:t>POOL/BEH</w:t>
            </w:r>
          </w:p>
        </w:tc>
        <w:tc>
          <w:tcPr>
            <w:tcW w:type="dxa" w:w="1263"/>
            <w:shd w:fill="17334B"/>
            <w:vAlign w:val="center"/>
          </w:tcPr>
          <w:p>
            <w:pPr>
              <w:spacing w:after="0" w:before="0"/>
            </w:pPr>
            <w:r>
              <w:rPr>
                <w:b/>
                <w:color w:val="FFFFFF"/>
                <w:sz w:val="14"/>
              </w:rPr>
              <w:t>SP/SIG</w:t>
            </w:r>
          </w:p>
        </w:tc>
        <w:tc>
          <w:tcPr>
            <w:tcW w:type="dxa" w:w="1263"/>
            <w:shd w:fill="17334B"/>
            <w:vAlign w:val="center"/>
          </w:tcPr>
          <w:p>
            <w:pPr>
              <w:spacing w:after="0" w:before="0"/>
            </w:pPr>
            <w:r>
              <w:rPr>
                <w:b/>
                <w:color w:val="FFFFFF"/>
                <w:sz w:val="14"/>
              </w:rPr>
              <w:t>SP/BEH</w:t>
            </w:r>
          </w:p>
        </w:tc>
        <w:tc>
          <w:tcPr>
            <w:tcW w:type="dxa" w:w="1263"/>
            <w:shd w:fill="17334B"/>
            <w:vAlign w:val="center"/>
          </w:tcPr>
          <w:p>
            <w:pPr>
              <w:spacing w:after="0" w:before="0"/>
            </w:pPr>
            <w:r>
              <w:rPr>
                <w:b/>
                <w:color w:val="FFFFFF"/>
                <w:sz w:val="14"/>
              </w:rPr>
              <w:t>SP8</w:t>
            </w:r>
          </w:p>
        </w:tc>
      </w:tr>
      <w:tr>
        <w:tc>
          <w:tcPr>
            <w:tcW w:type="dxa" w:w="1263"/>
            <w:vAlign w:val="center"/>
          </w:tcPr>
          <w:p>
            <w:pPr>
              <w:spacing w:after="0" w:before="0"/>
            </w:pPr>
            <w:r>
              <w:rPr>
                <w:sz w:val="14"/>
              </w:rPr>
              <w:t>C-CO25</w:t>
            </w:r>
          </w:p>
        </w:tc>
        <w:tc>
          <w:tcPr>
            <w:tcW w:type="dxa" w:w="1263"/>
            <w:vAlign w:val="center"/>
          </w:tcPr>
          <w:p>
            <w:pPr>
              <w:spacing w:after="0" w:before="0"/>
            </w:pPr>
            <w:r>
              <w:rPr>
                <w:sz w:val="14"/>
              </w:rPr>
              <w:t>2.087</w:t>
            </w:r>
          </w:p>
        </w:tc>
        <w:tc>
          <w:tcPr>
            <w:tcW w:type="dxa" w:w="1263"/>
            <w:vAlign w:val="center"/>
          </w:tcPr>
          <w:p>
            <w:pPr>
              <w:spacing w:after="0" w:before="0"/>
            </w:pPr>
            <w:r>
              <w:rPr>
                <w:sz w:val="14"/>
              </w:rPr>
              <w:t>2.210</w:t>
            </w:r>
          </w:p>
        </w:tc>
        <w:tc>
          <w:tcPr>
            <w:tcW w:type="dxa" w:w="1263"/>
            <w:vAlign w:val="center"/>
          </w:tcPr>
          <w:p>
            <w:pPr>
              <w:spacing w:after="0" w:before="0"/>
            </w:pPr>
            <w:r>
              <w:rPr>
                <w:sz w:val="14"/>
              </w:rPr>
              <w:t>2.193</w:t>
            </w:r>
          </w:p>
        </w:tc>
        <w:tc>
          <w:tcPr>
            <w:tcW w:type="dxa" w:w="1263"/>
            <w:vAlign w:val="center"/>
          </w:tcPr>
          <w:p>
            <w:pPr>
              <w:spacing w:after="0" w:before="0"/>
            </w:pPr>
            <w:r>
              <w:rPr>
                <w:sz w:val="14"/>
              </w:rPr>
              <w:t>2.101</w:t>
            </w:r>
          </w:p>
        </w:tc>
        <w:tc>
          <w:tcPr>
            <w:tcW w:type="dxa" w:w="1263"/>
            <w:vAlign w:val="center"/>
          </w:tcPr>
          <w:p>
            <w:pPr>
              <w:spacing w:after="0" w:before="0"/>
            </w:pPr>
            <w:r>
              <w:rPr>
                <w:sz w:val="14"/>
              </w:rPr>
              <w:t>2.049</w:t>
            </w:r>
          </w:p>
        </w:tc>
        <w:tc>
          <w:tcPr>
            <w:tcW w:type="dxa" w:w="1263"/>
            <w:vAlign w:val="center"/>
          </w:tcPr>
          <w:p>
            <w:pPr>
              <w:spacing w:after="0" w:before="0"/>
            </w:pPr>
            <w:r>
              <w:rPr>
                <w:sz w:val="14"/>
              </w:rPr>
              <w:t>2.055</w:t>
            </w:r>
          </w:p>
        </w:tc>
        <w:tc>
          <w:tcPr>
            <w:tcW w:type="dxa" w:w="1263"/>
            <w:vAlign w:val="center"/>
          </w:tcPr>
          <w:p>
            <w:pPr>
              <w:spacing w:after="0" w:before="0"/>
            </w:pPr>
            <w:r>
              <w:rPr>
                <w:sz w:val="14"/>
              </w:rPr>
              <w:t>1.621</w:t>
            </w:r>
          </w:p>
        </w:tc>
      </w:tr>
      <w:tr>
        <w:tc>
          <w:tcPr>
            <w:tcW w:type="dxa" w:w="1263"/>
            <w:vAlign w:val="center"/>
          </w:tcPr>
          <w:p>
            <w:pPr>
              <w:spacing w:after="0" w:before="0"/>
            </w:pPr>
            <w:r>
              <w:rPr>
                <w:sz w:val="14"/>
              </w:rPr>
              <w:t>C-CO26</w:t>
            </w:r>
          </w:p>
        </w:tc>
        <w:tc>
          <w:tcPr>
            <w:tcW w:type="dxa" w:w="1263"/>
            <w:vAlign w:val="center"/>
          </w:tcPr>
          <w:p>
            <w:pPr>
              <w:spacing w:after="0" w:before="0"/>
            </w:pPr>
            <w:r>
              <w:rPr>
                <w:sz w:val="14"/>
              </w:rPr>
              <w:t>2.034</w:t>
            </w:r>
          </w:p>
        </w:tc>
        <w:tc>
          <w:tcPr>
            <w:tcW w:type="dxa" w:w="1263"/>
            <w:vAlign w:val="center"/>
          </w:tcPr>
          <w:p>
            <w:pPr>
              <w:spacing w:after="0" w:before="0"/>
            </w:pPr>
            <w:r>
              <w:rPr>
                <w:sz w:val="14"/>
              </w:rPr>
              <w:t>2.093</w:t>
            </w:r>
          </w:p>
        </w:tc>
        <w:tc>
          <w:tcPr>
            <w:tcW w:type="dxa" w:w="1263"/>
            <w:vAlign w:val="center"/>
          </w:tcPr>
          <w:p>
            <w:pPr>
              <w:spacing w:after="0" w:before="0"/>
            </w:pPr>
            <w:r>
              <w:rPr>
                <w:sz w:val="14"/>
              </w:rPr>
              <w:t>2.098</w:t>
            </w:r>
          </w:p>
        </w:tc>
        <w:tc>
          <w:tcPr>
            <w:tcW w:type="dxa" w:w="1263"/>
            <w:vAlign w:val="center"/>
          </w:tcPr>
          <w:p>
            <w:pPr>
              <w:spacing w:after="0" w:before="0"/>
            </w:pPr>
            <w:r>
              <w:rPr>
                <w:sz w:val="14"/>
              </w:rPr>
              <w:t>2.026</w:t>
            </w:r>
          </w:p>
        </w:tc>
        <w:tc>
          <w:tcPr>
            <w:tcW w:type="dxa" w:w="1263"/>
            <w:vAlign w:val="center"/>
          </w:tcPr>
          <w:p>
            <w:pPr>
              <w:spacing w:after="0" w:before="0"/>
            </w:pPr>
            <w:r>
              <w:rPr>
                <w:sz w:val="14"/>
              </w:rPr>
              <w:t>2.022</w:t>
            </w:r>
          </w:p>
        </w:tc>
        <w:tc>
          <w:tcPr>
            <w:tcW w:type="dxa" w:w="1263"/>
            <w:vAlign w:val="center"/>
          </w:tcPr>
          <w:p>
            <w:pPr>
              <w:spacing w:after="0" w:before="0"/>
            </w:pPr>
            <w:r>
              <w:rPr>
                <w:sz w:val="14"/>
              </w:rPr>
              <w:t>1.837</w:t>
            </w:r>
          </w:p>
        </w:tc>
        <w:tc>
          <w:tcPr>
            <w:tcW w:type="dxa" w:w="1263"/>
            <w:vAlign w:val="center"/>
          </w:tcPr>
          <w:p>
            <w:pPr>
              <w:spacing w:after="0" w:before="0"/>
            </w:pPr>
            <w:r>
              <w:rPr>
                <w:sz w:val="14"/>
              </w:rPr>
              <w:t>1.679</w:t>
            </w:r>
          </w:p>
        </w:tc>
      </w:tr>
      <w:tr>
        <w:tc>
          <w:tcPr>
            <w:tcW w:type="dxa" w:w="1263"/>
            <w:vAlign w:val="center"/>
          </w:tcPr>
          <w:p>
            <w:pPr>
              <w:spacing w:after="0" w:before="0"/>
            </w:pPr>
            <w:r>
              <w:rPr>
                <w:sz w:val="14"/>
              </w:rPr>
              <w:t>T-RT2</w:t>
            </w:r>
          </w:p>
        </w:tc>
        <w:tc>
          <w:tcPr>
            <w:tcW w:type="dxa" w:w="1263"/>
            <w:vAlign w:val="center"/>
          </w:tcPr>
          <w:p>
            <w:pPr>
              <w:spacing w:after="0" w:before="0"/>
            </w:pPr>
            <w:r>
              <w:rPr>
                <w:sz w:val="14"/>
              </w:rPr>
              <w:t>0.500</w:t>
            </w:r>
          </w:p>
        </w:tc>
        <w:tc>
          <w:tcPr>
            <w:tcW w:type="dxa" w:w="1263"/>
            <w:vAlign w:val="center"/>
          </w:tcPr>
          <w:p>
            <w:pPr>
              <w:spacing w:after="0" w:before="0"/>
            </w:pPr>
            <w:r>
              <w:rPr>
                <w:sz w:val="14"/>
              </w:rPr>
              <w:t>0.500</w:t>
            </w:r>
          </w:p>
        </w:tc>
        <w:tc>
          <w:tcPr>
            <w:tcW w:type="dxa" w:w="1263"/>
            <w:vAlign w:val="center"/>
          </w:tcPr>
          <w:p>
            <w:pPr>
              <w:spacing w:after="0" w:before="0"/>
            </w:pPr>
            <w:r>
              <w:rPr>
                <w:sz w:val="14"/>
              </w:rPr>
              <w:t>0.541</w:t>
            </w:r>
          </w:p>
        </w:tc>
        <w:tc>
          <w:tcPr>
            <w:tcW w:type="dxa" w:w="1263"/>
            <w:vAlign w:val="center"/>
          </w:tcPr>
          <w:p>
            <w:pPr>
              <w:spacing w:after="0" w:before="0"/>
            </w:pPr>
            <w:r>
              <w:rPr>
                <w:sz w:val="14"/>
              </w:rPr>
              <w:t>0.521</w:t>
            </w:r>
          </w:p>
        </w:tc>
        <w:tc>
          <w:tcPr>
            <w:tcW w:type="dxa" w:w="1263"/>
            <w:vAlign w:val="center"/>
          </w:tcPr>
          <w:p>
            <w:pPr>
              <w:spacing w:after="0" w:before="0"/>
            </w:pPr>
            <w:r>
              <w:rPr>
                <w:sz w:val="14"/>
              </w:rPr>
              <w:t>0.554</w:t>
            </w:r>
          </w:p>
        </w:tc>
        <w:tc>
          <w:tcPr>
            <w:tcW w:type="dxa" w:w="1263"/>
            <w:vAlign w:val="center"/>
          </w:tcPr>
          <w:p>
            <w:pPr>
              <w:spacing w:after="0" w:before="0"/>
            </w:pPr>
            <w:r>
              <w:rPr>
                <w:sz w:val="14"/>
              </w:rPr>
              <w:t>0.500</w:t>
            </w:r>
          </w:p>
        </w:tc>
        <w:tc>
          <w:tcPr>
            <w:tcW w:type="dxa" w:w="1263"/>
            <w:vAlign w:val="center"/>
          </w:tcPr>
          <w:p>
            <w:pPr>
              <w:spacing w:after="0" w:before="0"/>
            </w:pPr>
            <w:r>
              <w:rPr>
                <w:sz w:val="14"/>
              </w:rPr>
              <w:t>0.500</w:t>
            </w:r>
          </w:p>
        </w:tc>
      </w:tr>
      <w:tr>
        <w:tc>
          <w:tcPr>
            <w:tcW w:type="dxa" w:w="1263"/>
            <w:vAlign w:val="center"/>
          </w:tcPr>
          <w:p>
            <w:pPr>
              <w:spacing w:after="0" w:before="0"/>
            </w:pPr>
            <w:r>
              <w:rPr>
                <w:sz w:val="14"/>
              </w:rPr>
              <w:t>C-CO2</w:t>
            </w:r>
          </w:p>
        </w:tc>
        <w:tc>
          <w:tcPr>
            <w:tcW w:type="dxa" w:w="1263"/>
            <w:vAlign w:val="center"/>
          </w:tcPr>
          <w:p>
            <w:pPr>
              <w:spacing w:after="0" w:before="0"/>
            </w:pPr>
            <w:r>
              <w:rPr>
                <w:sz w:val="14"/>
              </w:rPr>
              <w:t>1.105</w:t>
            </w:r>
          </w:p>
        </w:tc>
        <w:tc>
          <w:tcPr>
            <w:tcW w:type="dxa" w:w="1263"/>
            <w:vAlign w:val="center"/>
          </w:tcPr>
          <w:p>
            <w:pPr>
              <w:spacing w:after="0" w:before="0"/>
            </w:pPr>
            <w:r>
              <w:rPr>
                <w:sz w:val="14"/>
              </w:rPr>
              <w:t>1.711</w:t>
            </w:r>
          </w:p>
        </w:tc>
        <w:tc>
          <w:tcPr>
            <w:tcW w:type="dxa" w:w="1263"/>
            <w:vAlign w:val="center"/>
          </w:tcPr>
          <w:p>
            <w:pPr>
              <w:spacing w:after="0" w:before="0"/>
            </w:pPr>
            <w:r>
              <w:rPr>
                <w:sz w:val="14"/>
              </w:rPr>
              <w:t>1.843</w:t>
            </w:r>
          </w:p>
        </w:tc>
        <w:tc>
          <w:tcPr>
            <w:tcW w:type="dxa" w:w="1263"/>
            <w:vAlign w:val="center"/>
          </w:tcPr>
          <w:p>
            <w:pPr>
              <w:spacing w:after="0" w:before="0"/>
            </w:pPr>
            <w:r>
              <w:rPr>
                <w:sz w:val="14"/>
              </w:rPr>
              <w:t>1.396</w:t>
            </w:r>
          </w:p>
        </w:tc>
        <w:tc>
          <w:tcPr>
            <w:tcW w:type="dxa" w:w="1263"/>
            <w:vAlign w:val="center"/>
          </w:tcPr>
          <w:p>
            <w:pPr>
              <w:spacing w:after="0" w:before="0"/>
            </w:pPr>
            <w:r>
              <w:rPr>
                <w:sz w:val="14"/>
              </w:rPr>
              <w:t>1.573</w:t>
            </w:r>
          </w:p>
        </w:tc>
        <w:tc>
          <w:tcPr>
            <w:tcW w:type="dxa" w:w="1263"/>
            <w:vAlign w:val="center"/>
          </w:tcPr>
          <w:p>
            <w:pPr>
              <w:spacing w:after="0" w:before="0"/>
            </w:pPr>
            <w:r>
              <w:rPr>
                <w:sz w:val="14"/>
              </w:rPr>
              <w:t>1.561</w:t>
            </w:r>
          </w:p>
        </w:tc>
        <w:tc>
          <w:tcPr>
            <w:tcW w:type="dxa" w:w="1263"/>
            <w:vAlign w:val="center"/>
          </w:tcPr>
          <w:p>
            <w:pPr>
              <w:spacing w:after="0" w:before="0"/>
            </w:pPr>
            <w:r>
              <w:rPr>
                <w:sz w:val="14"/>
              </w:rPr>
              <w:t>0.685</w:t>
            </w:r>
          </w:p>
        </w:tc>
      </w:tr>
      <w:tr>
        <w:tc>
          <w:tcPr>
            <w:tcW w:type="dxa" w:w="1263"/>
            <w:vAlign w:val="center"/>
          </w:tcPr>
          <w:p>
            <w:pPr>
              <w:spacing w:after="0" w:before="0"/>
            </w:pPr>
            <w:r>
              <w:rPr>
                <w:sz w:val="14"/>
              </w:rPr>
              <w:t>T-CO1</w:t>
            </w:r>
          </w:p>
        </w:tc>
        <w:tc>
          <w:tcPr>
            <w:tcW w:type="dxa" w:w="1263"/>
            <w:vAlign w:val="center"/>
          </w:tcPr>
          <w:p>
            <w:pPr>
              <w:spacing w:after="0" w:before="0"/>
            </w:pPr>
            <w:r>
              <w:rPr>
                <w:sz w:val="14"/>
              </w:rPr>
              <w:t>1.305</w:t>
            </w:r>
          </w:p>
        </w:tc>
        <w:tc>
          <w:tcPr>
            <w:tcW w:type="dxa" w:w="1263"/>
            <w:vAlign w:val="center"/>
          </w:tcPr>
          <w:p>
            <w:pPr>
              <w:spacing w:after="0" w:before="0"/>
            </w:pPr>
            <w:r>
              <w:rPr>
                <w:sz w:val="14"/>
              </w:rPr>
              <w:t>2.028</w:t>
            </w:r>
          </w:p>
        </w:tc>
        <w:tc>
          <w:tcPr>
            <w:tcW w:type="dxa" w:w="1263"/>
            <w:vAlign w:val="center"/>
          </w:tcPr>
          <w:p>
            <w:pPr>
              <w:spacing w:after="0" w:before="0"/>
            </w:pPr>
            <w:r>
              <w:rPr>
                <w:sz w:val="14"/>
              </w:rPr>
              <w:t>2.023</w:t>
            </w:r>
          </w:p>
        </w:tc>
        <w:tc>
          <w:tcPr>
            <w:tcW w:type="dxa" w:w="1263"/>
            <w:vAlign w:val="center"/>
          </w:tcPr>
          <w:p>
            <w:pPr>
              <w:spacing w:after="0" w:before="0"/>
            </w:pPr>
            <w:r>
              <w:rPr>
                <w:sz w:val="14"/>
              </w:rPr>
              <w:t>1.845</w:t>
            </w:r>
          </w:p>
        </w:tc>
        <w:tc>
          <w:tcPr>
            <w:tcW w:type="dxa" w:w="1263"/>
            <w:vAlign w:val="center"/>
          </w:tcPr>
          <w:p>
            <w:pPr>
              <w:spacing w:after="0" w:before="0"/>
            </w:pPr>
            <w:r>
              <w:rPr>
                <w:sz w:val="14"/>
              </w:rPr>
              <w:t>1.647</w:t>
            </w:r>
          </w:p>
        </w:tc>
        <w:tc>
          <w:tcPr>
            <w:tcW w:type="dxa" w:w="1263"/>
            <w:vAlign w:val="center"/>
          </w:tcPr>
          <w:p>
            <w:pPr>
              <w:spacing w:after="0" w:before="0"/>
            </w:pPr>
            <w:r>
              <w:rPr>
                <w:sz w:val="14"/>
              </w:rPr>
              <w:t>1.774</w:t>
            </w:r>
          </w:p>
        </w:tc>
        <w:tc>
          <w:tcPr>
            <w:tcW w:type="dxa" w:w="1263"/>
            <w:vAlign w:val="center"/>
          </w:tcPr>
          <w:p>
            <w:pPr>
              <w:spacing w:after="0" w:before="0"/>
            </w:pPr>
            <w:r>
              <w:rPr>
                <w:sz w:val="14"/>
              </w:rPr>
              <w:t>2.009</w:t>
            </w:r>
          </w:p>
        </w:tc>
      </w:tr>
      <w:tr>
        <w:tc>
          <w:tcPr>
            <w:tcW w:type="dxa" w:w="1263"/>
            <w:vAlign w:val="center"/>
          </w:tcPr>
          <w:p>
            <w:pPr>
              <w:spacing w:after="0" w:before="0"/>
            </w:pPr>
            <w:r>
              <w:rPr>
                <w:sz w:val="14"/>
              </w:rPr>
              <w:t>C-CO39</w:t>
            </w:r>
          </w:p>
        </w:tc>
        <w:tc>
          <w:tcPr>
            <w:tcW w:type="dxa" w:w="1263"/>
            <w:vAlign w:val="center"/>
          </w:tcPr>
          <w:p>
            <w:pPr>
              <w:spacing w:after="0" w:before="0"/>
            </w:pPr>
            <w:r>
              <w:rPr>
                <w:sz w:val="14"/>
              </w:rPr>
              <w:t>2.035</w:t>
            </w:r>
          </w:p>
        </w:tc>
        <w:tc>
          <w:tcPr>
            <w:tcW w:type="dxa" w:w="1263"/>
            <w:vAlign w:val="center"/>
          </w:tcPr>
          <w:p>
            <w:pPr>
              <w:spacing w:after="0" w:before="0"/>
            </w:pPr>
            <w:r>
              <w:rPr>
                <w:sz w:val="14"/>
              </w:rPr>
              <w:t>2.156</w:t>
            </w:r>
          </w:p>
        </w:tc>
        <w:tc>
          <w:tcPr>
            <w:tcW w:type="dxa" w:w="1263"/>
            <w:vAlign w:val="center"/>
          </w:tcPr>
          <w:p>
            <w:pPr>
              <w:spacing w:after="0" w:before="0"/>
            </w:pPr>
            <w:r>
              <w:rPr>
                <w:sz w:val="14"/>
              </w:rPr>
              <w:t>2.104</w:t>
            </w:r>
          </w:p>
        </w:tc>
        <w:tc>
          <w:tcPr>
            <w:tcW w:type="dxa" w:w="1263"/>
            <w:vAlign w:val="center"/>
          </w:tcPr>
          <w:p>
            <w:pPr>
              <w:spacing w:after="0" w:before="0"/>
            </w:pPr>
            <w:r>
              <w:rPr>
                <w:sz w:val="14"/>
              </w:rPr>
              <w:t>2.245</w:t>
            </w:r>
          </w:p>
        </w:tc>
        <w:tc>
          <w:tcPr>
            <w:tcW w:type="dxa" w:w="1263"/>
            <w:vAlign w:val="center"/>
          </w:tcPr>
          <w:p>
            <w:pPr>
              <w:spacing w:after="0" w:before="0"/>
            </w:pPr>
            <w:r>
              <w:rPr>
                <w:sz w:val="14"/>
              </w:rPr>
              <w:t>2.083</w:t>
            </w:r>
          </w:p>
        </w:tc>
        <w:tc>
          <w:tcPr>
            <w:tcW w:type="dxa" w:w="1263"/>
            <w:vAlign w:val="center"/>
          </w:tcPr>
          <w:p>
            <w:pPr>
              <w:spacing w:after="0" w:before="0"/>
            </w:pPr>
            <w:r>
              <w:rPr>
                <w:sz w:val="14"/>
              </w:rPr>
              <w:t>1.303</w:t>
            </w:r>
          </w:p>
        </w:tc>
        <w:tc>
          <w:tcPr>
            <w:tcW w:type="dxa" w:w="1263"/>
            <w:vAlign w:val="center"/>
          </w:tcPr>
          <w:p>
            <w:pPr>
              <w:spacing w:after="0" w:before="0"/>
            </w:pPr>
            <w:r>
              <w:rPr>
                <w:sz w:val="14"/>
              </w:rPr>
              <w:t>1.208</w:t>
            </w:r>
          </w:p>
        </w:tc>
      </w:tr>
      <w:tr>
        <w:tc>
          <w:tcPr>
            <w:tcW w:type="dxa" w:w="1263"/>
            <w:vAlign w:val="center"/>
          </w:tcPr>
          <w:p>
            <w:pPr>
              <w:spacing w:after="0" w:before="0"/>
            </w:pPr>
            <w:r>
              <w:rPr>
                <w:sz w:val="14"/>
              </w:rPr>
              <w:t>C-CO21</w:t>
            </w:r>
          </w:p>
        </w:tc>
        <w:tc>
          <w:tcPr>
            <w:tcW w:type="dxa" w:w="1263"/>
            <w:vAlign w:val="center"/>
          </w:tcPr>
          <w:p>
            <w:pPr>
              <w:spacing w:after="0" w:before="0"/>
            </w:pPr>
            <w:r>
              <w:rPr>
                <w:sz w:val="14"/>
              </w:rPr>
              <w:t>2.183</w:t>
            </w:r>
          </w:p>
        </w:tc>
        <w:tc>
          <w:tcPr>
            <w:tcW w:type="dxa" w:w="1263"/>
            <w:vAlign w:val="center"/>
          </w:tcPr>
          <w:p>
            <w:pPr>
              <w:spacing w:after="0" w:before="0"/>
            </w:pPr>
            <w:r>
              <w:rPr>
                <w:sz w:val="14"/>
              </w:rPr>
              <w:t>2.220</w:t>
            </w:r>
          </w:p>
        </w:tc>
        <w:tc>
          <w:tcPr>
            <w:tcW w:type="dxa" w:w="1263"/>
            <w:vAlign w:val="center"/>
          </w:tcPr>
          <w:p>
            <w:pPr>
              <w:spacing w:after="0" w:before="0"/>
            </w:pPr>
            <w:r>
              <w:rPr>
                <w:sz w:val="14"/>
              </w:rPr>
              <w:t>2.193</w:t>
            </w:r>
          </w:p>
        </w:tc>
        <w:tc>
          <w:tcPr>
            <w:tcW w:type="dxa" w:w="1263"/>
            <w:vAlign w:val="center"/>
          </w:tcPr>
          <w:p>
            <w:pPr>
              <w:spacing w:after="0" w:before="0"/>
            </w:pPr>
            <w:r>
              <w:rPr>
                <w:sz w:val="14"/>
              </w:rPr>
              <w:t>2.163</w:t>
            </w:r>
          </w:p>
        </w:tc>
        <w:tc>
          <w:tcPr>
            <w:tcW w:type="dxa" w:w="1263"/>
            <w:vAlign w:val="center"/>
          </w:tcPr>
          <w:p>
            <w:pPr>
              <w:spacing w:after="0" w:before="0"/>
            </w:pPr>
            <w:r>
              <w:rPr>
                <w:sz w:val="14"/>
              </w:rPr>
              <w:t>2.093</w:t>
            </w:r>
          </w:p>
        </w:tc>
        <w:tc>
          <w:tcPr>
            <w:tcW w:type="dxa" w:w="1263"/>
            <w:vAlign w:val="center"/>
          </w:tcPr>
          <w:p>
            <w:pPr>
              <w:spacing w:after="0" w:before="0"/>
            </w:pPr>
            <w:r>
              <w:rPr>
                <w:sz w:val="14"/>
              </w:rPr>
              <w:t>2.026</w:t>
            </w:r>
          </w:p>
        </w:tc>
        <w:tc>
          <w:tcPr>
            <w:tcW w:type="dxa" w:w="1263"/>
            <w:vAlign w:val="center"/>
          </w:tcPr>
          <w:p>
            <w:pPr>
              <w:spacing w:after="0" w:before="0"/>
            </w:pPr>
            <w:r>
              <w:rPr>
                <w:sz w:val="14"/>
              </w:rPr>
              <w:t>1.640</w:t>
            </w:r>
          </w:p>
        </w:tc>
      </w:tr>
      <w:tr>
        <w:tc>
          <w:tcPr>
            <w:tcW w:type="dxa" w:w="1263"/>
            <w:vAlign w:val="center"/>
          </w:tcPr>
          <w:p>
            <w:pPr>
              <w:spacing w:after="0" w:before="0"/>
            </w:pPr>
            <w:r>
              <w:rPr>
                <w:sz w:val="14"/>
              </w:rPr>
              <w:t>J-CO1</w:t>
            </w:r>
          </w:p>
        </w:tc>
        <w:tc>
          <w:tcPr>
            <w:tcW w:type="dxa" w:w="1263"/>
            <w:vAlign w:val="center"/>
          </w:tcPr>
          <w:p>
            <w:pPr>
              <w:spacing w:after="0" w:before="0"/>
            </w:pPr>
            <w:r>
              <w:rPr>
                <w:sz w:val="14"/>
              </w:rPr>
              <w:t>1.151</w:t>
            </w:r>
          </w:p>
        </w:tc>
        <w:tc>
          <w:tcPr>
            <w:tcW w:type="dxa" w:w="1263"/>
            <w:vAlign w:val="center"/>
          </w:tcPr>
          <w:p>
            <w:pPr>
              <w:spacing w:after="0" w:before="0"/>
            </w:pPr>
            <w:r>
              <w:rPr>
                <w:sz w:val="14"/>
              </w:rPr>
              <w:t>1.233</w:t>
            </w:r>
          </w:p>
        </w:tc>
        <w:tc>
          <w:tcPr>
            <w:tcW w:type="dxa" w:w="1263"/>
            <w:vAlign w:val="center"/>
          </w:tcPr>
          <w:p>
            <w:pPr>
              <w:spacing w:after="0" w:before="0"/>
            </w:pPr>
            <w:r>
              <w:rPr>
                <w:sz w:val="14"/>
              </w:rPr>
              <w:t>1.091</w:t>
            </w:r>
          </w:p>
        </w:tc>
        <w:tc>
          <w:tcPr>
            <w:tcW w:type="dxa" w:w="1263"/>
            <w:vAlign w:val="center"/>
          </w:tcPr>
          <w:p>
            <w:pPr>
              <w:spacing w:after="0" w:before="0"/>
            </w:pPr>
            <w:r>
              <w:rPr>
                <w:sz w:val="14"/>
              </w:rPr>
              <w:t>1.154</w:t>
            </w:r>
          </w:p>
        </w:tc>
        <w:tc>
          <w:tcPr>
            <w:tcW w:type="dxa" w:w="1263"/>
            <w:vAlign w:val="center"/>
          </w:tcPr>
          <w:p>
            <w:pPr>
              <w:spacing w:after="0" w:before="0"/>
            </w:pPr>
            <w:r>
              <w:rPr>
                <w:sz w:val="14"/>
              </w:rPr>
              <w:t>1.098</w:t>
            </w:r>
          </w:p>
        </w:tc>
        <w:tc>
          <w:tcPr>
            <w:tcW w:type="dxa" w:w="1263"/>
            <w:vAlign w:val="center"/>
          </w:tcPr>
          <w:p>
            <w:pPr>
              <w:spacing w:after="0" w:before="0"/>
            </w:pPr>
            <w:r>
              <w:rPr>
                <w:sz w:val="14"/>
              </w:rPr>
              <w:t>1.074</w:t>
            </w:r>
          </w:p>
        </w:tc>
        <w:tc>
          <w:tcPr>
            <w:tcW w:type="dxa" w:w="1263"/>
            <w:vAlign w:val="center"/>
          </w:tcPr>
          <w:p>
            <w:pPr>
              <w:spacing w:after="0" w:before="0"/>
            </w:pPr>
            <w:r>
              <w:rPr>
                <w:sz w:val="14"/>
              </w:rPr>
              <w:t>0.500</w:t>
            </w:r>
          </w:p>
        </w:tc>
      </w:tr>
      <w:tr>
        <w:tc>
          <w:tcPr>
            <w:tcW w:type="dxa" w:w="1263"/>
            <w:vAlign w:val="center"/>
          </w:tcPr>
          <w:p>
            <w:pPr>
              <w:spacing w:after="0" w:before="0"/>
            </w:pPr>
            <w:r>
              <w:rPr>
                <w:sz w:val="14"/>
              </w:rPr>
              <w:t>M-CO7</w:t>
            </w:r>
          </w:p>
        </w:tc>
        <w:tc>
          <w:tcPr>
            <w:tcW w:type="dxa" w:w="1263"/>
            <w:vAlign w:val="center"/>
          </w:tcPr>
          <w:p>
            <w:pPr>
              <w:spacing w:after="0" w:before="0"/>
            </w:pPr>
            <w:r>
              <w:rPr>
                <w:sz w:val="14"/>
              </w:rPr>
              <w:t>1.446</w:t>
            </w:r>
          </w:p>
        </w:tc>
        <w:tc>
          <w:tcPr>
            <w:tcW w:type="dxa" w:w="1263"/>
            <w:vAlign w:val="center"/>
          </w:tcPr>
          <w:p>
            <w:pPr>
              <w:spacing w:after="0" w:before="0"/>
            </w:pPr>
            <w:r>
              <w:rPr>
                <w:sz w:val="14"/>
              </w:rPr>
              <w:t>2.002</w:t>
            </w:r>
          </w:p>
        </w:tc>
        <w:tc>
          <w:tcPr>
            <w:tcW w:type="dxa" w:w="1263"/>
            <w:vAlign w:val="center"/>
          </w:tcPr>
          <w:p>
            <w:pPr>
              <w:spacing w:after="0" w:before="0"/>
            </w:pPr>
            <w:r>
              <w:rPr>
                <w:sz w:val="14"/>
              </w:rPr>
              <w:t>1.904</w:t>
            </w:r>
          </w:p>
        </w:tc>
        <w:tc>
          <w:tcPr>
            <w:tcW w:type="dxa" w:w="1263"/>
            <w:vAlign w:val="center"/>
          </w:tcPr>
          <w:p>
            <w:pPr>
              <w:spacing w:after="0" w:before="0"/>
            </w:pPr>
            <w:r>
              <w:rPr>
                <w:sz w:val="14"/>
              </w:rPr>
              <w:t>2.001</w:t>
            </w:r>
          </w:p>
        </w:tc>
        <w:tc>
          <w:tcPr>
            <w:tcW w:type="dxa" w:w="1263"/>
            <w:vAlign w:val="center"/>
          </w:tcPr>
          <w:p>
            <w:pPr>
              <w:spacing w:after="0" w:before="0"/>
            </w:pPr>
            <w:r>
              <w:rPr>
                <w:sz w:val="14"/>
              </w:rPr>
              <w:t>2.030</w:t>
            </w:r>
          </w:p>
        </w:tc>
        <w:tc>
          <w:tcPr>
            <w:tcW w:type="dxa" w:w="1263"/>
            <w:vAlign w:val="center"/>
          </w:tcPr>
          <w:p>
            <w:pPr>
              <w:spacing w:after="0" w:before="0"/>
            </w:pPr>
            <w:r>
              <w:rPr>
                <w:sz w:val="14"/>
              </w:rPr>
              <w:t>2.127</w:t>
            </w:r>
          </w:p>
        </w:tc>
        <w:tc>
          <w:tcPr>
            <w:tcW w:type="dxa" w:w="1263"/>
            <w:vAlign w:val="center"/>
          </w:tcPr>
          <w:p>
            <w:pPr>
              <w:spacing w:after="0" w:before="0"/>
            </w:pPr>
            <w:r>
              <w:rPr>
                <w:sz w:val="14"/>
              </w:rPr>
              <w:t>0.593</w:t>
            </w:r>
          </w:p>
        </w:tc>
      </w:tr>
      <w:tr>
        <w:tc>
          <w:tcPr>
            <w:tcW w:type="dxa" w:w="1263"/>
            <w:vAlign w:val="center"/>
          </w:tcPr>
          <w:p>
            <w:pPr>
              <w:spacing w:after="0" w:before="0"/>
            </w:pPr>
            <w:r>
              <w:rPr>
                <w:sz w:val="14"/>
              </w:rPr>
              <w:t>C-RT12</w:t>
            </w:r>
          </w:p>
        </w:tc>
        <w:tc>
          <w:tcPr>
            <w:tcW w:type="dxa" w:w="1263"/>
            <w:vAlign w:val="center"/>
          </w:tcPr>
          <w:p>
            <w:pPr>
              <w:spacing w:after="0" w:before="0"/>
            </w:pPr>
            <w:r>
              <w:rPr>
                <w:sz w:val="14"/>
              </w:rPr>
              <w:t>1.332</w:t>
            </w:r>
          </w:p>
        </w:tc>
        <w:tc>
          <w:tcPr>
            <w:tcW w:type="dxa" w:w="1263"/>
            <w:vAlign w:val="center"/>
          </w:tcPr>
          <w:p>
            <w:pPr>
              <w:spacing w:after="0" w:before="0"/>
            </w:pPr>
            <w:r>
              <w:rPr>
                <w:sz w:val="14"/>
              </w:rPr>
              <w:t>1.544</w:t>
            </w:r>
          </w:p>
        </w:tc>
        <w:tc>
          <w:tcPr>
            <w:tcW w:type="dxa" w:w="1263"/>
            <w:vAlign w:val="center"/>
          </w:tcPr>
          <w:p>
            <w:pPr>
              <w:spacing w:after="0" w:before="0"/>
            </w:pPr>
            <w:r>
              <w:rPr>
                <w:sz w:val="14"/>
              </w:rPr>
              <w:t>1.601</w:t>
            </w:r>
          </w:p>
        </w:tc>
        <w:tc>
          <w:tcPr>
            <w:tcW w:type="dxa" w:w="1263"/>
            <w:vAlign w:val="center"/>
          </w:tcPr>
          <w:p>
            <w:pPr>
              <w:spacing w:after="0" w:before="0"/>
            </w:pPr>
            <w:r>
              <w:rPr>
                <w:sz w:val="14"/>
              </w:rPr>
              <w:t>1.450</w:t>
            </w:r>
          </w:p>
        </w:tc>
        <w:tc>
          <w:tcPr>
            <w:tcW w:type="dxa" w:w="1263"/>
            <w:vAlign w:val="center"/>
          </w:tcPr>
          <w:p>
            <w:pPr>
              <w:spacing w:after="0" w:before="0"/>
            </w:pPr>
            <w:r>
              <w:rPr>
                <w:sz w:val="14"/>
              </w:rPr>
              <w:t>1.518</w:t>
            </w:r>
          </w:p>
        </w:tc>
        <w:tc>
          <w:tcPr>
            <w:tcW w:type="dxa" w:w="1263"/>
            <w:vAlign w:val="center"/>
          </w:tcPr>
          <w:p>
            <w:pPr>
              <w:spacing w:after="0" w:before="0"/>
            </w:pPr>
            <w:r>
              <w:rPr>
                <w:sz w:val="14"/>
              </w:rPr>
              <w:t>1.547</w:t>
            </w:r>
          </w:p>
        </w:tc>
        <w:tc>
          <w:tcPr>
            <w:tcW w:type="dxa" w:w="1263"/>
            <w:vAlign w:val="center"/>
          </w:tcPr>
          <w:p>
            <w:pPr>
              <w:spacing w:after="0" w:before="0"/>
            </w:pPr>
            <w:r>
              <w:rPr>
                <w:sz w:val="14"/>
              </w:rPr>
              <w:t>0.500</w:t>
            </w:r>
          </w:p>
        </w:tc>
      </w:tr>
    </w:tbl>
    <w:p>
      <w:pPr>
        <w:spacing w:after="0"/>
      </w:pPr>
    </w:p>
    <w:p>
      <w:pPr>
        <w:pStyle w:val="SmallNote"/>
      </w:pPr>
      <w:r>
        <w:t>Median noise-shaped epsilon_1/2 across seeds 42–44; higher is more robust. A recorded 0.500 is a clipped lower evaluation bound.</w:t>
      </w:r>
    </w:p>
    <w:p>
      <w:pPr>
        <w:jc w:val="center"/>
      </w:pPr>
      <w:r>
        <w:drawing>
          <wp:inline xmlns:a="http://schemas.openxmlformats.org/drawingml/2006/main" xmlns:pic="http://schemas.openxmlformats.org/drawingml/2006/picture">
            <wp:extent cx="6035040" cy="2771541"/>
            <wp:docPr id="2" name="Picture 2"/>
            <wp:cNvGraphicFramePr>
              <a:graphicFrameLocks noChangeAspect="1"/>
            </wp:cNvGraphicFramePr>
            <a:graphic>
              <a:graphicData uri="http://schemas.openxmlformats.org/drawingml/2006/picture">
                <pic:pic>
                  <pic:nvPicPr>
                    <pic:cNvPr id="0" name="exp11_fig_sessions.png"/>
                    <pic:cNvPicPr/>
                  </pic:nvPicPr>
                  <pic:blipFill>
                    <a:blip r:embed="rId12"/>
                    <a:stretch>
                      <a:fillRect/>
                    </a:stretch>
                  </pic:blipFill>
                  <pic:spPr>
                    <a:xfrm>
                      <a:off x="0" y="0"/>
                      <a:ext cx="6035040" cy="2771541"/>
                    </a:xfrm>
                    <a:prstGeom prst="rect"/>
                  </pic:spPr>
                </pic:pic>
              </a:graphicData>
            </a:graphic>
          </wp:inline>
        </w:drawing>
      </w:r>
    </w:p>
    <w:p>
      <w:pPr>
        <w:pStyle w:val="SmallNote"/>
      </w:pPr>
      <w:r>
        <w:t>Figure 2. New-session comparison between the fixed difference-residual budget DIFF8 and the automatic difference-residual budget. Each dot is the mean over three seeds. The dashed diagonal indicates equality.</w:t>
      </w:r>
    </w:p>
    <w:p>
      <w:pPr>
        <w:pStyle w:val="Heading1"/>
      </w:pPr>
      <w:r>
        <w:t>4. Main results: time-only CEBRA (150/150 successful)</w:t>
      </w:r>
    </w:p>
    <w:tbl>
      <w:tblPr>
        <w:tblStyle w:val="LightShading-Accent1"/>
        <w:tblW w:type="auto" w:w="0"/>
        <w:jc w:val="center"/>
        <w:tblLayout w:type="autofit"/>
        <w:tblLook w:firstColumn="1" w:firstRow="1" w:lastColumn="0" w:lastRow="0" w:noHBand="0" w:noVBand="1" w:val="04A0"/>
      </w:tblPr>
      <w:tblGrid>
        <w:gridCol w:w="1444"/>
        <w:gridCol w:w="1444"/>
        <w:gridCol w:w="1444"/>
        <w:gridCol w:w="1444"/>
        <w:gridCol w:w="1444"/>
        <w:gridCol w:w="1444"/>
        <w:gridCol w:w="1444"/>
      </w:tblGrid>
      <w:tr>
        <w:tc>
          <w:tcPr>
            <w:tcW w:type="dxa" w:w="1444"/>
            <w:shd w:fill="17334B"/>
            <w:vAlign w:val="center"/>
          </w:tcPr>
          <w:p>
            <w:pPr>
              <w:spacing w:after="0" w:before="0"/>
            </w:pPr>
            <w:r>
              <w:rPr>
                <w:b/>
                <w:color w:val="FFFFFF"/>
                <w:sz w:val="14"/>
              </w:rPr>
              <w:t>Arm</w:t>
            </w:r>
          </w:p>
        </w:tc>
        <w:tc>
          <w:tcPr>
            <w:tcW w:type="dxa" w:w="1444"/>
            <w:shd w:fill="17334B"/>
            <w:vAlign w:val="center"/>
          </w:tcPr>
          <w:p>
            <w:pPr>
              <w:spacing w:after="0" w:before="0"/>
            </w:pPr>
            <w:r>
              <w:rPr>
                <w:b/>
                <w:color w:val="FFFFFF"/>
                <w:sz w:val="14"/>
              </w:rPr>
              <w:t>Clean R2 mean</w:t>
            </w:r>
          </w:p>
        </w:tc>
        <w:tc>
          <w:tcPr>
            <w:tcW w:type="dxa" w:w="1444"/>
            <w:shd w:fill="17334B"/>
            <w:vAlign w:val="center"/>
          </w:tcPr>
          <w:p>
            <w:pPr>
              <w:spacing w:after="0" w:before="0"/>
            </w:pPr>
            <w:r>
              <w:rPr>
                <w:b/>
                <w:color w:val="FFFFFF"/>
                <w:sz w:val="14"/>
              </w:rPr>
              <w:t>Ref eps½ med.</w:t>
            </w:r>
          </w:p>
        </w:tc>
        <w:tc>
          <w:tcPr>
            <w:tcW w:type="dxa" w:w="1444"/>
            <w:shd w:fill="17334B"/>
            <w:vAlign w:val="center"/>
          </w:tcPr>
          <w:p>
            <w:pPr>
              <w:spacing w:after="0" w:before="0"/>
            </w:pPr>
            <w:r>
              <w:rPr>
                <w:b/>
                <w:color w:val="FFFFFF"/>
                <w:sz w:val="14"/>
              </w:rPr>
              <w:t>Iso eps½ mean</w:t>
            </w:r>
          </w:p>
        </w:tc>
        <w:tc>
          <w:tcPr>
            <w:tcW w:type="dxa" w:w="1444"/>
            <w:shd w:fill="17334B"/>
            <w:vAlign w:val="center"/>
          </w:tcPr>
          <w:p>
            <w:pPr>
              <w:spacing w:after="0" w:before="0"/>
            </w:pPr>
            <w:r>
              <w:rPr>
                <w:b/>
                <w:color w:val="FFFFFF"/>
                <w:sz w:val="14"/>
              </w:rPr>
              <w:t>Ref / PGD6</w:t>
            </w:r>
          </w:p>
        </w:tc>
        <w:tc>
          <w:tcPr>
            <w:tcW w:type="dxa" w:w="1444"/>
            <w:shd w:fill="17334B"/>
            <w:vAlign w:val="center"/>
          </w:tcPr>
          <w:p>
            <w:pPr>
              <w:spacing w:after="0" w:before="0"/>
            </w:pPr>
            <w:r>
              <w:rPr>
                <w:b/>
                <w:color w:val="FFFFFF"/>
                <w:sz w:val="14"/>
              </w:rPr>
              <w:t>Floor failures</w:t>
            </w:r>
          </w:p>
        </w:tc>
        <w:tc>
          <w:tcPr>
            <w:tcW w:type="dxa" w:w="1444"/>
            <w:shd w:fill="17334B"/>
            <w:vAlign w:val="center"/>
          </w:tcPr>
          <w:p>
            <w:pPr>
              <w:spacing w:after="0" w:before="0"/>
            </w:pPr>
            <w:r>
              <w:rPr>
                <w:b/>
                <w:color w:val="FFFFFF"/>
                <w:sz w:val="14"/>
              </w:rPr>
              <w:t>Δ clean vs PGD6</w:t>
            </w:r>
          </w:p>
        </w:tc>
      </w:tr>
      <w:tr>
        <w:tc>
          <w:tcPr>
            <w:tcW w:type="dxa" w:w="1444"/>
            <w:vAlign w:val="center"/>
          </w:tcPr>
          <w:p>
            <w:pPr>
              <w:spacing w:after="0" w:before="0"/>
            </w:pPr>
            <w:r>
              <w:rPr>
                <w:sz w:val="14"/>
              </w:rPr>
              <w:t>PGD6</w:t>
            </w:r>
          </w:p>
        </w:tc>
        <w:tc>
          <w:tcPr>
            <w:tcW w:type="dxa" w:w="1444"/>
            <w:vAlign w:val="center"/>
          </w:tcPr>
          <w:p>
            <w:pPr>
              <w:spacing w:after="0" w:before="0"/>
            </w:pPr>
            <w:r>
              <w:rPr>
                <w:sz w:val="14"/>
              </w:rPr>
              <w:t>0.603</w:t>
            </w:r>
          </w:p>
        </w:tc>
        <w:tc>
          <w:tcPr>
            <w:tcW w:type="dxa" w:w="1444"/>
            <w:vAlign w:val="center"/>
          </w:tcPr>
          <w:p>
            <w:pPr>
              <w:spacing w:after="0" w:before="0"/>
            </w:pPr>
            <w:r>
              <w:rPr>
                <w:sz w:val="14"/>
              </w:rPr>
              <w:t>1.266</w:t>
            </w:r>
          </w:p>
        </w:tc>
        <w:tc>
          <w:tcPr>
            <w:tcW w:type="dxa" w:w="1444"/>
            <w:vAlign w:val="center"/>
          </w:tcPr>
          <w:p>
            <w:pPr>
              <w:spacing w:after="0" w:before="0"/>
            </w:pPr>
            <w:r>
              <w:rPr>
                <w:sz w:val="14"/>
              </w:rPr>
              <w:t>3.137</w:t>
            </w:r>
          </w:p>
        </w:tc>
        <w:tc>
          <w:tcPr>
            <w:tcW w:type="dxa" w:w="1444"/>
            <w:vAlign w:val="center"/>
          </w:tcPr>
          <w:p>
            <w:pPr>
              <w:spacing w:after="0" w:before="0"/>
            </w:pPr>
            <w:r>
              <w:rPr>
                <w:sz w:val="14"/>
              </w:rPr>
              <w:t>1.000</w:t>
            </w:r>
          </w:p>
        </w:tc>
        <w:tc>
          <w:tcPr>
            <w:tcW w:type="dxa" w:w="1444"/>
            <w:vAlign w:val="center"/>
          </w:tcPr>
          <w:p>
            <w:pPr>
              <w:spacing w:after="0" w:before="0"/>
            </w:pPr>
            <w:r>
              <w:rPr>
                <w:sz w:val="14"/>
              </w:rPr>
              <w:t>0/30</w:t>
            </w:r>
          </w:p>
        </w:tc>
        <w:tc>
          <w:tcPr>
            <w:tcW w:type="dxa" w:w="1444"/>
            <w:vAlign w:val="center"/>
          </w:tcPr>
          <w:p>
            <w:pPr>
              <w:spacing w:after="0" w:before="0"/>
            </w:pPr>
            <w:r>
              <w:rPr>
                <w:sz w:val="14"/>
              </w:rPr>
              <w:t>—</w:t>
            </w:r>
          </w:p>
        </w:tc>
      </w:tr>
      <w:tr>
        <w:tc>
          <w:tcPr>
            <w:tcW w:type="dxa" w:w="1444"/>
            <w:vAlign w:val="center"/>
          </w:tcPr>
          <w:p>
            <w:pPr>
              <w:spacing w:after="0" w:before="0"/>
            </w:pPr>
            <w:r>
              <w:rPr>
                <w:sz w:val="14"/>
              </w:rPr>
              <w:t>DIFF8</w:t>
            </w:r>
          </w:p>
        </w:tc>
        <w:tc>
          <w:tcPr>
            <w:tcW w:type="dxa" w:w="1444"/>
            <w:vAlign w:val="center"/>
          </w:tcPr>
          <w:p>
            <w:pPr>
              <w:spacing w:after="0" w:before="0"/>
            </w:pPr>
            <w:r>
              <w:rPr>
                <w:sz w:val="14"/>
              </w:rPr>
              <w:t>0.604</w:t>
            </w:r>
          </w:p>
        </w:tc>
        <w:tc>
          <w:tcPr>
            <w:tcW w:type="dxa" w:w="1444"/>
            <w:vAlign w:val="center"/>
          </w:tcPr>
          <w:p>
            <w:pPr>
              <w:spacing w:after="0" w:before="0"/>
            </w:pPr>
            <w:r>
              <w:rPr>
                <w:sz w:val="14"/>
              </w:rPr>
              <w:t>1.814</w:t>
            </w:r>
          </w:p>
        </w:tc>
        <w:tc>
          <w:tcPr>
            <w:tcW w:type="dxa" w:w="1444"/>
            <w:vAlign w:val="center"/>
          </w:tcPr>
          <w:p>
            <w:pPr>
              <w:spacing w:after="0" w:before="0"/>
            </w:pPr>
            <w:r>
              <w:rPr>
                <w:sz w:val="14"/>
              </w:rPr>
              <w:t>2.127</w:t>
            </w:r>
          </w:p>
        </w:tc>
        <w:tc>
          <w:tcPr>
            <w:tcW w:type="dxa" w:w="1444"/>
            <w:vAlign w:val="center"/>
          </w:tcPr>
          <w:p>
            <w:pPr>
              <w:spacing w:after="0" w:before="0"/>
            </w:pPr>
            <w:r>
              <w:rPr>
                <w:sz w:val="14"/>
              </w:rPr>
              <w:t>1.151</w:t>
            </w:r>
          </w:p>
        </w:tc>
        <w:tc>
          <w:tcPr>
            <w:tcW w:type="dxa" w:w="1444"/>
            <w:vAlign w:val="center"/>
          </w:tcPr>
          <w:p>
            <w:pPr>
              <w:spacing w:after="0" w:before="0"/>
            </w:pPr>
            <w:r>
              <w:rPr>
                <w:sz w:val="14"/>
              </w:rPr>
              <w:t>0/30</w:t>
            </w:r>
          </w:p>
        </w:tc>
        <w:tc>
          <w:tcPr>
            <w:tcW w:type="dxa" w:w="1444"/>
            <w:vAlign w:val="center"/>
          </w:tcPr>
          <w:p>
            <w:pPr>
              <w:spacing w:after="0" w:before="0"/>
            </w:pPr>
            <w:r>
              <w:rPr>
                <w:sz w:val="14"/>
              </w:rPr>
              <w:t>0.0011</w:t>
            </w:r>
          </w:p>
        </w:tc>
      </w:tr>
      <w:tr>
        <w:tc>
          <w:tcPr>
            <w:tcW w:type="dxa" w:w="1444"/>
            <w:vAlign w:val="center"/>
          </w:tcPr>
          <w:p>
            <w:pPr>
              <w:spacing w:after="0" w:before="0"/>
            </w:pPr>
            <w:r>
              <w:rPr>
                <w:sz w:val="14"/>
              </w:rPr>
              <w:t>DIFF/SIG</w:t>
            </w:r>
          </w:p>
        </w:tc>
        <w:tc>
          <w:tcPr>
            <w:tcW w:type="dxa" w:w="1444"/>
            <w:vAlign w:val="center"/>
          </w:tcPr>
          <w:p>
            <w:pPr>
              <w:spacing w:after="0" w:before="0"/>
            </w:pPr>
            <w:r>
              <w:rPr>
                <w:sz w:val="14"/>
              </w:rPr>
              <w:t>0.601</w:t>
            </w:r>
          </w:p>
        </w:tc>
        <w:tc>
          <w:tcPr>
            <w:tcW w:type="dxa" w:w="1444"/>
            <w:vAlign w:val="center"/>
          </w:tcPr>
          <w:p>
            <w:pPr>
              <w:spacing w:after="0" w:before="0"/>
            </w:pPr>
            <w:r>
              <w:rPr>
                <w:sz w:val="14"/>
              </w:rPr>
              <w:t>1.872</w:t>
            </w:r>
          </w:p>
        </w:tc>
        <w:tc>
          <w:tcPr>
            <w:tcW w:type="dxa" w:w="1444"/>
            <w:vAlign w:val="center"/>
          </w:tcPr>
          <w:p>
            <w:pPr>
              <w:spacing w:after="0" w:before="0"/>
            </w:pPr>
            <w:r>
              <w:rPr>
                <w:sz w:val="14"/>
              </w:rPr>
              <w:t>2.129</w:t>
            </w:r>
          </w:p>
        </w:tc>
        <w:tc>
          <w:tcPr>
            <w:tcW w:type="dxa" w:w="1444"/>
            <w:vAlign w:val="center"/>
          </w:tcPr>
          <w:p>
            <w:pPr>
              <w:spacing w:after="0" w:before="0"/>
            </w:pPr>
            <w:r>
              <w:rPr>
                <w:sz w:val="14"/>
              </w:rPr>
              <w:t>1.140</w:t>
            </w:r>
          </w:p>
        </w:tc>
        <w:tc>
          <w:tcPr>
            <w:tcW w:type="dxa" w:w="1444"/>
            <w:vAlign w:val="center"/>
          </w:tcPr>
          <w:p>
            <w:pPr>
              <w:spacing w:after="0" w:before="0"/>
            </w:pPr>
            <w:r>
              <w:rPr>
                <w:sz w:val="14"/>
              </w:rPr>
              <w:t>0/30</w:t>
            </w:r>
          </w:p>
        </w:tc>
        <w:tc>
          <w:tcPr>
            <w:tcW w:type="dxa" w:w="1444"/>
            <w:vAlign w:val="center"/>
          </w:tcPr>
          <w:p>
            <w:pPr>
              <w:spacing w:after="0" w:before="0"/>
            </w:pPr>
            <w:r>
              <w:rPr>
                <w:sz w:val="14"/>
              </w:rPr>
              <w:t>-0.0021</w:t>
            </w:r>
          </w:p>
        </w:tc>
      </w:tr>
      <w:tr>
        <w:tc>
          <w:tcPr>
            <w:tcW w:type="dxa" w:w="1444"/>
            <w:vAlign w:val="center"/>
          </w:tcPr>
          <w:p>
            <w:pPr>
              <w:spacing w:after="0" w:before="0"/>
            </w:pPr>
            <w:r>
              <w:rPr>
                <w:sz w:val="14"/>
              </w:rPr>
              <w:t>POOL/SIG</w:t>
            </w:r>
          </w:p>
        </w:tc>
        <w:tc>
          <w:tcPr>
            <w:tcW w:type="dxa" w:w="1444"/>
            <w:vAlign w:val="center"/>
          </w:tcPr>
          <w:p>
            <w:pPr>
              <w:spacing w:after="0" w:before="0"/>
            </w:pPr>
            <w:r>
              <w:rPr>
                <w:sz w:val="14"/>
              </w:rPr>
              <w:t>0.606</w:t>
            </w:r>
          </w:p>
        </w:tc>
        <w:tc>
          <w:tcPr>
            <w:tcW w:type="dxa" w:w="1444"/>
            <w:vAlign w:val="center"/>
          </w:tcPr>
          <w:p>
            <w:pPr>
              <w:spacing w:after="0" w:before="0"/>
            </w:pPr>
            <w:r>
              <w:rPr>
                <w:sz w:val="14"/>
              </w:rPr>
              <w:t>1.605</w:t>
            </w:r>
          </w:p>
        </w:tc>
        <w:tc>
          <w:tcPr>
            <w:tcW w:type="dxa" w:w="1444"/>
            <w:vAlign w:val="center"/>
          </w:tcPr>
          <w:p>
            <w:pPr>
              <w:spacing w:after="0" w:before="0"/>
            </w:pPr>
            <w:r>
              <w:rPr>
                <w:sz w:val="14"/>
              </w:rPr>
              <w:t>2.767</w:t>
            </w:r>
          </w:p>
        </w:tc>
        <w:tc>
          <w:tcPr>
            <w:tcW w:type="dxa" w:w="1444"/>
            <w:vAlign w:val="center"/>
          </w:tcPr>
          <w:p>
            <w:pPr>
              <w:spacing w:after="0" w:before="0"/>
            </w:pPr>
            <w:r>
              <w:rPr>
                <w:sz w:val="14"/>
              </w:rPr>
              <w:t>1.104</w:t>
            </w:r>
          </w:p>
        </w:tc>
        <w:tc>
          <w:tcPr>
            <w:tcW w:type="dxa" w:w="1444"/>
            <w:vAlign w:val="center"/>
          </w:tcPr>
          <w:p>
            <w:pPr>
              <w:spacing w:after="0" w:before="0"/>
            </w:pPr>
            <w:r>
              <w:rPr>
                <w:sz w:val="14"/>
              </w:rPr>
              <w:t>0/30</w:t>
            </w:r>
          </w:p>
        </w:tc>
        <w:tc>
          <w:tcPr>
            <w:tcW w:type="dxa" w:w="1444"/>
            <w:vAlign w:val="center"/>
          </w:tcPr>
          <w:p>
            <w:pPr>
              <w:spacing w:after="0" w:before="0"/>
            </w:pPr>
            <w:r>
              <w:rPr>
                <w:sz w:val="14"/>
              </w:rPr>
              <w:t>0.0028</w:t>
            </w:r>
          </w:p>
        </w:tc>
      </w:tr>
      <w:tr>
        <w:tc>
          <w:tcPr>
            <w:tcW w:type="dxa" w:w="1444"/>
            <w:vAlign w:val="center"/>
          </w:tcPr>
          <w:p>
            <w:pPr>
              <w:spacing w:after="0" w:before="0"/>
            </w:pPr>
            <w:r>
              <w:rPr>
                <w:sz w:val="14"/>
              </w:rPr>
              <w:t>SP/SIG</w:t>
            </w:r>
          </w:p>
        </w:tc>
        <w:tc>
          <w:tcPr>
            <w:tcW w:type="dxa" w:w="1444"/>
            <w:vAlign w:val="center"/>
          </w:tcPr>
          <w:p>
            <w:pPr>
              <w:spacing w:after="0" w:before="0"/>
            </w:pPr>
            <w:r>
              <w:rPr>
                <w:sz w:val="14"/>
              </w:rPr>
              <w:t>0.585</w:t>
            </w:r>
          </w:p>
        </w:tc>
        <w:tc>
          <w:tcPr>
            <w:tcW w:type="dxa" w:w="1444"/>
            <w:vAlign w:val="center"/>
          </w:tcPr>
          <w:p>
            <w:pPr>
              <w:spacing w:after="0" w:before="0"/>
            </w:pPr>
            <w:r>
              <w:rPr>
                <w:sz w:val="14"/>
              </w:rPr>
              <w:t>1.936</w:t>
            </w:r>
          </w:p>
        </w:tc>
        <w:tc>
          <w:tcPr>
            <w:tcW w:type="dxa" w:w="1444"/>
            <w:vAlign w:val="center"/>
          </w:tcPr>
          <w:p>
            <w:pPr>
              <w:spacing w:after="0" w:before="0"/>
            </w:pPr>
            <w:r>
              <w:rPr>
                <w:sz w:val="14"/>
              </w:rPr>
              <w:t>1.649</w:t>
            </w:r>
          </w:p>
        </w:tc>
        <w:tc>
          <w:tcPr>
            <w:tcW w:type="dxa" w:w="1444"/>
            <w:vAlign w:val="center"/>
          </w:tcPr>
          <w:p>
            <w:pPr>
              <w:spacing w:after="0" w:before="0"/>
            </w:pPr>
            <w:r>
              <w:rPr>
                <w:sz w:val="14"/>
              </w:rPr>
              <w:t>1.148</w:t>
            </w:r>
          </w:p>
        </w:tc>
        <w:tc>
          <w:tcPr>
            <w:tcW w:type="dxa" w:w="1444"/>
            <w:vAlign w:val="center"/>
          </w:tcPr>
          <w:p>
            <w:pPr>
              <w:spacing w:after="0" w:before="0"/>
            </w:pPr>
            <w:r>
              <w:rPr>
                <w:sz w:val="14"/>
              </w:rPr>
              <w:t>0/30</w:t>
            </w:r>
          </w:p>
        </w:tc>
        <w:tc>
          <w:tcPr>
            <w:tcW w:type="dxa" w:w="1444"/>
            <w:vAlign w:val="center"/>
          </w:tcPr>
          <w:p>
            <w:pPr>
              <w:spacing w:after="0" w:before="0"/>
            </w:pPr>
            <w:r>
              <w:rPr>
                <w:sz w:val="14"/>
              </w:rPr>
              <w:t>-0.0178</w:t>
            </w:r>
          </w:p>
        </w:tc>
      </w:tr>
    </w:tbl>
    <w:p>
      <w:pPr>
        <w:spacing w:after="0"/>
      </w:pPr>
    </w:p>
    <w:p>
      <w:r>
        <w:t>The time-only DIFF/AUTO_SIG model reaches a geometric-mean reference ratio of 1.1397 relative to PGD6, compared with 1.1514 for fixed DIFF8. The paired DIFF/AUTO_SIG / DIFF8 ratio is 0.9899 (95% session bootstrap CI 0.9779–1.0026), with mean clean R2 difference -0.00324 and essentially equal isotropic ratio 1.0006. Unlike the supervised experiment, time-only did not produce operational floor failures in any arm; therefore the preregistered failure classifier cannot be evaluated for sensitivity or AUROC in this mode.</w:t>
      </w:r>
    </w:p>
    <w:p>
      <w:r>
        <w:t>The SP/AUTO_SIG strategy has comparable average reference robustness to DIFF8 (paired ratio 0.997), but its isotropic robustness relative to DIFF8 is only 0.7925 and mean clean R2 is lower by 0.0189. POOL/AUTO_SIG trades some reference robustness (0.9589× vs DIFF8) for better isotropic robustness (1.2965× vs DIFF8), reinforcing the geometry-dependent Pareto trade-off.</w:t>
      </w:r>
    </w:p>
    <w:p>
      <w:pPr>
        <w:pStyle w:val="Heading2"/>
      </w:pPr>
      <w:r>
        <w:t>4.1 Per-session reference robustness, time-only</w:t>
      </w:r>
    </w:p>
    <w:tbl>
      <w:tblPr>
        <w:tblStyle w:val="LightShading-Accent1"/>
        <w:tblW w:type="auto" w:w="0"/>
        <w:jc w:val="center"/>
        <w:tblLayout w:type="autofit"/>
        <w:tblLook w:firstColumn="1" w:firstRow="1" w:lastColumn="0" w:lastRow="0" w:noHBand="0" w:noVBand="1" w:val="04A0"/>
      </w:tblPr>
      <w:tblGrid>
        <w:gridCol w:w="1685"/>
        <w:gridCol w:w="1685"/>
        <w:gridCol w:w="1685"/>
        <w:gridCol w:w="1685"/>
        <w:gridCol w:w="1685"/>
        <w:gridCol w:w="1685"/>
      </w:tblGrid>
      <w:tr>
        <w:tc>
          <w:tcPr>
            <w:tcW w:type="dxa" w:w="1685"/>
            <w:shd w:fill="17334B"/>
            <w:vAlign w:val="center"/>
          </w:tcPr>
          <w:p>
            <w:pPr>
              <w:spacing w:after="0" w:before="0"/>
            </w:pPr>
            <w:r>
              <w:rPr>
                <w:b/>
                <w:color w:val="FFFFFF"/>
                <w:sz w:val="15"/>
              </w:rPr>
              <w:t>Session</w:t>
            </w:r>
          </w:p>
        </w:tc>
        <w:tc>
          <w:tcPr>
            <w:tcW w:type="dxa" w:w="1685"/>
            <w:shd w:fill="17334B"/>
            <w:vAlign w:val="center"/>
          </w:tcPr>
          <w:p>
            <w:pPr>
              <w:spacing w:after="0" w:before="0"/>
            </w:pPr>
            <w:r>
              <w:rPr>
                <w:b/>
                <w:color w:val="FFFFFF"/>
                <w:sz w:val="15"/>
              </w:rPr>
              <w:t>PGD6</w:t>
            </w:r>
          </w:p>
        </w:tc>
        <w:tc>
          <w:tcPr>
            <w:tcW w:type="dxa" w:w="1685"/>
            <w:shd w:fill="17334B"/>
            <w:vAlign w:val="center"/>
          </w:tcPr>
          <w:p>
            <w:pPr>
              <w:spacing w:after="0" w:before="0"/>
            </w:pPr>
            <w:r>
              <w:rPr>
                <w:b/>
                <w:color w:val="FFFFFF"/>
                <w:sz w:val="15"/>
              </w:rPr>
              <w:t>DIFF8</w:t>
            </w:r>
          </w:p>
        </w:tc>
        <w:tc>
          <w:tcPr>
            <w:tcW w:type="dxa" w:w="1685"/>
            <w:shd w:fill="17334B"/>
            <w:vAlign w:val="center"/>
          </w:tcPr>
          <w:p>
            <w:pPr>
              <w:spacing w:after="0" w:before="0"/>
            </w:pPr>
            <w:r>
              <w:rPr>
                <w:b/>
                <w:color w:val="FFFFFF"/>
                <w:sz w:val="15"/>
              </w:rPr>
              <w:t>DIFF/SIG</w:t>
            </w:r>
          </w:p>
        </w:tc>
        <w:tc>
          <w:tcPr>
            <w:tcW w:type="dxa" w:w="1685"/>
            <w:shd w:fill="17334B"/>
            <w:vAlign w:val="center"/>
          </w:tcPr>
          <w:p>
            <w:pPr>
              <w:spacing w:after="0" w:before="0"/>
            </w:pPr>
            <w:r>
              <w:rPr>
                <w:b/>
                <w:color w:val="FFFFFF"/>
                <w:sz w:val="15"/>
              </w:rPr>
              <w:t>POOL/SIG</w:t>
            </w:r>
          </w:p>
        </w:tc>
        <w:tc>
          <w:tcPr>
            <w:tcW w:type="dxa" w:w="1685"/>
            <w:shd w:fill="17334B"/>
            <w:vAlign w:val="center"/>
          </w:tcPr>
          <w:p>
            <w:pPr>
              <w:spacing w:after="0" w:before="0"/>
            </w:pPr>
            <w:r>
              <w:rPr>
                <w:b/>
                <w:color w:val="FFFFFF"/>
                <w:sz w:val="15"/>
              </w:rPr>
              <w:t>SP/SIG</w:t>
            </w:r>
          </w:p>
        </w:tc>
      </w:tr>
      <w:tr>
        <w:tc>
          <w:tcPr>
            <w:tcW w:type="dxa" w:w="1685"/>
            <w:vAlign w:val="center"/>
          </w:tcPr>
          <w:p>
            <w:pPr>
              <w:spacing w:after="0" w:before="0"/>
            </w:pPr>
            <w:r>
              <w:rPr>
                <w:sz w:val="15"/>
              </w:rPr>
              <w:t>C-CO25</w:t>
            </w:r>
          </w:p>
        </w:tc>
        <w:tc>
          <w:tcPr>
            <w:tcW w:type="dxa" w:w="1685"/>
            <w:vAlign w:val="center"/>
          </w:tcPr>
          <w:p>
            <w:pPr>
              <w:spacing w:after="0" w:before="0"/>
            </w:pPr>
            <w:r>
              <w:rPr>
                <w:sz w:val="15"/>
              </w:rPr>
              <w:t>2.062</w:t>
            </w:r>
          </w:p>
        </w:tc>
        <w:tc>
          <w:tcPr>
            <w:tcW w:type="dxa" w:w="1685"/>
            <w:vAlign w:val="center"/>
          </w:tcPr>
          <w:p>
            <w:pPr>
              <w:spacing w:after="0" w:before="0"/>
            </w:pPr>
            <w:r>
              <w:rPr>
                <w:sz w:val="15"/>
              </w:rPr>
              <w:t>2.100</w:t>
            </w:r>
          </w:p>
        </w:tc>
        <w:tc>
          <w:tcPr>
            <w:tcW w:type="dxa" w:w="1685"/>
            <w:vAlign w:val="center"/>
          </w:tcPr>
          <w:p>
            <w:pPr>
              <w:spacing w:after="0" w:before="0"/>
            </w:pPr>
            <w:r>
              <w:rPr>
                <w:sz w:val="15"/>
              </w:rPr>
              <w:t>2.091</w:t>
            </w:r>
          </w:p>
        </w:tc>
        <w:tc>
          <w:tcPr>
            <w:tcW w:type="dxa" w:w="1685"/>
            <w:vAlign w:val="center"/>
          </w:tcPr>
          <w:p>
            <w:pPr>
              <w:spacing w:after="0" w:before="0"/>
            </w:pPr>
            <w:r>
              <w:rPr>
                <w:sz w:val="15"/>
              </w:rPr>
              <w:t>2.090</w:t>
            </w:r>
          </w:p>
        </w:tc>
        <w:tc>
          <w:tcPr>
            <w:tcW w:type="dxa" w:w="1685"/>
            <w:vAlign w:val="center"/>
          </w:tcPr>
          <w:p>
            <w:pPr>
              <w:spacing w:after="0" w:before="0"/>
            </w:pPr>
            <w:r>
              <w:rPr>
                <w:sz w:val="15"/>
              </w:rPr>
              <w:t>2.051</w:t>
            </w:r>
          </w:p>
        </w:tc>
      </w:tr>
      <w:tr>
        <w:tc>
          <w:tcPr>
            <w:tcW w:type="dxa" w:w="1685"/>
            <w:vAlign w:val="center"/>
          </w:tcPr>
          <w:p>
            <w:pPr>
              <w:spacing w:after="0" w:before="0"/>
            </w:pPr>
            <w:r>
              <w:rPr>
                <w:sz w:val="15"/>
              </w:rPr>
              <w:t>C-CO26</w:t>
            </w:r>
          </w:p>
        </w:tc>
        <w:tc>
          <w:tcPr>
            <w:tcW w:type="dxa" w:w="1685"/>
            <w:vAlign w:val="center"/>
          </w:tcPr>
          <w:p>
            <w:pPr>
              <w:spacing w:after="0" w:before="0"/>
            </w:pPr>
            <w:r>
              <w:rPr>
                <w:sz w:val="15"/>
              </w:rPr>
              <w:t>2.023</w:t>
            </w:r>
          </w:p>
        </w:tc>
        <w:tc>
          <w:tcPr>
            <w:tcW w:type="dxa" w:w="1685"/>
            <w:vAlign w:val="center"/>
          </w:tcPr>
          <w:p>
            <w:pPr>
              <w:spacing w:after="0" w:before="0"/>
            </w:pPr>
            <w:r>
              <w:rPr>
                <w:sz w:val="15"/>
              </w:rPr>
              <w:t>2.045</w:t>
            </w:r>
          </w:p>
        </w:tc>
        <w:tc>
          <w:tcPr>
            <w:tcW w:type="dxa" w:w="1685"/>
            <w:vAlign w:val="center"/>
          </w:tcPr>
          <w:p>
            <w:pPr>
              <w:spacing w:after="0" w:before="0"/>
            </w:pPr>
            <w:r>
              <w:rPr>
                <w:sz w:val="15"/>
              </w:rPr>
              <w:t>2.043</w:t>
            </w:r>
          </w:p>
        </w:tc>
        <w:tc>
          <w:tcPr>
            <w:tcW w:type="dxa" w:w="1685"/>
            <w:vAlign w:val="center"/>
          </w:tcPr>
          <w:p>
            <w:pPr>
              <w:spacing w:after="0" w:before="0"/>
            </w:pPr>
            <w:r>
              <w:rPr>
                <w:sz w:val="15"/>
              </w:rPr>
              <w:t>2.069</w:t>
            </w:r>
          </w:p>
        </w:tc>
        <w:tc>
          <w:tcPr>
            <w:tcW w:type="dxa" w:w="1685"/>
            <w:vAlign w:val="center"/>
          </w:tcPr>
          <w:p>
            <w:pPr>
              <w:spacing w:after="0" w:before="0"/>
            </w:pPr>
            <w:r>
              <w:rPr>
                <w:sz w:val="15"/>
              </w:rPr>
              <w:t>2.030</w:t>
            </w:r>
          </w:p>
        </w:tc>
      </w:tr>
      <w:tr>
        <w:tc>
          <w:tcPr>
            <w:tcW w:type="dxa" w:w="1685"/>
            <w:vAlign w:val="center"/>
          </w:tcPr>
          <w:p>
            <w:pPr>
              <w:spacing w:after="0" w:before="0"/>
            </w:pPr>
            <w:r>
              <w:rPr>
                <w:sz w:val="15"/>
              </w:rPr>
              <w:t>T-RT2</w:t>
            </w:r>
          </w:p>
        </w:tc>
        <w:tc>
          <w:tcPr>
            <w:tcW w:type="dxa" w:w="1685"/>
            <w:vAlign w:val="center"/>
          </w:tcPr>
          <w:p>
            <w:pPr>
              <w:spacing w:after="0" w:before="0"/>
            </w:pPr>
            <w:r>
              <w:rPr>
                <w:sz w:val="15"/>
              </w:rPr>
              <w:t>0.675</w:t>
            </w:r>
          </w:p>
        </w:tc>
        <w:tc>
          <w:tcPr>
            <w:tcW w:type="dxa" w:w="1685"/>
            <w:vAlign w:val="center"/>
          </w:tcPr>
          <w:p>
            <w:pPr>
              <w:spacing w:after="0" w:before="0"/>
            </w:pPr>
            <w:r>
              <w:rPr>
                <w:sz w:val="15"/>
              </w:rPr>
              <w:t>0.940</w:t>
            </w:r>
          </w:p>
        </w:tc>
        <w:tc>
          <w:tcPr>
            <w:tcW w:type="dxa" w:w="1685"/>
            <w:vAlign w:val="center"/>
          </w:tcPr>
          <w:p>
            <w:pPr>
              <w:spacing w:after="0" w:before="0"/>
            </w:pPr>
            <w:r>
              <w:rPr>
                <w:sz w:val="15"/>
              </w:rPr>
              <w:t>0.902</w:t>
            </w:r>
          </w:p>
        </w:tc>
        <w:tc>
          <w:tcPr>
            <w:tcW w:type="dxa" w:w="1685"/>
            <w:vAlign w:val="center"/>
          </w:tcPr>
          <w:p>
            <w:pPr>
              <w:spacing w:after="0" w:before="0"/>
            </w:pPr>
            <w:r>
              <w:rPr>
                <w:sz w:val="15"/>
              </w:rPr>
              <w:t>0.754</w:t>
            </w:r>
          </w:p>
        </w:tc>
        <w:tc>
          <w:tcPr>
            <w:tcW w:type="dxa" w:w="1685"/>
            <w:vAlign w:val="center"/>
          </w:tcPr>
          <w:p>
            <w:pPr>
              <w:spacing w:after="0" w:before="0"/>
            </w:pPr>
            <w:r>
              <w:rPr>
                <w:sz w:val="15"/>
              </w:rPr>
              <w:t>0.920</w:t>
            </w:r>
          </w:p>
        </w:tc>
      </w:tr>
      <w:tr>
        <w:tc>
          <w:tcPr>
            <w:tcW w:type="dxa" w:w="1685"/>
            <w:vAlign w:val="center"/>
          </w:tcPr>
          <w:p>
            <w:pPr>
              <w:spacing w:after="0" w:before="0"/>
            </w:pPr>
            <w:r>
              <w:rPr>
                <w:sz w:val="15"/>
              </w:rPr>
              <w:t>C-CO2</w:t>
            </w:r>
          </w:p>
        </w:tc>
        <w:tc>
          <w:tcPr>
            <w:tcW w:type="dxa" w:w="1685"/>
            <w:vAlign w:val="center"/>
          </w:tcPr>
          <w:p>
            <w:pPr>
              <w:spacing w:after="0" w:before="0"/>
            </w:pPr>
            <w:r>
              <w:rPr>
                <w:sz w:val="15"/>
              </w:rPr>
              <w:t>1.091</w:t>
            </w:r>
          </w:p>
        </w:tc>
        <w:tc>
          <w:tcPr>
            <w:tcW w:type="dxa" w:w="1685"/>
            <w:vAlign w:val="center"/>
          </w:tcPr>
          <w:p>
            <w:pPr>
              <w:spacing w:after="0" w:before="0"/>
            </w:pPr>
            <w:r>
              <w:rPr>
                <w:sz w:val="15"/>
              </w:rPr>
              <w:t>1.593</w:t>
            </w:r>
          </w:p>
        </w:tc>
        <w:tc>
          <w:tcPr>
            <w:tcW w:type="dxa" w:w="1685"/>
            <w:vAlign w:val="center"/>
          </w:tcPr>
          <w:p>
            <w:pPr>
              <w:spacing w:after="0" w:before="0"/>
            </w:pPr>
            <w:r>
              <w:rPr>
                <w:sz w:val="15"/>
              </w:rPr>
              <w:t>1.559</w:t>
            </w:r>
          </w:p>
        </w:tc>
        <w:tc>
          <w:tcPr>
            <w:tcW w:type="dxa" w:w="1685"/>
            <w:vAlign w:val="center"/>
          </w:tcPr>
          <w:p>
            <w:pPr>
              <w:spacing w:after="0" w:before="0"/>
            </w:pPr>
            <w:r>
              <w:rPr>
                <w:sz w:val="15"/>
              </w:rPr>
              <w:t>1.359</w:t>
            </w:r>
          </w:p>
        </w:tc>
        <w:tc>
          <w:tcPr>
            <w:tcW w:type="dxa" w:w="1685"/>
            <w:vAlign w:val="center"/>
          </w:tcPr>
          <w:p>
            <w:pPr>
              <w:spacing w:after="0" w:before="0"/>
            </w:pPr>
            <w:r>
              <w:rPr>
                <w:sz w:val="15"/>
              </w:rPr>
              <w:t>1.508</w:t>
            </w:r>
          </w:p>
        </w:tc>
      </w:tr>
      <w:tr>
        <w:tc>
          <w:tcPr>
            <w:tcW w:type="dxa" w:w="1685"/>
            <w:vAlign w:val="center"/>
          </w:tcPr>
          <w:p>
            <w:pPr>
              <w:spacing w:after="0" w:before="0"/>
            </w:pPr>
            <w:r>
              <w:rPr>
                <w:sz w:val="15"/>
              </w:rPr>
              <w:t>T-CO1</w:t>
            </w:r>
          </w:p>
        </w:tc>
        <w:tc>
          <w:tcPr>
            <w:tcW w:type="dxa" w:w="1685"/>
            <w:vAlign w:val="center"/>
          </w:tcPr>
          <w:p>
            <w:pPr>
              <w:spacing w:after="0" w:before="0"/>
            </w:pPr>
            <w:r>
              <w:rPr>
                <w:sz w:val="15"/>
              </w:rPr>
              <w:t>1.308</w:t>
            </w:r>
          </w:p>
        </w:tc>
        <w:tc>
          <w:tcPr>
            <w:tcW w:type="dxa" w:w="1685"/>
            <w:vAlign w:val="center"/>
          </w:tcPr>
          <w:p>
            <w:pPr>
              <w:spacing w:after="0" w:before="0"/>
            </w:pPr>
            <w:r>
              <w:rPr>
                <w:sz w:val="15"/>
              </w:rPr>
              <w:t>2.012</w:t>
            </w:r>
          </w:p>
        </w:tc>
        <w:tc>
          <w:tcPr>
            <w:tcW w:type="dxa" w:w="1685"/>
            <w:vAlign w:val="center"/>
          </w:tcPr>
          <w:p>
            <w:pPr>
              <w:spacing w:after="0" w:before="0"/>
            </w:pPr>
            <w:r>
              <w:rPr>
                <w:sz w:val="15"/>
              </w:rPr>
              <w:t>2.005</w:t>
            </w:r>
          </w:p>
        </w:tc>
        <w:tc>
          <w:tcPr>
            <w:tcW w:type="dxa" w:w="1685"/>
            <w:vAlign w:val="center"/>
          </w:tcPr>
          <w:p>
            <w:pPr>
              <w:spacing w:after="0" w:before="0"/>
            </w:pPr>
            <w:r>
              <w:rPr>
                <w:sz w:val="15"/>
              </w:rPr>
              <w:t>1.771</w:t>
            </w:r>
          </w:p>
        </w:tc>
        <w:tc>
          <w:tcPr>
            <w:tcW w:type="dxa" w:w="1685"/>
            <w:vAlign w:val="center"/>
          </w:tcPr>
          <w:p>
            <w:pPr>
              <w:spacing w:after="0" w:before="0"/>
            </w:pPr>
            <w:r>
              <w:rPr>
                <w:sz w:val="15"/>
              </w:rPr>
              <w:t>1.995</w:t>
            </w:r>
          </w:p>
        </w:tc>
      </w:tr>
      <w:tr>
        <w:tc>
          <w:tcPr>
            <w:tcW w:type="dxa" w:w="1685"/>
            <w:vAlign w:val="center"/>
          </w:tcPr>
          <w:p>
            <w:pPr>
              <w:spacing w:after="0" w:before="0"/>
            </w:pPr>
            <w:r>
              <w:rPr>
                <w:sz w:val="15"/>
              </w:rPr>
              <w:t>C-CO39</w:t>
            </w:r>
          </w:p>
        </w:tc>
        <w:tc>
          <w:tcPr>
            <w:tcW w:type="dxa" w:w="1685"/>
            <w:vAlign w:val="center"/>
          </w:tcPr>
          <w:p>
            <w:pPr>
              <w:spacing w:after="0" w:before="0"/>
            </w:pPr>
            <w:r>
              <w:rPr>
                <w:sz w:val="15"/>
              </w:rPr>
              <w:t>2.097</w:t>
            </w:r>
          </w:p>
        </w:tc>
        <w:tc>
          <w:tcPr>
            <w:tcW w:type="dxa" w:w="1685"/>
            <w:vAlign w:val="center"/>
          </w:tcPr>
          <w:p>
            <w:pPr>
              <w:spacing w:after="0" w:before="0"/>
            </w:pPr>
            <w:r>
              <w:rPr>
                <w:sz w:val="15"/>
              </w:rPr>
              <w:t>2.144</w:t>
            </w:r>
          </w:p>
        </w:tc>
        <w:tc>
          <w:tcPr>
            <w:tcW w:type="dxa" w:w="1685"/>
            <w:vAlign w:val="center"/>
          </w:tcPr>
          <w:p>
            <w:pPr>
              <w:spacing w:after="0" w:before="0"/>
            </w:pPr>
            <w:r>
              <w:rPr>
                <w:sz w:val="15"/>
              </w:rPr>
              <w:t>2.222</w:t>
            </w:r>
          </w:p>
        </w:tc>
        <w:tc>
          <w:tcPr>
            <w:tcW w:type="dxa" w:w="1685"/>
            <w:vAlign w:val="center"/>
          </w:tcPr>
          <w:p>
            <w:pPr>
              <w:spacing w:after="0" w:before="0"/>
            </w:pPr>
            <w:r>
              <w:rPr>
                <w:sz w:val="15"/>
              </w:rPr>
              <w:t>2.393</w:t>
            </w:r>
          </w:p>
        </w:tc>
        <w:tc>
          <w:tcPr>
            <w:tcW w:type="dxa" w:w="1685"/>
            <w:vAlign w:val="center"/>
          </w:tcPr>
          <w:p>
            <w:pPr>
              <w:spacing w:after="0" w:before="0"/>
            </w:pPr>
            <w:r>
              <w:rPr>
                <w:sz w:val="15"/>
              </w:rPr>
              <w:t>2.015</w:t>
            </w:r>
          </w:p>
        </w:tc>
      </w:tr>
      <w:tr>
        <w:tc>
          <w:tcPr>
            <w:tcW w:type="dxa" w:w="1685"/>
            <w:vAlign w:val="center"/>
          </w:tcPr>
          <w:p>
            <w:pPr>
              <w:spacing w:after="0" w:before="0"/>
            </w:pPr>
            <w:r>
              <w:rPr>
                <w:sz w:val="15"/>
              </w:rPr>
              <w:t>C-CO21</w:t>
            </w:r>
          </w:p>
        </w:tc>
        <w:tc>
          <w:tcPr>
            <w:tcW w:type="dxa" w:w="1685"/>
            <w:vAlign w:val="center"/>
          </w:tcPr>
          <w:p>
            <w:pPr>
              <w:spacing w:after="0" w:before="0"/>
            </w:pPr>
            <w:r>
              <w:rPr>
                <w:sz w:val="15"/>
              </w:rPr>
              <w:t>2.120</w:t>
            </w:r>
          </w:p>
        </w:tc>
        <w:tc>
          <w:tcPr>
            <w:tcW w:type="dxa" w:w="1685"/>
            <w:vAlign w:val="center"/>
          </w:tcPr>
          <w:p>
            <w:pPr>
              <w:spacing w:after="0" w:before="0"/>
            </w:pPr>
            <w:r>
              <w:rPr>
                <w:sz w:val="15"/>
              </w:rPr>
              <w:t>2.103</w:t>
            </w:r>
          </w:p>
        </w:tc>
        <w:tc>
          <w:tcPr>
            <w:tcW w:type="dxa" w:w="1685"/>
            <w:vAlign w:val="center"/>
          </w:tcPr>
          <w:p>
            <w:pPr>
              <w:spacing w:after="0" w:before="0"/>
            </w:pPr>
            <w:r>
              <w:rPr>
                <w:sz w:val="15"/>
              </w:rPr>
              <w:t>2.062</w:t>
            </w:r>
          </w:p>
        </w:tc>
        <w:tc>
          <w:tcPr>
            <w:tcW w:type="dxa" w:w="1685"/>
            <w:vAlign w:val="center"/>
          </w:tcPr>
          <w:p>
            <w:pPr>
              <w:spacing w:after="0" w:before="0"/>
            </w:pPr>
            <w:r>
              <w:rPr>
                <w:sz w:val="15"/>
              </w:rPr>
              <w:t>2.102</w:t>
            </w:r>
          </w:p>
        </w:tc>
        <w:tc>
          <w:tcPr>
            <w:tcW w:type="dxa" w:w="1685"/>
            <w:vAlign w:val="center"/>
          </w:tcPr>
          <w:p>
            <w:pPr>
              <w:spacing w:after="0" w:before="0"/>
            </w:pPr>
            <w:r>
              <w:rPr>
                <w:sz w:val="15"/>
              </w:rPr>
              <w:t>2.044</w:t>
            </w:r>
          </w:p>
        </w:tc>
      </w:tr>
      <w:tr>
        <w:tc>
          <w:tcPr>
            <w:tcW w:type="dxa" w:w="1685"/>
            <w:vAlign w:val="center"/>
          </w:tcPr>
          <w:p>
            <w:pPr>
              <w:spacing w:after="0" w:before="0"/>
            </w:pPr>
            <w:r>
              <w:rPr>
                <w:sz w:val="15"/>
              </w:rPr>
              <w:t>J-CO1</w:t>
            </w:r>
          </w:p>
        </w:tc>
        <w:tc>
          <w:tcPr>
            <w:tcW w:type="dxa" w:w="1685"/>
            <w:vAlign w:val="center"/>
          </w:tcPr>
          <w:p>
            <w:pPr>
              <w:spacing w:after="0" w:before="0"/>
            </w:pPr>
            <w:r>
              <w:rPr>
                <w:sz w:val="15"/>
              </w:rPr>
              <w:t>1.072</w:t>
            </w:r>
          </w:p>
        </w:tc>
        <w:tc>
          <w:tcPr>
            <w:tcW w:type="dxa" w:w="1685"/>
            <w:vAlign w:val="center"/>
          </w:tcPr>
          <w:p>
            <w:pPr>
              <w:spacing w:after="0" w:before="0"/>
            </w:pPr>
            <w:r>
              <w:rPr>
                <w:sz w:val="15"/>
              </w:rPr>
              <w:t>1.043</w:t>
            </w:r>
          </w:p>
        </w:tc>
        <w:tc>
          <w:tcPr>
            <w:tcW w:type="dxa" w:w="1685"/>
            <w:vAlign w:val="center"/>
          </w:tcPr>
          <w:p>
            <w:pPr>
              <w:spacing w:after="0" w:before="0"/>
            </w:pPr>
            <w:r>
              <w:rPr>
                <w:sz w:val="15"/>
              </w:rPr>
              <w:t>0.998</w:t>
            </w:r>
          </w:p>
        </w:tc>
        <w:tc>
          <w:tcPr>
            <w:tcW w:type="dxa" w:w="1685"/>
            <w:vAlign w:val="center"/>
          </w:tcPr>
          <w:p>
            <w:pPr>
              <w:spacing w:after="0" w:before="0"/>
            </w:pPr>
            <w:r>
              <w:rPr>
                <w:sz w:val="15"/>
              </w:rPr>
              <w:t>1.062</w:t>
            </w:r>
          </w:p>
        </w:tc>
        <w:tc>
          <w:tcPr>
            <w:tcW w:type="dxa" w:w="1685"/>
            <w:vAlign w:val="center"/>
          </w:tcPr>
          <w:p>
            <w:pPr>
              <w:spacing w:after="0" w:before="0"/>
            </w:pPr>
            <w:r>
              <w:rPr>
                <w:sz w:val="15"/>
              </w:rPr>
              <w:t>1.012</w:t>
            </w:r>
          </w:p>
        </w:tc>
      </w:tr>
      <w:tr>
        <w:tc>
          <w:tcPr>
            <w:tcW w:type="dxa" w:w="1685"/>
            <w:vAlign w:val="center"/>
          </w:tcPr>
          <w:p>
            <w:pPr>
              <w:spacing w:after="0" w:before="0"/>
            </w:pPr>
            <w:r>
              <w:rPr>
                <w:sz w:val="15"/>
              </w:rPr>
              <w:t>M-CO7</w:t>
            </w:r>
          </w:p>
        </w:tc>
        <w:tc>
          <w:tcPr>
            <w:tcW w:type="dxa" w:w="1685"/>
            <w:vAlign w:val="center"/>
          </w:tcPr>
          <w:p>
            <w:pPr>
              <w:spacing w:after="0" w:before="0"/>
            </w:pPr>
            <w:r>
              <w:rPr>
                <w:sz w:val="15"/>
              </w:rPr>
              <w:t>1.231</w:t>
            </w:r>
          </w:p>
        </w:tc>
        <w:tc>
          <w:tcPr>
            <w:tcW w:type="dxa" w:w="1685"/>
            <w:vAlign w:val="center"/>
          </w:tcPr>
          <w:p>
            <w:pPr>
              <w:spacing w:after="0" w:before="0"/>
            </w:pPr>
            <w:r>
              <w:rPr>
                <w:sz w:val="15"/>
              </w:rPr>
              <w:t>1.563</w:t>
            </w:r>
          </w:p>
        </w:tc>
        <w:tc>
          <w:tcPr>
            <w:tcW w:type="dxa" w:w="1685"/>
            <w:vAlign w:val="center"/>
          </w:tcPr>
          <w:p>
            <w:pPr>
              <w:spacing w:after="0" w:before="0"/>
            </w:pPr>
            <w:r>
              <w:rPr>
                <w:sz w:val="15"/>
              </w:rPr>
              <w:t>1.477</w:t>
            </w:r>
          </w:p>
        </w:tc>
        <w:tc>
          <w:tcPr>
            <w:tcW w:type="dxa" w:w="1685"/>
            <w:vAlign w:val="center"/>
          </w:tcPr>
          <w:p>
            <w:pPr>
              <w:spacing w:after="0" w:before="0"/>
            </w:pPr>
            <w:r>
              <w:rPr>
                <w:sz w:val="15"/>
              </w:rPr>
              <w:t>1.462</w:t>
            </w:r>
          </w:p>
        </w:tc>
        <w:tc>
          <w:tcPr>
            <w:tcW w:type="dxa" w:w="1685"/>
            <w:vAlign w:val="center"/>
          </w:tcPr>
          <w:p>
            <w:pPr>
              <w:spacing w:after="0" w:before="0"/>
            </w:pPr>
            <w:r>
              <w:rPr>
                <w:sz w:val="15"/>
              </w:rPr>
              <w:t>1.883</w:t>
            </w:r>
          </w:p>
        </w:tc>
      </w:tr>
      <w:tr>
        <w:tc>
          <w:tcPr>
            <w:tcW w:type="dxa" w:w="1685"/>
            <w:vAlign w:val="center"/>
          </w:tcPr>
          <w:p>
            <w:pPr>
              <w:spacing w:after="0" w:before="0"/>
            </w:pPr>
            <w:r>
              <w:rPr>
                <w:sz w:val="15"/>
              </w:rPr>
              <w:t>C-RT12</w:t>
            </w:r>
          </w:p>
        </w:tc>
        <w:tc>
          <w:tcPr>
            <w:tcW w:type="dxa" w:w="1685"/>
            <w:vAlign w:val="center"/>
          </w:tcPr>
          <w:p>
            <w:pPr>
              <w:spacing w:after="0" w:before="0"/>
            </w:pPr>
            <w:r>
              <w:rPr>
                <w:sz w:val="15"/>
              </w:rPr>
              <w:t>1.028</w:t>
            </w:r>
          </w:p>
        </w:tc>
        <w:tc>
          <w:tcPr>
            <w:tcW w:type="dxa" w:w="1685"/>
            <w:vAlign w:val="center"/>
          </w:tcPr>
          <w:p>
            <w:pPr>
              <w:spacing w:after="0" w:before="0"/>
            </w:pPr>
            <w:r>
              <w:rPr>
                <w:sz w:val="15"/>
              </w:rPr>
              <w:t>1.049</w:t>
            </w:r>
          </w:p>
        </w:tc>
        <w:tc>
          <w:tcPr>
            <w:tcW w:type="dxa" w:w="1685"/>
            <w:vAlign w:val="center"/>
          </w:tcPr>
          <w:p>
            <w:pPr>
              <w:spacing w:after="0" w:before="0"/>
            </w:pPr>
            <w:r>
              <w:rPr>
                <w:sz w:val="15"/>
              </w:rPr>
              <w:t>1.033</w:t>
            </w:r>
          </w:p>
        </w:tc>
        <w:tc>
          <w:tcPr>
            <w:tcW w:type="dxa" w:w="1685"/>
            <w:vAlign w:val="center"/>
          </w:tcPr>
          <w:p>
            <w:pPr>
              <w:spacing w:after="0" w:before="0"/>
            </w:pPr>
            <w:r>
              <w:rPr>
                <w:sz w:val="15"/>
              </w:rPr>
              <w:t>1.040</w:t>
            </w:r>
          </w:p>
        </w:tc>
        <w:tc>
          <w:tcPr>
            <w:tcW w:type="dxa" w:w="1685"/>
            <w:vAlign w:val="center"/>
          </w:tcPr>
          <w:p>
            <w:pPr>
              <w:spacing w:after="0" w:before="0"/>
            </w:pPr>
            <w:r>
              <w:rPr>
                <w:sz w:val="15"/>
              </w:rPr>
              <w:t>1.117</w:t>
            </w:r>
          </w:p>
        </w:tc>
      </w:tr>
    </w:tbl>
    <w:p>
      <w:pPr>
        <w:spacing w:after="0"/>
      </w:pPr>
    </w:p>
    <w:p>
      <w:pPr>
        <w:pStyle w:val="Heading1"/>
      </w:pPr>
      <w:r>
        <w:t>5. Pre-registered decoder-vulnerability predictions</w:t>
      </w:r>
    </w:p>
    <w:p>
      <w:r>
        <w:t>The prediction table was generated before model fitting and tied to each session/arm by a fixed vulnerability ratio, with no post-hoc threshold adjustment on Exp11. Supervised predictions use the behavior-normalized budget x_beh, with the Exp10-derived cutoff of approximately 0.5. The ratio is metric-specific; behavior labels are restricted to the supervised training split for AUTO_BEH budget selection. We distinguish the predictor’s association with floor failures from claims about the causal mechanism of those failures.</w:t>
      </w:r>
    </w:p>
    <w:tbl>
      <w:tblPr>
        <w:tblStyle w:val="LightShading-Accent1"/>
        <w:tblW w:type="auto" w:w="0"/>
        <w:jc w:val="center"/>
        <w:tblLayout w:type="autofit"/>
        <w:tblLook w:firstColumn="1" w:firstRow="1" w:lastColumn="0" w:lastRow="0" w:noHBand="0" w:noVBand="1" w:val="04A0"/>
      </w:tblPr>
      <w:tblGrid>
        <w:gridCol w:w="5054"/>
        <w:gridCol w:w="5054"/>
      </w:tblGrid>
      <w:tr>
        <w:tc>
          <w:tcPr>
            <w:tcW w:type="dxa" w:w="5054"/>
            <w:shd w:fill="17334B"/>
            <w:vAlign w:val="center"/>
          </w:tcPr>
          <w:p>
            <w:pPr>
              <w:spacing w:after="0" w:before="0"/>
            </w:pPr>
            <w:r>
              <w:rPr>
                <w:b/>
                <w:color w:val="FFFFFF"/>
                <w:sz w:val="16"/>
              </w:rPr>
              <w:t>Supervised classifier metric</w:t>
            </w:r>
          </w:p>
        </w:tc>
        <w:tc>
          <w:tcPr>
            <w:tcW w:type="dxa" w:w="5054"/>
            <w:shd w:fill="17334B"/>
            <w:vAlign w:val="center"/>
          </w:tcPr>
          <w:p>
            <w:pPr>
              <w:spacing w:after="0" w:before="0"/>
            </w:pPr>
            <w:r>
              <w:rPr>
                <w:b/>
                <w:color w:val="FFFFFF"/>
                <w:sz w:val="16"/>
              </w:rPr>
              <w:t>Final Exp11 result</w:t>
            </w:r>
          </w:p>
        </w:tc>
      </w:tr>
      <w:tr>
        <w:tc>
          <w:tcPr>
            <w:tcW w:type="dxa" w:w="5054"/>
            <w:vAlign w:val="center"/>
          </w:tcPr>
          <w:p>
            <w:pPr>
              <w:spacing w:after="0" w:before="0"/>
            </w:pPr>
            <w:r>
              <w:rPr>
                <w:sz w:val="16"/>
              </w:rPr>
              <w:t>Total runs / operational floor failures</w:t>
            </w:r>
          </w:p>
        </w:tc>
        <w:tc>
          <w:tcPr>
            <w:tcW w:type="dxa" w:w="5054"/>
            <w:vAlign w:val="center"/>
          </w:tcPr>
          <w:p>
            <w:pPr>
              <w:spacing w:after="0" w:before="0"/>
            </w:pPr>
            <w:r>
              <w:rPr>
                <w:sz w:val="16"/>
              </w:rPr>
              <w:t>210 / 18 (8.6%)</w:t>
            </w:r>
          </w:p>
        </w:tc>
      </w:tr>
      <w:tr>
        <w:tc>
          <w:tcPr>
            <w:tcW w:type="dxa" w:w="5054"/>
            <w:vAlign w:val="center"/>
          </w:tcPr>
          <w:p>
            <w:pPr>
              <w:spacing w:after="0" w:before="0"/>
            </w:pPr>
            <w:r>
              <w:rPr>
                <w:sz w:val="16"/>
              </w:rPr>
              <w:t>Predicted failure cases</w:t>
            </w:r>
          </w:p>
        </w:tc>
        <w:tc>
          <w:tcPr>
            <w:tcW w:type="dxa" w:w="5054"/>
            <w:vAlign w:val="center"/>
          </w:tcPr>
          <w:p>
            <w:pPr>
              <w:spacing w:after="0" w:before="0"/>
            </w:pPr>
            <w:r>
              <w:rPr>
                <w:sz w:val="16"/>
              </w:rPr>
              <w:t>21</w:t>
            </w:r>
          </w:p>
        </w:tc>
      </w:tr>
      <w:tr>
        <w:tc>
          <w:tcPr>
            <w:tcW w:type="dxa" w:w="5054"/>
            <w:vAlign w:val="center"/>
          </w:tcPr>
          <w:p>
            <w:pPr>
              <w:spacing w:after="0" w:before="0"/>
            </w:pPr>
            <w:r>
              <w:rPr>
                <w:sz w:val="16"/>
              </w:rPr>
              <w:t>Confusion matrix</w:t>
            </w:r>
          </w:p>
        </w:tc>
        <w:tc>
          <w:tcPr>
            <w:tcW w:type="dxa" w:w="5054"/>
            <w:vAlign w:val="center"/>
          </w:tcPr>
          <w:p>
            <w:pPr>
              <w:spacing w:after="0" w:before="0"/>
            </w:pPr>
            <w:r>
              <w:rPr>
                <w:sz w:val="16"/>
              </w:rPr>
              <w:t>TP 15, FP 6, FN 3, TN 186</w:t>
            </w:r>
          </w:p>
        </w:tc>
      </w:tr>
      <w:tr>
        <w:tc>
          <w:tcPr>
            <w:tcW w:type="dxa" w:w="5054"/>
            <w:vAlign w:val="center"/>
          </w:tcPr>
          <w:p>
            <w:pPr>
              <w:spacing w:after="0" w:before="0"/>
            </w:pPr>
            <w:r>
              <w:rPr>
                <w:sz w:val="16"/>
              </w:rPr>
              <w:t>AUROC for behavior ratio x_beh</w:t>
            </w:r>
          </w:p>
        </w:tc>
        <w:tc>
          <w:tcPr>
            <w:tcW w:type="dxa" w:w="5054"/>
            <w:vAlign w:val="center"/>
          </w:tcPr>
          <w:p>
            <w:pPr>
              <w:spacing w:after="0" w:before="0"/>
            </w:pPr>
            <w:r>
              <w:rPr>
                <w:sz w:val="16"/>
              </w:rPr>
              <w:t>0.954</w:t>
            </w:r>
          </w:p>
        </w:tc>
      </w:tr>
      <w:tr>
        <w:tc>
          <w:tcPr>
            <w:tcW w:type="dxa" w:w="5054"/>
            <w:vAlign w:val="center"/>
          </w:tcPr>
          <w:p>
            <w:pPr>
              <w:spacing w:after="0" w:before="0"/>
            </w:pPr>
            <w:r>
              <w:rPr>
                <w:sz w:val="16"/>
              </w:rPr>
              <w:t>AUROC for signal ratio x_sig</w:t>
            </w:r>
          </w:p>
        </w:tc>
        <w:tc>
          <w:tcPr>
            <w:tcW w:type="dxa" w:w="5054"/>
            <w:vAlign w:val="center"/>
          </w:tcPr>
          <w:p>
            <w:pPr>
              <w:spacing w:after="0" w:before="0"/>
            </w:pPr>
            <w:r>
              <w:rPr>
                <w:sz w:val="16"/>
              </w:rPr>
              <w:t>0.820</w:t>
            </w:r>
          </w:p>
        </w:tc>
      </w:tr>
      <w:tr>
        <w:tc>
          <w:tcPr>
            <w:tcW w:type="dxa" w:w="5054"/>
            <w:vAlign w:val="center"/>
          </w:tcPr>
          <w:p>
            <w:pPr>
              <w:spacing w:after="0" w:before="0"/>
            </w:pPr>
            <w:r>
              <w:rPr>
                <w:sz w:val="16"/>
              </w:rPr>
              <w:t>AUROC for nominal budget alone</w:t>
            </w:r>
          </w:p>
        </w:tc>
        <w:tc>
          <w:tcPr>
            <w:tcW w:type="dxa" w:w="5054"/>
            <w:vAlign w:val="center"/>
          </w:tcPr>
          <w:p>
            <w:pPr>
              <w:spacing w:after="0" w:before="0"/>
            </w:pPr>
            <w:r>
              <w:rPr>
                <w:sz w:val="16"/>
              </w:rPr>
              <w:t>0.628</w:t>
            </w:r>
          </w:p>
        </w:tc>
      </w:tr>
      <w:tr>
        <w:tc>
          <w:tcPr>
            <w:tcW w:type="dxa" w:w="5054"/>
            <w:vAlign w:val="center"/>
          </w:tcPr>
          <w:p>
            <w:pPr>
              <w:spacing w:after="0" w:before="0"/>
            </w:pPr>
            <w:r>
              <w:rPr>
                <w:sz w:val="16"/>
              </w:rPr>
              <w:t>Accuracy / no-failure baseline</w:t>
            </w:r>
          </w:p>
        </w:tc>
        <w:tc>
          <w:tcPr>
            <w:tcW w:type="dxa" w:w="5054"/>
            <w:vAlign w:val="center"/>
          </w:tcPr>
          <w:p>
            <w:pPr>
              <w:spacing w:after="0" w:before="0"/>
            </w:pPr>
            <w:r>
              <w:rPr>
                <w:sz w:val="16"/>
              </w:rPr>
              <w:t>95.7% / 91.4%</w:t>
            </w:r>
          </w:p>
        </w:tc>
      </w:tr>
      <w:tr>
        <w:tc>
          <w:tcPr>
            <w:tcW w:type="dxa" w:w="5054"/>
            <w:vAlign w:val="center"/>
          </w:tcPr>
          <w:p>
            <w:pPr>
              <w:spacing w:after="0" w:before="0"/>
            </w:pPr>
            <w:r>
              <w:rPr>
                <w:sz w:val="16"/>
              </w:rPr>
              <w:t>Precision / recall / specificity</w:t>
            </w:r>
          </w:p>
        </w:tc>
        <w:tc>
          <w:tcPr>
            <w:tcW w:type="dxa" w:w="5054"/>
            <w:vAlign w:val="center"/>
          </w:tcPr>
          <w:p>
            <w:pPr>
              <w:spacing w:after="0" w:before="0"/>
            </w:pPr>
            <w:r>
              <w:rPr>
                <w:sz w:val="16"/>
              </w:rPr>
              <w:t>71.4% / 83.3% / 96.9%</w:t>
            </w:r>
          </w:p>
        </w:tc>
      </w:tr>
      <w:tr>
        <w:tc>
          <w:tcPr>
            <w:tcW w:type="dxa" w:w="5054"/>
            <w:vAlign w:val="center"/>
          </w:tcPr>
          <w:p>
            <w:pPr>
              <w:spacing w:after="0" w:before="0"/>
            </w:pPr>
            <w:r>
              <w:rPr>
                <w:sz w:val="16"/>
              </w:rPr>
              <w:t>Balanced accuracy</w:t>
            </w:r>
          </w:p>
        </w:tc>
        <w:tc>
          <w:tcPr>
            <w:tcW w:type="dxa" w:w="5054"/>
            <w:vAlign w:val="center"/>
          </w:tcPr>
          <w:p>
            <w:pPr>
              <w:spacing w:after="0" w:before="0"/>
            </w:pPr>
            <w:r>
              <w:rPr>
                <w:sz w:val="16"/>
              </w:rPr>
              <w:t>90.1%</w:t>
            </w:r>
          </w:p>
        </w:tc>
      </w:tr>
    </w:tbl>
    <w:p>
      <w:pPr>
        <w:spacing w:after="0"/>
      </w:pPr>
    </w:p>
    <w:p>
      <w:r>
        <w:t>The true-positive cluster comprises large-budget SP8 failures and three baseline failures on T-RT2; six false positives all occur at J-CO1 (PGD6 and DIFF8, across three seeds) near x_beh ≈0.53. Three false negatives are SP8 on C-CO2 seed 44 and SP/BEH on T-RT2 seeds 43/44. The repeated predictions for the same session/arm over three seeds increase the apparent sample size, so the AUROC should be read as an out-of-session descriptive result; reliable confidence intervals require cluster-aware uncertainty treatment.</w:t>
      </w:r>
    </w:p>
    <w:p>
      <w:r>
        <w:t>For time-only CEBRA, all 150 models have ref_half &gt; 0.5, so AUROC and failure recall are mathematically undefined. Three warnings on PGD6/T-RT2 were false positives. The reported 98% accuracy is inferior to the 100% accuracy of the trivial all-negative classifier on this zero-event subset and must not be cited as a success in time-only failure prediction.</w:t>
      </w:r>
    </w:p>
    <w:p>
      <w:pPr>
        <w:pStyle w:val="Heading1"/>
      </w:pPr>
      <w:r>
        <w:t>6. Robustness trade-offs, margins and interpretation</w:t>
      </w:r>
    </w:p>
    <w:p>
      <w:r>
        <w:t>Evaluating both geometries prevents overstating success. Supervised DIFF/BEH improves noise-shaped robustness 1.166× relative to PGD6 but retains only 0.680× its isotropic half-damage threshold; fixed DIFF8 is similar (1.174× reference, 0.692× isotropic). Time-only DIFF/SIG likewise yields 1.140× reference and 0.684× isotropic compared with PGD6. Therefore the principal achievement is a calibration rule that transfers within a particular, scientifically motivated threat geometry, rather than domination against all perturbations.</w:t>
      </w:r>
    </w:p>
    <w:p>
      <w:r>
        <w:t>Covariance pooling shifts the trade-off: supervised POOL/BEH is 1.121× PGD6 on the reference metric and 0.813× on isotropic; time-only POOL/SIG is 1.104× and 0.886×, respectively. The pool is an attractive alternative when isotropic resilience and clean decoding also matter, whereas DIFF is the clearest matched-geometry benchmark.</w:t>
      </w:r>
    </w:p>
    <w:p>
      <w:pPr>
        <w:pStyle w:val="Heading2"/>
      </w:pPr>
      <w:r>
        <w:t>6.1 Additional evaluation: supervised</w:t>
      </w:r>
    </w:p>
    <w:tbl>
      <w:tblPr>
        <w:tblStyle w:val="LightShading-Accent1"/>
        <w:tblW w:type="auto" w:w="0"/>
        <w:jc w:val="center"/>
        <w:tblLayout w:type="autofit"/>
        <w:tblLook w:firstColumn="1" w:firstRow="1" w:lastColumn="0" w:lastRow="0" w:noHBand="0" w:noVBand="1" w:val="04A0"/>
      </w:tblPr>
      <w:tblGrid>
        <w:gridCol w:w="2022"/>
        <w:gridCol w:w="2022"/>
        <w:gridCol w:w="2022"/>
        <w:gridCol w:w="2022"/>
        <w:gridCol w:w="2022"/>
      </w:tblGrid>
      <w:tr>
        <w:tc>
          <w:tcPr>
            <w:tcW w:type="dxa" w:w="2022"/>
            <w:shd w:fill="17334B"/>
            <w:vAlign w:val="center"/>
          </w:tcPr>
          <w:p>
            <w:pPr>
              <w:spacing w:after="0" w:before="0"/>
            </w:pPr>
            <w:r>
              <w:rPr>
                <w:b/>
                <w:color w:val="FFFFFF"/>
                <w:sz w:val="15"/>
              </w:rPr>
              <w:t>Arm</w:t>
            </w:r>
          </w:p>
        </w:tc>
        <w:tc>
          <w:tcPr>
            <w:tcW w:type="dxa" w:w="2022"/>
            <w:shd w:fill="17334B"/>
            <w:vAlign w:val="center"/>
          </w:tcPr>
          <w:p>
            <w:pPr>
              <w:spacing w:after="0" w:before="0"/>
            </w:pPr>
            <w:r>
              <w:rPr>
                <w:b/>
                <w:color w:val="FFFFFF"/>
                <w:sz w:val="15"/>
              </w:rPr>
              <w:t>Ref natural-noise R2</w:t>
            </w:r>
          </w:p>
        </w:tc>
        <w:tc>
          <w:tcPr>
            <w:tcW w:type="dxa" w:w="2022"/>
            <w:shd w:fill="17334B"/>
            <w:vAlign w:val="center"/>
          </w:tcPr>
          <w:p>
            <w:pPr>
              <w:spacing w:after="0" w:before="0"/>
            </w:pPr>
            <w:r>
              <w:rPr>
                <w:b/>
                <w:color w:val="FFFFFF"/>
                <w:sz w:val="15"/>
              </w:rPr>
              <w:t>Ref DDN median</w:t>
            </w:r>
          </w:p>
        </w:tc>
        <w:tc>
          <w:tcPr>
            <w:tcW w:type="dxa" w:w="2022"/>
            <w:shd w:fill="17334B"/>
            <w:vAlign w:val="center"/>
          </w:tcPr>
          <w:p>
            <w:pPr>
              <w:spacing w:after="0" w:before="0"/>
            </w:pPr>
            <w:r>
              <w:rPr>
                <w:b/>
                <w:color w:val="FFFFFF"/>
                <w:sz w:val="15"/>
              </w:rPr>
              <w:t>Iso natural-noise R2</w:t>
            </w:r>
          </w:p>
        </w:tc>
        <w:tc>
          <w:tcPr>
            <w:tcW w:type="dxa" w:w="2022"/>
            <w:shd w:fill="17334B"/>
            <w:vAlign w:val="center"/>
          </w:tcPr>
          <w:p>
            <w:pPr>
              <w:spacing w:after="0" w:before="0"/>
            </w:pPr>
            <w:r>
              <w:rPr>
                <w:b/>
                <w:color w:val="FFFFFF"/>
                <w:sz w:val="15"/>
              </w:rPr>
              <w:t>Iso DDN median</w:t>
            </w:r>
          </w:p>
        </w:tc>
      </w:tr>
      <w:tr>
        <w:tc>
          <w:tcPr>
            <w:tcW w:type="dxa" w:w="2022"/>
            <w:vAlign w:val="center"/>
          </w:tcPr>
          <w:p>
            <w:pPr>
              <w:spacing w:after="0" w:before="0"/>
            </w:pPr>
            <w:r>
              <w:rPr>
                <w:sz w:val="15"/>
              </w:rPr>
              <w:t>DIFF8</w:t>
            </w:r>
          </w:p>
        </w:tc>
        <w:tc>
          <w:tcPr>
            <w:tcW w:type="dxa" w:w="2022"/>
            <w:vAlign w:val="center"/>
          </w:tcPr>
          <w:p>
            <w:pPr>
              <w:spacing w:after="0" w:before="0"/>
            </w:pPr>
            <w:r>
              <w:rPr>
                <w:sz w:val="15"/>
              </w:rPr>
              <w:t>0.585</w:t>
            </w:r>
          </w:p>
        </w:tc>
        <w:tc>
          <w:tcPr>
            <w:tcW w:type="dxa" w:w="2022"/>
            <w:vAlign w:val="center"/>
          </w:tcPr>
          <w:p>
            <w:pPr>
              <w:spacing w:after="0" w:before="0"/>
            </w:pPr>
            <w:r>
              <w:rPr>
                <w:sz w:val="15"/>
              </w:rPr>
              <w:t>2.541</w:t>
            </w:r>
          </w:p>
        </w:tc>
        <w:tc>
          <w:tcPr>
            <w:tcW w:type="dxa" w:w="2022"/>
            <w:vAlign w:val="center"/>
          </w:tcPr>
          <w:p>
            <w:pPr>
              <w:spacing w:after="0" w:before="0"/>
            </w:pPr>
            <w:r>
              <w:rPr>
                <w:sz w:val="15"/>
              </w:rPr>
              <w:t>0.566</w:t>
            </w:r>
          </w:p>
        </w:tc>
        <w:tc>
          <w:tcPr>
            <w:tcW w:type="dxa" w:w="2022"/>
            <w:vAlign w:val="center"/>
          </w:tcPr>
          <w:p>
            <w:pPr>
              <w:spacing w:after="0" w:before="0"/>
            </w:pPr>
            <w:r>
              <w:rPr>
                <w:sz w:val="15"/>
              </w:rPr>
              <w:t>3.025</w:t>
            </w:r>
          </w:p>
        </w:tc>
      </w:tr>
      <w:tr>
        <w:tc>
          <w:tcPr>
            <w:tcW w:type="dxa" w:w="2022"/>
            <w:vAlign w:val="center"/>
          </w:tcPr>
          <w:p>
            <w:pPr>
              <w:spacing w:after="0" w:before="0"/>
            </w:pPr>
            <w:r>
              <w:rPr>
                <w:sz w:val="15"/>
              </w:rPr>
              <w:t>DIFF/BEH</w:t>
            </w:r>
          </w:p>
        </w:tc>
        <w:tc>
          <w:tcPr>
            <w:tcW w:type="dxa" w:w="2022"/>
            <w:vAlign w:val="center"/>
          </w:tcPr>
          <w:p>
            <w:pPr>
              <w:spacing w:after="0" w:before="0"/>
            </w:pPr>
            <w:r>
              <w:rPr>
                <w:sz w:val="15"/>
              </w:rPr>
              <w:t>0.613</w:t>
            </w:r>
          </w:p>
        </w:tc>
        <w:tc>
          <w:tcPr>
            <w:tcW w:type="dxa" w:w="2022"/>
            <w:vAlign w:val="center"/>
          </w:tcPr>
          <w:p>
            <w:pPr>
              <w:spacing w:after="0" w:before="0"/>
            </w:pPr>
            <w:r>
              <w:rPr>
                <w:sz w:val="15"/>
              </w:rPr>
              <w:t>2.653</w:t>
            </w:r>
          </w:p>
        </w:tc>
        <w:tc>
          <w:tcPr>
            <w:tcW w:type="dxa" w:w="2022"/>
            <w:vAlign w:val="center"/>
          </w:tcPr>
          <w:p>
            <w:pPr>
              <w:spacing w:after="0" w:before="0"/>
            </w:pPr>
            <w:r>
              <w:rPr>
                <w:sz w:val="15"/>
              </w:rPr>
              <w:t>0.591</w:t>
            </w:r>
          </w:p>
        </w:tc>
        <w:tc>
          <w:tcPr>
            <w:tcW w:type="dxa" w:w="2022"/>
            <w:vAlign w:val="center"/>
          </w:tcPr>
          <w:p>
            <w:pPr>
              <w:spacing w:after="0" w:before="0"/>
            </w:pPr>
            <w:r>
              <w:rPr>
                <w:sz w:val="15"/>
              </w:rPr>
              <w:t>3.136</w:t>
            </w:r>
          </w:p>
        </w:tc>
      </w:tr>
      <w:tr>
        <w:tc>
          <w:tcPr>
            <w:tcW w:type="dxa" w:w="2022"/>
            <w:vAlign w:val="center"/>
          </w:tcPr>
          <w:p>
            <w:pPr>
              <w:spacing w:after="0" w:before="0"/>
            </w:pPr>
            <w:r>
              <w:rPr>
                <w:sz w:val="15"/>
              </w:rPr>
              <w:t>PGD6</w:t>
            </w:r>
          </w:p>
        </w:tc>
        <w:tc>
          <w:tcPr>
            <w:tcW w:type="dxa" w:w="2022"/>
            <w:vAlign w:val="center"/>
          </w:tcPr>
          <w:p>
            <w:pPr>
              <w:spacing w:after="0" w:before="0"/>
            </w:pPr>
            <w:r>
              <w:rPr>
                <w:sz w:val="15"/>
              </w:rPr>
              <w:t>0.567</w:t>
            </w:r>
          </w:p>
        </w:tc>
        <w:tc>
          <w:tcPr>
            <w:tcW w:type="dxa" w:w="2022"/>
            <w:vAlign w:val="center"/>
          </w:tcPr>
          <w:p>
            <w:pPr>
              <w:spacing w:after="0" w:before="0"/>
            </w:pPr>
            <w:r>
              <w:rPr>
                <w:sz w:val="15"/>
              </w:rPr>
              <w:t>2.251</w:t>
            </w:r>
          </w:p>
        </w:tc>
        <w:tc>
          <w:tcPr>
            <w:tcW w:type="dxa" w:w="2022"/>
            <w:vAlign w:val="center"/>
          </w:tcPr>
          <w:p>
            <w:pPr>
              <w:spacing w:after="0" w:before="0"/>
            </w:pPr>
            <w:r>
              <w:rPr>
                <w:sz w:val="15"/>
              </w:rPr>
              <w:t>0.639</w:t>
            </w:r>
          </w:p>
        </w:tc>
        <w:tc>
          <w:tcPr>
            <w:tcW w:type="dxa" w:w="2022"/>
            <w:vAlign w:val="center"/>
          </w:tcPr>
          <w:p>
            <w:pPr>
              <w:spacing w:after="0" w:before="0"/>
            </w:pPr>
            <w:r>
              <w:rPr>
                <w:sz w:val="15"/>
              </w:rPr>
              <w:t>4.490</w:t>
            </w:r>
          </w:p>
        </w:tc>
      </w:tr>
    </w:tbl>
    <w:p>
      <w:pPr>
        <w:spacing w:after="0"/>
      </w:pPr>
    </w:p>
    <w:p>
      <w:pPr>
        <w:pStyle w:val="SmallNote"/>
      </w:pPr>
      <w:r>
        <w:t>Model-level averages of per-run natural-noise R2 and 100-step DDN decoding margins. These are corroborating secondary metrics; no formal statistical comparison is claimed.</w:t>
      </w:r>
    </w:p>
    <w:p>
      <w:pPr>
        <w:pStyle w:val="Heading2"/>
      </w:pPr>
      <w:r>
        <w:t>6.2 Additional evaluation: time-only</w:t>
      </w:r>
    </w:p>
    <w:tbl>
      <w:tblPr>
        <w:tblStyle w:val="LightShading-Accent1"/>
        <w:tblW w:type="auto" w:w="0"/>
        <w:jc w:val="center"/>
        <w:tblLayout w:type="autofit"/>
        <w:tblLook w:firstColumn="1" w:firstRow="1" w:lastColumn="0" w:lastRow="0" w:noHBand="0" w:noVBand="1" w:val="04A0"/>
      </w:tblPr>
      <w:tblGrid>
        <w:gridCol w:w="2022"/>
        <w:gridCol w:w="2022"/>
        <w:gridCol w:w="2022"/>
        <w:gridCol w:w="2022"/>
        <w:gridCol w:w="2022"/>
      </w:tblGrid>
      <w:tr>
        <w:tc>
          <w:tcPr>
            <w:tcW w:type="dxa" w:w="2022"/>
            <w:shd w:fill="17334B"/>
            <w:vAlign w:val="center"/>
          </w:tcPr>
          <w:p>
            <w:pPr>
              <w:spacing w:after="0" w:before="0"/>
            </w:pPr>
            <w:r>
              <w:rPr>
                <w:b/>
                <w:color w:val="FFFFFF"/>
                <w:sz w:val="15"/>
              </w:rPr>
              <w:t>Arm</w:t>
            </w:r>
          </w:p>
        </w:tc>
        <w:tc>
          <w:tcPr>
            <w:tcW w:type="dxa" w:w="2022"/>
            <w:shd w:fill="17334B"/>
            <w:vAlign w:val="center"/>
          </w:tcPr>
          <w:p>
            <w:pPr>
              <w:spacing w:after="0" w:before="0"/>
            </w:pPr>
            <w:r>
              <w:rPr>
                <w:b/>
                <w:color w:val="FFFFFF"/>
                <w:sz w:val="15"/>
              </w:rPr>
              <w:t>Ref natural-noise R2</w:t>
            </w:r>
          </w:p>
        </w:tc>
        <w:tc>
          <w:tcPr>
            <w:tcW w:type="dxa" w:w="2022"/>
            <w:shd w:fill="17334B"/>
            <w:vAlign w:val="center"/>
          </w:tcPr>
          <w:p>
            <w:pPr>
              <w:spacing w:after="0" w:before="0"/>
            </w:pPr>
            <w:r>
              <w:rPr>
                <w:b/>
                <w:color w:val="FFFFFF"/>
                <w:sz w:val="15"/>
              </w:rPr>
              <w:t>Ref DDN median</w:t>
            </w:r>
          </w:p>
        </w:tc>
        <w:tc>
          <w:tcPr>
            <w:tcW w:type="dxa" w:w="2022"/>
            <w:shd w:fill="17334B"/>
            <w:vAlign w:val="center"/>
          </w:tcPr>
          <w:p>
            <w:pPr>
              <w:spacing w:after="0" w:before="0"/>
            </w:pPr>
            <w:r>
              <w:rPr>
                <w:b/>
                <w:color w:val="FFFFFF"/>
                <w:sz w:val="15"/>
              </w:rPr>
              <w:t>Iso natural-noise R2</w:t>
            </w:r>
          </w:p>
        </w:tc>
        <w:tc>
          <w:tcPr>
            <w:tcW w:type="dxa" w:w="2022"/>
            <w:shd w:fill="17334B"/>
            <w:vAlign w:val="center"/>
          </w:tcPr>
          <w:p>
            <w:pPr>
              <w:spacing w:after="0" w:before="0"/>
            </w:pPr>
            <w:r>
              <w:rPr>
                <w:b/>
                <w:color w:val="FFFFFF"/>
                <w:sz w:val="15"/>
              </w:rPr>
              <w:t>Iso DDN median</w:t>
            </w:r>
          </w:p>
        </w:tc>
      </w:tr>
      <w:tr>
        <w:tc>
          <w:tcPr>
            <w:tcW w:type="dxa" w:w="2022"/>
            <w:vAlign w:val="center"/>
          </w:tcPr>
          <w:p>
            <w:pPr>
              <w:spacing w:after="0" w:before="0"/>
            </w:pPr>
            <w:r>
              <w:rPr>
                <w:sz w:val="15"/>
              </w:rPr>
              <w:t>DIFF8</w:t>
            </w:r>
          </w:p>
        </w:tc>
        <w:tc>
          <w:tcPr>
            <w:tcW w:type="dxa" w:w="2022"/>
            <w:vAlign w:val="center"/>
          </w:tcPr>
          <w:p>
            <w:pPr>
              <w:spacing w:after="0" w:before="0"/>
            </w:pPr>
            <w:r>
              <w:rPr>
                <w:sz w:val="15"/>
              </w:rPr>
              <w:t>0.492</w:t>
            </w:r>
          </w:p>
        </w:tc>
        <w:tc>
          <w:tcPr>
            <w:tcW w:type="dxa" w:w="2022"/>
            <w:vAlign w:val="center"/>
          </w:tcPr>
          <w:p>
            <w:pPr>
              <w:spacing w:after="0" w:before="0"/>
            </w:pPr>
            <w:r>
              <w:rPr>
                <w:sz w:val="15"/>
              </w:rPr>
              <w:t>3.203</w:t>
            </w:r>
          </w:p>
        </w:tc>
        <w:tc>
          <w:tcPr>
            <w:tcW w:type="dxa" w:w="2022"/>
            <w:vAlign w:val="center"/>
          </w:tcPr>
          <w:p>
            <w:pPr>
              <w:spacing w:after="0" w:before="0"/>
            </w:pPr>
            <w:r>
              <w:rPr>
                <w:sz w:val="15"/>
              </w:rPr>
              <w:t>0.455</w:t>
            </w:r>
          </w:p>
        </w:tc>
        <w:tc>
          <w:tcPr>
            <w:tcW w:type="dxa" w:w="2022"/>
            <w:vAlign w:val="center"/>
          </w:tcPr>
          <w:p>
            <w:pPr>
              <w:spacing w:after="0" w:before="0"/>
            </w:pPr>
            <w:r>
              <w:rPr>
                <w:sz w:val="15"/>
              </w:rPr>
              <w:t>4.352</w:t>
            </w:r>
          </w:p>
        </w:tc>
      </w:tr>
      <w:tr>
        <w:tc>
          <w:tcPr>
            <w:tcW w:type="dxa" w:w="2022"/>
            <w:vAlign w:val="center"/>
          </w:tcPr>
          <w:p>
            <w:pPr>
              <w:spacing w:after="0" w:before="0"/>
            </w:pPr>
            <w:r>
              <w:rPr>
                <w:sz w:val="15"/>
              </w:rPr>
              <w:t>DIFF/SIG</w:t>
            </w:r>
          </w:p>
        </w:tc>
        <w:tc>
          <w:tcPr>
            <w:tcW w:type="dxa" w:w="2022"/>
            <w:vAlign w:val="center"/>
          </w:tcPr>
          <w:p>
            <w:pPr>
              <w:spacing w:after="0" w:before="0"/>
            </w:pPr>
            <w:r>
              <w:rPr>
                <w:sz w:val="15"/>
              </w:rPr>
              <w:t>0.488</w:t>
            </w:r>
          </w:p>
        </w:tc>
        <w:tc>
          <w:tcPr>
            <w:tcW w:type="dxa" w:w="2022"/>
            <w:vAlign w:val="center"/>
          </w:tcPr>
          <w:p>
            <w:pPr>
              <w:spacing w:after="0" w:before="0"/>
            </w:pPr>
            <w:r>
              <w:rPr>
                <w:sz w:val="15"/>
              </w:rPr>
              <w:t>3.179</w:t>
            </w:r>
          </w:p>
        </w:tc>
        <w:tc>
          <w:tcPr>
            <w:tcW w:type="dxa" w:w="2022"/>
            <w:vAlign w:val="center"/>
          </w:tcPr>
          <w:p>
            <w:pPr>
              <w:spacing w:after="0" w:before="0"/>
            </w:pPr>
            <w:r>
              <w:rPr>
                <w:sz w:val="15"/>
              </w:rPr>
              <w:t>0.465</w:t>
            </w:r>
          </w:p>
        </w:tc>
        <w:tc>
          <w:tcPr>
            <w:tcW w:type="dxa" w:w="2022"/>
            <w:vAlign w:val="center"/>
          </w:tcPr>
          <w:p>
            <w:pPr>
              <w:spacing w:after="0" w:before="0"/>
            </w:pPr>
            <w:r>
              <w:rPr>
                <w:sz w:val="15"/>
              </w:rPr>
              <w:t>4.430</w:t>
            </w:r>
          </w:p>
        </w:tc>
      </w:tr>
      <w:tr>
        <w:tc>
          <w:tcPr>
            <w:tcW w:type="dxa" w:w="2022"/>
            <w:vAlign w:val="center"/>
          </w:tcPr>
          <w:p>
            <w:pPr>
              <w:spacing w:after="0" w:before="0"/>
            </w:pPr>
            <w:r>
              <w:rPr>
                <w:sz w:val="15"/>
              </w:rPr>
              <w:t>PGD6</w:t>
            </w:r>
          </w:p>
        </w:tc>
        <w:tc>
          <w:tcPr>
            <w:tcW w:type="dxa" w:w="2022"/>
            <w:vAlign w:val="center"/>
          </w:tcPr>
          <w:p>
            <w:pPr>
              <w:spacing w:after="0" w:before="0"/>
            </w:pPr>
            <w:r>
              <w:rPr>
                <w:sz w:val="15"/>
              </w:rPr>
              <w:t>0.468</w:t>
            </w:r>
          </w:p>
        </w:tc>
        <w:tc>
          <w:tcPr>
            <w:tcW w:type="dxa" w:w="2022"/>
            <w:vAlign w:val="center"/>
          </w:tcPr>
          <w:p>
            <w:pPr>
              <w:spacing w:after="0" w:before="0"/>
            </w:pPr>
            <w:r>
              <w:rPr>
                <w:sz w:val="15"/>
              </w:rPr>
              <w:t>2.795</w:t>
            </w:r>
          </w:p>
        </w:tc>
        <w:tc>
          <w:tcPr>
            <w:tcW w:type="dxa" w:w="2022"/>
            <w:vAlign w:val="center"/>
          </w:tcPr>
          <w:p>
            <w:pPr>
              <w:spacing w:after="0" w:before="0"/>
            </w:pPr>
            <w:r>
              <w:rPr>
                <w:sz w:val="15"/>
              </w:rPr>
              <w:t>0.565</w:t>
            </w:r>
          </w:p>
        </w:tc>
        <w:tc>
          <w:tcPr>
            <w:tcW w:type="dxa" w:w="2022"/>
            <w:vAlign w:val="center"/>
          </w:tcPr>
          <w:p>
            <w:pPr>
              <w:spacing w:after="0" w:before="0"/>
            </w:pPr>
            <w:r>
              <w:rPr>
                <w:sz w:val="15"/>
              </w:rPr>
              <w:t>6.124</w:t>
            </w:r>
          </w:p>
        </w:tc>
      </w:tr>
    </w:tbl>
    <w:p>
      <w:pPr>
        <w:spacing w:after="0"/>
      </w:pPr>
    </w:p>
    <w:p>
      <w:pPr>
        <w:pStyle w:val="SmallNote"/>
      </w:pPr>
      <w:r>
        <w:t>Model-level averages of per-run natural-noise R2 and 100-step DDN decoding margins. These are corroborating secondary metrics; no formal statistical comparison is claimed.</w:t>
      </w:r>
    </w:p>
    <w:p>
      <w:pPr>
        <w:pStyle w:val="Heading1"/>
      </w:pPr>
      <w:r>
        <w:t>7. What the prospective experiment demonstrates — and does not</w:t>
      </w:r>
    </w:p>
    <w:p>
      <w:r>
        <w:t>Supported: (i) the frozen, data-derived epsilon rule can approach a strong fixed d-prime setting without repeating a per-session manual epsilon search; (ii) difference-residual geometry remains safer than fixed SP8 for supervised CEBRA; (iii) the supervised behavior-ratio vulnerability score has good prospective discriminative performance at the individual-run level; (iv) trade-offs with isotropic threats persist rather than disappearing with adaptive calibration.</w:t>
      </w:r>
    </w:p>
    <w:p>
      <w:r>
        <w:t>Not yet established: (i) statistical equivalence with DIFF8 under a prespecified tolerance; (ii) closeness to a genuinely session-specific best epsilon/Oracle selected by comprehensive grid search; (iii) superiority of AUTO_BEH to DIFF8 in average reference robustness (point estimates are 0.64% lower); (iv) extension to an independent data family or unseen animals, or broad physiological imperceptibility; (v) absence of gradient masking under all attack families. Exp11 white-box evaluation uses 20-step APGD, whereas stronger multi-restart stress tests were performed on prior checkpoints in Exp10-B, not proven separately for all new Exp11 models.</w:t>
      </w:r>
    </w:p>
    <w:p>
      <w:r>
        <w:t>Important additional constraint: several sessions come from the same animals as other sessions in the study, and the entire prospective suite is from the Perich collection. Random seeds are repeated training stochasticity on the same session, not independent experimental units. The floor-failure criterion is coarse because epsilon=0.5 is the smallest attack radius and all arms use a common attack grid. The use of continuous offsets on integer spike-count inputs remains a threat-model abstraction.</w:t>
      </w:r>
    </w:p>
    <w:p>
      <w:pPr>
        <w:pStyle w:val="Heading1"/>
      </w:pPr>
      <w:r>
        <w:t>8. Recommended next steps</w:t>
      </w:r>
    </w:p>
    <w:p>
      <w:r>
        <w:t>1. Report Exp11 as a prospective fixed-baseline transfer test, with DIFF/BEH and DIFF/SIG as the automatic-budget protagonists and DIFF8 as the matched-geometry comparison. Preserve the frozen 0.363 / 0.24 rules unchanged for this result.</w:t>
      </w:r>
    </w:p>
    <w:p>
      <w:r>
        <w:t>2. For a direct “near-best-manual-epsilon” claim, run a carefully scoped manual epsilon sweep on a subset of new sessions, compare each automatic budget against the oracle envelope and quantify regret. Label that envelope as an a posteriori upper bound, not a deployable fair baseline.</w:t>
      </w:r>
    </w:p>
    <w:p>
      <w:r>
        <w:t>3. Measure equivalence with an agreed tolerance (for example, a scientific non-inferiority margin on epsilon_1/2 plus a clean R2 tolerance) before making formal equivalence claims. Expand to additional sessions if the margin-based confidence interval requires greater precision.</w:t>
      </w:r>
    </w:p>
    <w:p>
      <w:r>
        <w:t>4. Refine the robustness grid below epsilon=0.5 on T-RT2 and J-CO1, and add an independent stronger-attack check on representative Exp11 checkpoints. Consider natural-noise augmentation as a matched-control arm if claims about the necessity of adversarial optimization are central.</w:t>
      </w:r>
    </w:p>
    <w:p>
      <w:r>
        <w:t>5. Validate on a genuinely independent neural dataset / independent subjects, with labels isolated strictly to training where needed, and report results at animal and session hierarchical levels.</w:t>
      </w:r>
    </w:p>
    <w:p>
      <w:pPr>
        <w:pStyle w:val="Heading1"/>
      </w:pPr>
      <w:r>
        <w:t>Appendix A. Complete per-session clean decoding (mean of three seeds)</w:t>
      </w:r>
    </w:p>
    <w:p>
      <w:pPr>
        <w:pStyle w:val="Heading2"/>
      </w:pPr>
      <w:r>
        <w:t>Supervised</w:t>
      </w:r>
    </w:p>
    <w:tbl>
      <w:tblPr>
        <w:tblStyle w:val="LightShading-Accent1"/>
        <w:tblW w:type="auto" w:w="0"/>
        <w:jc w:val="center"/>
        <w:tblLayout w:type="autofit"/>
        <w:tblLook w:firstColumn="1" w:firstRow="1" w:lastColumn="0" w:lastRow="0" w:noHBand="0" w:noVBand="1" w:val="04A0"/>
      </w:tblPr>
      <w:tblGrid>
        <w:gridCol w:w="1263"/>
        <w:gridCol w:w="1263"/>
        <w:gridCol w:w="1263"/>
        <w:gridCol w:w="1263"/>
        <w:gridCol w:w="1263"/>
        <w:gridCol w:w="1263"/>
        <w:gridCol w:w="1263"/>
        <w:gridCol w:w="1263"/>
      </w:tblGrid>
      <w:tr>
        <w:tc>
          <w:tcPr>
            <w:tcW w:type="dxa" w:w="1263"/>
            <w:shd w:fill="17334B"/>
            <w:vAlign w:val="center"/>
          </w:tcPr>
          <w:p>
            <w:pPr>
              <w:spacing w:after="0" w:before="0"/>
            </w:pPr>
            <w:r>
              <w:rPr>
                <w:b/>
                <w:color w:val="FFFFFF"/>
                <w:sz w:val="14"/>
              </w:rPr>
              <w:t>Session</w:t>
            </w:r>
          </w:p>
        </w:tc>
        <w:tc>
          <w:tcPr>
            <w:tcW w:type="dxa" w:w="1263"/>
            <w:shd w:fill="17334B"/>
            <w:vAlign w:val="center"/>
          </w:tcPr>
          <w:p>
            <w:pPr>
              <w:spacing w:after="0" w:before="0"/>
            </w:pPr>
            <w:r>
              <w:rPr>
                <w:b/>
                <w:color w:val="FFFFFF"/>
                <w:sz w:val="14"/>
              </w:rPr>
              <w:t>PGD6</w:t>
            </w:r>
          </w:p>
        </w:tc>
        <w:tc>
          <w:tcPr>
            <w:tcW w:type="dxa" w:w="1263"/>
            <w:shd w:fill="17334B"/>
            <w:vAlign w:val="center"/>
          </w:tcPr>
          <w:p>
            <w:pPr>
              <w:spacing w:after="0" w:before="0"/>
            </w:pPr>
            <w:r>
              <w:rPr>
                <w:b/>
                <w:color w:val="FFFFFF"/>
                <w:sz w:val="14"/>
              </w:rPr>
              <w:t>DIFF8</w:t>
            </w:r>
          </w:p>
        </w:tc>
        <w:tc>
          <w:tcPr>
            <w:tcW w:type="dxa" w:w="1263"/>
            <w:shd w:fill="17334B"/>
            <w:vAlign w:val="center"/>
          </w:tcPr>
          <w:p>
            <w:pPr>
              <w:spacing w:after="0" w:before="0"/>
            </w:pPr>
            <w:r>
              <w:rPr>
                <w:b/>
                <w:color w:val="FFFFFF"/>
                <w:sz w:val="14"/>
              </w:rPr>
              <w:t>DIFF/BEH</w:t>
            </w:r>
          </w:p>
        </w:tc>
        <w:tc>
          <w:tcPr>
            <w:tcW w:type="dxa" w:w="1263"/>
            <w:shd w:fill="17334B"/>
            <w:vAlign w:val="center"/>
          </w:tcPr>
          <w:p>
            <w:pPr>
              <w:spacing w:after="0" w:before="0"/>
            </w:pPr>
            <w:r>
              <w:rPr>
                <w:b/>
                <w:color w:val="FFFFFF"/>
                <w:sz w:val="14"/>
              </w:rPr>
              <w:t>POOL/BEH</w:t>
            </w:r>
          </w:p>
        </w:tc>
        <w:tc>
          <w:tcPr>
            <w:tcW w:type="dxa" w:w="1263"/>
            <w:shd w:fill="17334B"/>
            <w:vAlign w:val="center"/>
          </w:tcPr>
          <w:p>
            <w:pPr>
              <w:spacing w:after="0" w:before="0"/>
            </w:pPr>
            <w:r>
              <w:rPr>
                <w:b/>
                <w:color w:val="FFFFFF"/>
                <w:sz w:val="14"/>
              </w:rPr>
              <w:t>SP/SIG</w:t>
            </w:r>
          </w:p>
        </w:tc>
        <w:tc>
          <w:tcPr>
            <w:tcW w:type="dxa" w:w="1263"/>
            <w:shd w:fill="17334B"/>
            <w:vAlign w:val="center"/>
          </w:tcPr>
          <w:p>
            <w:pPr>
              <w:spacing w:after="0" w:before="0"/>
            </w:pPr>
            <w:r>
              <w:rPr>
                <w:b/>
                <w:color w:val="FFFFFF"/>
                <w:sz w:val="14"/>
              </w:rPr>
              <w:t>SP/BEH</w:t>
            </w:r>
          </w:p>
        </w:tc>
        <w:tc>
          <w:tcPr>
            <w:tcW w:type="dxa" w:w="1263"/>
            <w:shd w:fill="17334B"/>
            <w:vAlign w:val="center"/>
          </w:tcPr>
          <w:p>
            <w:pPr>
              <w:spacing w:after="0" w:before="0"/>
            </w:pPr>
            <w:r>
              <w:rPr>
                <w:b/>
                <w:color w:val="FFFFFF"/>
                <w:sz w:val="14"/>
              </w:rPr>
              <w:t>SP8</w:t>
            </w:r>
          </w:p>
        </w:tc>
      </w:tr>
      <w:tr>
        <w:tc>
          <w:tcPr>
            <w:tcW w:type="dxa" w:w="1263"/>
            <w:vAlign w:val="center"/>
          </w:tcPr>
          <w:p>
            <w:pPr>
              <w:spacing w:after="0" w:before="0"/>
            </w:pPr>
            <w:r>
              <w:rPr>
                <w:sz w:val="14"/>
              </w:rPr>
              <w:t>C-CO25</w:t>
            </w:r>
          </w:p>
        </w:tc>
        <w:tc>
          <w:tcPr>
            <w:tcW w:type="dxa" w:w="1263"/>
            <w:vAlign w:val="center"/>
          </w:tcPr>
          <w:p>
            <w:pPr>
              <w:spacing w:after="0" w:before="0"/>
            </w:pPr>
            <w:r>
              <w:rPr>
                <w:sz w:val="14"/>
              </w:rPr>
              <w:t>0.770</w:t>
            </w:r>
          </w:p>
        </w:tc>
        <w:tc>
          <w:tcPr>
            <w:tcW w:type="dxa" w:w="1263"/>
            <w:vAlign w:val="center"/>
          </w:tcPr>
          <w:p>
            <w:pPr>
              <w:spacing w:after="0" w:before="0"/>
            </w:pPr>
            <w:r>
              <w:rPr>
                <w:sz w:val="14"/>
              </w:rPr>
              <w:t>0.772</w:t>
            </w:r>
          </w:p>
        </w:tc>
        <w:tc>
          <w:tcPr>
            <w:tcW w:type="dxa" w:w="1263"/>
            <w:vAlign w:val="center"/>
          </w:tcPr>
          <w:p>
            <w:pPr>
              <w:spacing w:after="0" w:before="0"/>
            </w:pPr>
            <w:r>
              <w:rPr>
                <w:sz w:val="14"/>
              </w:rPr>
              <w:t>0.773</w:t>
            </w:r>
          </w:p>
        </w:tc>
        <w:tc>
          <w:tcPr>
            <w:tcW w:type="dxa" w:w="1263"/>
            <w:vAlign w:val="center"/>
          </w:tcPr>
          <w:p>
            <w:pPr>
              <w:spacing w:after="0" w:before="0"/>
            </w:pPr>
            <w:r>
              <w:rPr>
                <w:sz w:val="14"/>
              </w:rPr>
              <w:t>0.757</w:t>
            </w:r>
          </w:p>
        </w:tc>
        <w:tc>
          <w:tcPr>
            <w:tcW w:type="dxa" w:w="1263"/>
            <w:vAlign w:val="center"/>
          </w:tcPr>
          <w:p>
            <w:pPr>
              <w:spacing w:after="0" w:before="0"/>
            </w:pPr>
            <w:r>
              <w:rPr>
                <w:sz w:val="14"/>
              </w:rPr>
              <w:t>0.760</w:t>
            </w:r>
          </w:p>
        </w:tc>
        <w:tc>
          <w:tcPr>
            <w:tcW w:type="dxa" w:w="1263"/>
            <w:vAlign w:val="center"/>
          </w:tcPr>
          <w:p>
            <w:pPr>
              <w:spacing w:after="0" w:before="0"/>
            </w:pPr>
            <w:r>
              <w:rPr>
                <w:sz w:val="14"/>
              </w:rPr>
              <w:t>0.759</w:t>
            </w:r>
          </w:p>
        </w:tc>
        <w:tc>
          <w:tcPr>
            <w:tcW w:type="dxa" w:w="1263"/>
            <w:vAlign w:val="center"/>
          </w:tcPr>
          <w:p>
            <w:pPr>
              <w:spacing w:after="0" w:before="0"/>
            </w:pPr>
            <w:r>
              <w:rPr>
                <w:sz w:val="14"/>
              </w:rPr>
              <w:t>0.741</w:t>
            </w:r>
          </w:p>
        </w:tc>
      </w:tr>
      <w:tr>
        <w:tc>
          <w:tcPr>
            <w:tcW w:type="dxa" w:w="1263"/>
            <w:vAlign w:val="center"/>
          </w:tcPr>
          <w:p>
            <w:pPr>
              <w:spacing w:after="0" w:before="0"/>
            </w:pPr>
            <w:r>
              <w:rPr>
                <w:sz w:val="14"/>
              </w:rPr>
              <w:t>C-CO26</w:t>
            </w:r>
          </w:p>
        </w:tc>
        <w:tc>
          <w:tcPr>
            <w:tcW w:type="dxa" w:w="1263"/>
            <w:vAlign w:val="center"/>
          </w:tcPr>
          <w:p>
            <w:pPr>
              <w:spacing w:after="0" w:before="0"/>
            </w:pPr>
            <w:r>
              <w:rPr>
                <w:sz w:val="14"/>
              </w:rPr>
              <w:t>0.764</w:t>
            </w:r>
          </w:p>
        </w:tc>
        <w:tc>
          <w:tcPr>
            <w:tcW w:type="dxa" w:w="1263"/>
            <w:vAlign w:val="center"/>
          </w:tcPr>
          <w:p>
            <w:pPr>
              <w:spacing w:after="0" w:before="0"/>
            </w:pPr>
            <w:r>
              <w:rPr>
                <w:sz w:val="14"/>
              </w:rPr>
              <w:t>0.760</w:t>
            </w:r>
          </w:p>
        </w:tc>
        <w:tc>
          <w:tcPr>
            <w:tcW w:type="dxa" w:w="1263"/>
            <w:vAlign w:val="center"/>
          </w:tcPr>
          <w:p>
            <w:pPr>
              <w:spacing w:after="0" w:before="0"/>
            </w:pPr>
            <w:r>
              <w:rPr>
                <w:sz w:val="14"/>
              </w:rPr>
              <w:t>0.770</w:t>
            </w:r>
          </w:p>
        </w:tc>
        <w:tc>
          <w:tcPr>
            <w:tcW w:type="dxa" w:w="1263"/>
            <w:vAlign w:val="center"/>
          </w:tcPr>
          <w:p>
            <w:pPr>
              <w:spacing w:after="0" w:before="0"/>
            </w:pPr>
            <w:r>
              <w:rPr>
                <w:sz w:val="14"/>
              </w:rPr>
              <w:t>0.761</w:t>
            </w:r>
          </w:p>
        </w:tc>
        <w:tc>
          <w:tcPr>
            <w:tcW w:type="dxa" w:w="1263"/>
            <w:vAlign w:val="center"/>
          </w:tcPr>
          <w:p>
            <w:pPr>
              <w:spacing w:after="0" w:before="0"/>
            </w:pPr>
            <w:r>
              <w:rPr>
                <w:sz w:val="14"/>
              </w:rPr>
              <w:t>0.764</w:t>
            </w:r>
          </w:p>
        </w:tc>
        <w:tc>
          <w:tcPr>
            <w:tcW w:type="dxa" w:w="1263"/>
            <w:vAlign w:val="center"/>
          </w:tcPr>
          <w:p>
            <w:pPr>
              <w:spacing w:after="0" w:before="0"/>
            </w:pPr>
            <w:r>
              <w:rPr>
                <w:sz w:val="14"/>
              </w:rPr>
              <w:t>0.749</w:t>
            </w:r>
          </w:p>
        </w:tc>
        <w:tc>
          <w:tcPr>
            <w:tcW w:type="dxa" w:w="1263"/>
            <w:vAlign w:val="center"/>
          </w:tcPr>
          <w:p>
            <w:pPr>
              <w:spacing w:after="0" w:before="0"/>
            </w:pPr>
            <w:r>
              <w:rPr>
                <w:sz w:val="14"/>
              </w:rPr>
              <w:t>0.742</w:t>
            </w:r>
          </w:p>
        </w:tc>
      </w:tr>
      <w:tr>
        <w:tc>
          <w:tcPr>
            <w:tcW w:type="dxa" w:w="1263"/>
            <w:vAlign w:val="center"/>
          </w:tcPr>
          <w:p>
            <w:pPr>
              <w:spacing w:after="0" w:before="0"/>
            </w:pPr>
            <w:r>
              <w:rPr>
                <w:sz w:val="14"/>
              </w:rPr>
              <w:t>T-RT2</w:t>
            </w:r>
          </w:p>
        </w:tc>
        <w:tc>
          <w:tcPr>
            <w:tcW w:type="dxa" w:w="1263"/>
            <w:vAlign w:val="center"/>
          </w:tcPr>
          <w:p>
            <w:pPr>
              <w:spacing w:after="0" w:before="0"/>
            </w:pPr>
            <w:r>
              <w:rPr>
                <w:sz w:val="14"/>
              </w:rPr>
              <w:t>0.399</w:t>
            </w:r>
          </w:p>
        </w:tc>
        <w:tc>
          <w:tcPr>
            <w:tcW w:type="dxa" w:w="1263"/>
            <w:vAlign w:val="center"/>
          </w:tcPr>
          <w:p>
            <w:pPr>
              <w:spacing w:after="0" w:before="0"/>
            </w:pPr>
            <w:r>
              <w:rPr>
                <w:sz w:val="14"/>
              </w:rPr>
              <w:t>0.410</w:t>
            </w:r>
          </w:p>
        </w:tc>
        <w:tc>
          <w:tcPr>
            <w:tcW w:type="dxa" w:w="1263"/>
            <w:vAlign w:val="center"/>
          </w:tcPr>
          <w:p>
            <w:pPr>
              <w:spacing w:after="0" w:before="0"/>
            </w:pPr>
            <w:r>
              <w:rPr>
                <w:sz w:val="14"/>
              </w:rPr>
              <w:t>0.410</w:t>
            </w:r>
          </w:p>
        </w:tc>
        <w:tc>
          <w:tcPr>
            <w:tcW w:type="dxa" w:w="1263"/>
            <w:vAlign w:val="center"/>
          </w:tcPr>
          <w:p>
            <w:pPr>
              <w:spacing w:after="0" w:before="0"/>
            </w:pPr>
            <w:r>
              <w:rPr>
                <w:sz w:val="14"/>
              </w:rPr>
              <w:t>0.405</w:t>
            </w:r>
          </w:p>
        </w:tc>
        <w:tc>
          <w:tcPr>
            <w:tcW w:type="dxa" w:w="1263"/>
            <w:vAlign w:val="center"/>
          </w:tcPr>
          <w:p>
            <w:pPr>
              <w:spacing w:after="0" w:before="0"/>
            </w:pPr>
            <w:r>
              <w:rPr>
                <w:sz w:val="14"/>
              </w:rPr>
              <w:t>0.404</w:t>
            </w:r>
          </w:p>
        </w:tc>
        <w:tc>
          <w:tcPr>
            <w:tcW w:type="dxa" w:w="1263"/>
            <w:vAlign w:val="center"/>
          </w:tcPr>
          <w:p>
            <w:pPr>
              <w:spacing w:after="0" w:before="0"/>
            </w:pPr>
            <w:r>
              <w:rPr>
                <w:sz w:val="14"/>
              </w:rPr>
              <w:t>0.395</w:t>
            </w:r>
          </w:p>
        </w:tc>
        <w:tc>
          <w:tcPr>
            <w:tcW w:type="dxa" w:w="1263"/>
            <w:vAlign w:val="center"/>
          </w:tcPr>
          <w:p>
            <w:pPr>
              <w:spacing w:after="0" w:before="0"/>
            </w:pPr>
            <w:r>
              <w:rPr>
                <w:sz w:val="14"/>
              </w:rPr>
              <w:t>0.390</w:t>
            </w:r>
          </w:p>
        </w:tc>
      </w:tr>
      <w:tr>
        <w:tc>
          <w:tcPr>
            <w:tcW w:type="dxa" w:w="1263"/>
            <w:vAlign w:val="center"/>
          </w:tcPr>
          <w:p>
            <w:pPr>
              <w:spacing w:after="0" w:before="0"/>
            </w:pPr>
            <w:r>
              <w:rPr>
                <w:sz w:val="14"/>
              </w:rPr>
              <w:t>C-CO2</w:t>
            </w:r>
          </w:p>
        </w:tc>
        <w:tc>
          <w:tcPr>
            <w:tcW w:type="dxa" w:w="1263"/>
            <w:vAlign w:val="center"/>
          </w:tcPr>
          <w:p>
            <w:pPr>
              <w:spacing w:after="0" w:before="0"/>
            </w:pPr>
            <w:r>
              <w:rPr>
                <w:sz w:val="14"/>
              </w:rPr>
              <w:t>0.736</w:t>
            </w:r>
          </w:p>
        </w:tc>
        <w:tc>
          <w:tcPr>
            <w:tcW w:type="dxa" w:w="1263"/>
            <w:vAlign w:val="center"/>
          </w:tcPr>
          <w:p>
            <w:pPr>
              <w:spacing w:after="0" w:before="0"/>
            </w:pPr>
            <w:r>
              <w:rPr>
                <w:sz w:val="14"/>
              </w:rPr>
              <w:t>0.734</w:t>
            </w:r>
          </w:p>
        </w:tc>
        <w:tc>
          <w:tcPr>
            <w:tcW w:type="dxa" w:w="1263"/>
            <w:vAlign w:val="center"/>
          </w:tcPr>
          <w:p>
            <w:pPr>
              <w:spacing w:after="0" w:before="0"/>
            </w:pPr>
            <w:r>
              <w:rPr>
                <w:sz w:val="14"/>
              </w:rPr>
              <w:t>0.742</w:t>
            </w:r>
          </w:p>
        </w:tc>
        <w:tc>
          <w:tcPr>
            <w:tcW w:type="dxa" w:w="1263"/>
            <w:vAlign w:val="center"/>
          </w:tcPr>
          <w:p>
            <w:pPr>
              <w:spacing w:after="0" w:before="0"/>
            </w:pPr>
            <w:r>
              <w:rPr>
                <w:sz w:val="14"/>
              </w:rPr>
              <w:t>0.706</w:t>
            </w:r>
          </w:p>
        </w:tc>
        <w:tc>
          <w:tcPr>
            <w:tcW w:type="dxa" w:w="1263"/>
            <w:vAlign w:val="center"/>
          </w:tcPr>
          <w:p>
            <w:pPr>
              <w:spacing w:after="0" w:before="0"/>
            </w:pPr>
            <w:r>
              <w:rPr>
                <w:sz w:val="14"/>
              </w:rPr>
              <w:t>0.751</w:t>
            </w:r>
          </w:p>
        </w:tc>
        <w:tc>
          <w:tcPr>
            <w:tcW w:type="dxa" w:w="1263"/>
            <w:vAlign w:val="center"/>
          </w:tcPr>
          <w:p>
            <w:pPr>
              <w:spacing w:after="0" w:before="0"/>
            </w:pPr>
            <w:r>
              <w:rPr>
                <w:sz w:val="14"/>
              </w:rPr>
              <w:t>0.714</w:t>
            </w:r>
          </w:p>
        </w:tc>
        <w:tc>
          <w:tcPr>
            <w:tcW w:type="dxa" w:w="1263"/>
            <w:vAlign w:val="center"/>
          </w:tcPr>
          <w:p>
            <w:pPr>
              <w:spacing w:after="0" w:before="0"/>
            </w:pPr>
            <w:r>
              <w:rPr>
                <w:sz w:val="14"/>
              </w:rPr>
              <w:t>0.750</w:t>
            </w:r>
          </w:p>
        </w:tc>
      </w:tr>
      <w:tr>
        <w:tc>
          <w:tcPr>
            <w:tcW w:type="dxa" w:w="1263"/>
            <w:vAlign w:val="center"/>
          </w:tcPr>
          <w:p>
            <w:pPr>
              <w:spacing w:after="0" w:before="0"/>
            </w:pPr>
            <w:r>
              <w:rPr>
                <w:sz w:val="14"/>
              </w:rPr>
              <w:t>T-CO1</w:t>
            </w:r>
          </w:p>
        </w:tc>
        <w:tc>
          <w:tcPr>
            <w:tcW w:type="dxa" w:w="1263"/>
            <w:vAlign w:val="center"/>
          </w:tcPr>
          <w:p>
            <w:pPr>
              <w:spacing w:after="0" w:before="0"/>
            </w:pPr>
            <w:r>
              <w:rPr>
                <w:sz w:val="14"/>
              </w:rPr>
              <w:t>0.771</w:t>
            </w:r>
          </w:p>
        </w:tc>
        <w:tc>
          <w:tcPr>
            <w:tcW w:type="dxa" w:w="1263"/>
            <w:vAlign w:val="center"/>
          </w:tcPr>
          <w:p>
            <w:pPr>
              <w:spacing w:after="0" w:before="0"/>
            </w:pPr>
            <w:r>
              <w:rPr>
                <w:sz w:val="14"/>
              </w:rPr>
              <w:t>0.765</w:t>
            </w:r>
          </w:p>
        </w:tc>
        <w:tc>
          <w:tcPr>
            <w:tcW w:type="dxa" w:w="1263"/>
            <w:vAlign w:val="center"/>
          </w:tcPr>
          <w:p>
            <w:pPr>
              <w:spacing w:after="0" w:before="0"/>
            </w:pPr>
            <w:r>
              <w:rPr>
                <w:sz w:val="14"/>
              </w:rPr>
              <w:t>0.763</w:t>
            </w:r>
          </w:p>
        </w:tc>
        <w:tc>
          <w:tcPr>
            <w:tcW w:type="dxa" w:w="1263"/>
            <w:vAlign w:val="center"/>
          </w:tcPr>
          <w:p>
            <w:pPr>
              <w:spacing w:after="0" w:before="0"/>
            </w:pPr>
            <w:r>
              <w:rPr>
                <w:sz w:val="14"/>
              </w:rPr>
              <w:t>0.763</w:t>
            </w:r>
          </w:p>
        </w:tc>
        <w:tc>
          <w:tcPr>
            <w:tcW w:type="dxa" w:w="1263"/>
            <w:vAlign w:val="center"/>
          </w:tcPr>
          <w:p>
            <w:pPr>
              <w:spacing w:after="0" w:before="0"/>
            </w:pPr>
            <w:r>
              <w:rPr>
                <w:sz w:val="14"/>
              </w:rPr>
              <w:t>0.753</w:t>
            </w:r>
          </w:p>
        </w:tc>
        <w:tc>
          <w:tcPr>
            <w:tcW w:type="dxa" w:w="1263"/>
            <w:vAlign w:val="center"/>
          </w:tcPr>
          <w:p>
            <w:pPr>
              <w:spacing w:after="0" w:before="0"/>
            </w:pPr>
            <w:r>
              <w:rPr>
                <w:sz w:val="14"/>
              </w:rPr>
              <w:t>0.744</w:t>
            </w:r>
          </w:p>
        </w:tc>
        <w:tc>
          <w:tcPr>
            <w:tcW w:type="dxa" w:w="1263"/>
            <w:vAlign w:val="center"/>
          </w:tcPr>
          <w:p>
            <w:pPr>
              <w:spacing w:after="0" w:before="0"/>
            </w:pPr>
            <w:r>
              <w:rPr>
                <w:sz w:val="14"/>
              </w:rPr>
              <w:t>0.755</w:t>
            </w:r>
          </w:p>
        </w:tc>
      </w:tr>
      <w:tr>
        <w:tc>
          <w:tcPr>
            <w:tcW w:type="dxa" w:w="1263"/>
            <w:vAlign w:val="center"/>
          </w:tcPr>
          <w:p>
            <w:pPr>
              <w:spacing w:after="0" w:before="0"/>
            </w:pPr>
            <w:r>
              <w:rPr>
                <w:sz w:val="14"/>
              </w:rPr>
              <w:t>C-CO39</w:t>
            </w:r>
          </w:p>
        </w:tc>
        <w:tc>
          <w:tcPr>
            <w:tcW w:type="dxa" w:w="1263"/>
            <w:vAlign w:val="center"/>
          </w:tcPr>
          <w:p>
            <w:pPr>
              <w:spacing w:after="0" w:before="0"/>
            </w:pPr>
            <w:r>
              <w:rPr>
                <w:sz w:val="14"/>
              </w:rPr>
              <w:t>0.715</w:t>
            </w:r>
          </w:p>
        </w:tc>
        <w:tc>
          <w:tcPr>
            <w:tcW w:type="dxa" w:w="1263"/>
            <w:vAlign w:val="center"/>
          </w:tcPr>
          <w:p>
            <w:pPr>
              <w:spacing w:after="0" w:before="0"/>
            </w:pPr>
            <w:r>
              <w:rPr>
                <w:sz w:val="14"/>
              </w:rPr>
              <w:t>0.717</w:t>
            </w:r>
          </w:p>
        </w:tc>
        <w:tc>
          <w:tcPr>
            <w:tcW w:type="dxa" w:w="1263"/>
            <w:vAlign w:val="center"/>
          </w:tcPr>
          <w:p>
            <w:pPr>
              <w:spacing w:after="0" w:before="0"/>
            </w:pPr>
            <w:r>
              <w:rPr>
                <w:sz w:val="14"/>
              </w:rPr>
              <w:t>0.689</w:t>
            </w:r>
          </w:p>
        </w:tc>
        <w:tc>
          <w:tcPr>
            <w:tcW w:type="dxa" w:w="1263"/>
            <w:vAlign w:val="center"/>
          </w:tcPr>
          <w:p>
            <w:pPr>
              <w:spacing w:after="0" w:before="0"/>
            </w:pPr>
            <w:r>
              <w:rPr>
                <w:sz w:val="14"/>
              </w:rPr>
              <w:t>0.699</w:t>
            </w:r>
          </w:p>
        </w:tc>
        <w:tc>
          <w:tcPr>
            <w:tcW w:type="dxa" w:w="1263"/>
            <w:vAlign w:val="center"/>
          </w:tcPr>
          <w:p>
            <w:pPr>
              <w:spacing w:after="0" w:before="0"/>
            </w:pPr>
            <w:r>
              <w:rPr>
                <w:sz w:val="14"/>
              </w:rPr>
              <w:t>0.714</w:t>
            </w:r>
          </w:p>
        </w:tc>
        <w:tc>
          <w:tcPr>
            <w:tcW w:type="dxa" w:w="1263"/>
            <w:vAlign w:val="center"/>
          </w:tcPr>
          <w:p>
            <w:pPr>
              <w:spacing w:after="0" w:before="0"/>
            </w:pPr>
            <w:r>
              <w:rPr>
                <w:sz w:val="14"/>
              </w:rPr>
              <w:t>0.675</w:t>
            </w:r>
          </w:p>
        </w:tc>
        <w:tc>
          <w:tcPr>
            <w:tcW w:type="dxa" w:w="1263"/>
            <w:vAlign w:val="center"/>
          </w:tcPr>
          <w:p>
            <w:pPr>
              <w:spacing w:after="0" w:before="0"/>
            </w:pPr>
            <w:r>
              <w:rPr>
                <w:sz w:val="14"/>
              </w:rPr>
              <w:t>0.682</w:t>
            </w:r>
          </w:p>
        </w:tc>
      </w:tr>
      <w:tr>
        <w:tc>
          <w:tcPr>
            <w:tcW w:type="dxa" w:w="1263"/>
            <w:vAlign w:val="center"/>
          </w:tcPr>
          <w:p>
            <w:pPr>
              <w:spacing w:after="0" w:before="0"/>
            </w:pPr>
            <w:r>
              <w:rPr>
                <w:sz w:val="14"/>
              </w:rPr>
              <w:t>C-CO21</w:t>
            </w:r>
          </w:p>
        </w:tc>
        <w:tc>
          <w:tcPr>
            <w:tcW w:type="dxa" w:w="1263"/>
            <w:vAlign w:val="center"/>
          </w:tcPr>
          <w:p>
            <w:pPr>
              <w:spacing w:after="0" w:before="0"/>
            </w:pPr>
            <w:r>
              <w:rPr>
                <w:sz w:val="14"/>
              </w:rPr>
              <w:t>0.790</w:t>
            </w:r>
          </w:p>
        </w:tc>
        <w:tc>
          <w:tcPr>
            <w:tcW w:type="dxa" w:w="1263"/>
            <w:vAlign w:val="center"/>
          </w:tcPr>
          <w:p>
            <w:pPr>
              <w:spacing w:after="0" w:before="0"/>
            </w:pPr>
            <w:r>
              <w:rPr>
                <w:sz w:val="14"/>
              </w:rPr>
              <w:t>0.783</w:t>
            </w:r>
          </w:p>
        </w:tc>
        <w:tc>
          <w:tcPr>
            <w:tcW w:type="dxa" w:w="1263"/>
            <w:vAlign w:val="center"/>
          </w:tcPr>
          <w:p>
            <w:pPr>
              <w:spacing w:after="0" w:before="0"/>
            </w:pPr>
            <w:r>
              <w:rPr>
                <w:sz w:val="14"/>
              </w:rPr>
              <w:t>0.779</w:t>
            </w:r>
          </w:p>
        </w:tc>
        <w:tc>
          <w:tcPr>
            <w:tcW w:type="dxa" w:w="1263"/>
            <w:vAlign w:val="center"/>
          </w:tcPr>
          <w:p>
            <w:pPr>
              <w:spacing w:after="0" w:before="0"/>
            </w:pPr>
            <w:r>
              <w:rPr>
                <w:sz w:val="14"/>
              </w:rPr>
              <w:t>0.771</w:t>
            </w:r>
          </w:p>
        </w:tc>
        <w:tc>
          <w:tcPr>
            <w:tcW w:type="dxa" w:w="1263"/>
            <w:vAlign w:val="center"/>
          </w:tcPr>
          <w:p>
            <w:pPr>
              <w:spacing w:after="0" w:before="0"/>
            </w:pPr>
            <w:r>
              <w:rPr>
                <w:sz w:val="14"/>
              </w:rPr>
              <w:t>0.780</w:t>
            </w:r>
          </w:p>
        </w:tc>
        <w:tc>
          <w:tcPr>
            <w:tcW w:type="dxa" w:w="1263"/>
            <w:vAlign w:val="center"/>
          </w:tcPr>
          <w:p>
            <w:pPr>
              <w:spacing w:after="0" w:before="0"/>
            </w:pPr>
            <w:r>
              <w:rPr>
                <w:sz w:val="14"/>
              </w:rPr>
              <w:t>0.764</w:t>
            </w:r>
          </w:p>
        </w:tc>
        <w:tc>
          <w:tcPr>
            <w:tcW w:type="dxa" w:w="1263"/>
            <w:vAlign w:val="center"/>
          </w:tcPr>
          <w:p>
            <w:pPr>
              <w:spacing w:after="0" w:before="0"/>
            </w:pPr>
            <w:r>
              <w:rPr>
                <w:sz w:val="14"/>
              </w:rPr>
              <w:t>0.760</w:t>
            </w:r>
          </w:p>
        </w:tc>
      </w:tr>
      <w:tr>
        <w:tc>
          <w:tcPr>
            <w:tcW w:type="dxa" w:w="1263"/>
            <w:vAlign w:val="center"/>
          </w:tcPr>
          <w:p>
            <w:pPr>
              <w:spacing w:after="0" w:before="0"/>
            </w:pPr>
            <w:r>
              <w:rPr>
                <w:sz w:val="14"/>
              </w:rPr>
              <w:t>J-CO1</w:t>
            </w:r>
          </w:p>
        </w:tc>
        <w:tc>
          <w:tcPr>
            <w:tcW w:type="dxa" w:w="1263"/>
            <w:vAlign w:val="center"/>
          </w:tcPr>
          <w:p>
            <w:pPr>
              <w:spacing w:after="0" w:before="0"/>
            </w:pPr>
            <w:r>
              <w:rPr>
                <w:sz w:val="14"/>
              </w:rPr>
              <w:t>0.703</w:t>
            </w:r>
          </w:p>
        </w:tc>
        <w:tc>
          <w:tcPr>
            <w:tcW w:type="dxa" w:w="1263"/>
            <w:vAlign w:val="center"/>
          </w:tcPr>
          <w:p>
            <w:pPr>
              <w:spacing w:after="0" w:before="0"/>
            </w:pPr>
            <w:r>
              <w:rPr>
                <w:sz w:val="14"/>
              </w:rPr>
              <w:t>0.706</w:t>
            </w:r>
          </w:p>
        </w:tc>
        <w:tc>
          <w:tcPr>
            <w:tcW w:type="dxa" w:w="1263"/>
            <w:vAlign w:val="center"/>
          </w:tcPr>
          <w:p>
            <w:pPr>
              <w:spacing w:after="0" w:before="0"/>
            </w:pPr>
            <w:r>
              <w:rPr>
                <w:sz w:val="14"/>
              </w:rPr>
              <w:t>0.686</w:t>
            </w:r>
          </w:p>
        </w:tc>
        <w:tc>
          <w:tcPr>
            <w:tcW w:type="dxa" w:w="1263"/>
            <w:vAlign w:val="center"/>
          </w:tcPr>
          <w:p>
            <w:pPr>
              <w:spacing w:after="0" w:before="0"/>
            </w:pPr>
            <w:r>
              <w:rPr>
                <w:sz w:val="14"/>
              </w:rPr>
              <w:t>0.709</w:t>
            </w:r>
          </w:p>
        </w:tc>
        <w:tc>
          <w:tcPr>
            <w:tcW w:type="dxa" w:w="1263"/>
            <w:vAlign w:val="center"/>
          </w:tcPr>
          <w:p>
            <w:pPr>
              <w:spacing w:after="0" w:before="0"/>
            </w:pPr>
            <w:r>
              <w:rPr>
                <w:sz w:val="14"/>
              </w:rPr>
              <w:t>0.689</w:t>
            </w:r>
          </w:p>
        </w:tc>
        <w:tc>
          <w:tcPr>
            <w:tcW w:type="dxa" w:w="1263"/>
            <w:vAlign w:val="center"/>
          </w:tcPr>
          <w:p>
            <w:pPr>
              <w:spacing w:after="0" w:before="0"/>
            </w:pPr>
            <w:r>
              <w:rPr>
                <w:sz w:val="14"/>
              </w:rPr>
              <w:t>0.691</w:t>
            </w:r>
          </w:p>
        </w:tc>
        <w:tc>
          <w:tcPr>
            <w:tcW w:type="dxa" w:w="1263"/>
            <w:vAlign w:val="center"/>
          </w:tcPr>
          <w:p>
            <w:pPr>
              <w:spacing w:after="0" w:before="0"/>
            </w:pPr>
            <w:r>
              <w:rPr>
                <w:sz w:val="14"/>
              </w:rPr>
              <w:t>0.704</w:t>
            </w:r>
          </w:p>
        </w:tc>
      </w:tr>
      <w:tr>
        <w:tc>
          <w:tcPr>
            <w:tcW w:type="dxa" w:w="1263"/>
            <w:vAlign w:val="center"/>
          </w:tcPr>
          <w:p>
            <w:pPr>
              <w:spacing w:after="0" w:before="0"/>
            </w:pPr>
            <w:r>
              <w:rPr>
                <w:sz w:val="14"/>
              </w:rPr>
              <w:t>M-CO7</w:t>
            </w:r>
          </w:p>
        </w:tc>
        <w:tc>
          <w:tcPr>
            <w:tcW w:type="dxa" w:w="1263"/>
            <w:vAlign w:val="center"/>
          </w:tcPr>
          <w:p>
            <w:pPr>
              <w:spacing w:after="0" w:before="0"/>
            </w:pPr>
            <w:r>
              <w:rPr>
                <w:sz w:val="14"/>
              </w:rPr>
              <w:t>0.742</w:t>
            </w:r>
          </w:p>
        </w:tc>
        <w:tc>
          <w:tcPr>
            <w:tcW w:type="dxa" w:w="1263"/>
            <w:vAlign w:val="center"/>
          </w:tcPr>
          <w:p>
            <w:pPr>
              <w:spacing w:after="0" w:before="0"/>
            </w:pPr>
            <w:r>
              <w:rPr>
                <w:sz w:val="14"/>
              </w:rPr>
              <w:t>0.742</w:t>
            </w:r>
          </w:p>
        </w:tc>
        <w:tc>
          <w:tcPr>
            <w:tcW w:type="dxa" w:w="1263"/>
            <w:vAlign w:val="center"/>
          </w:tcPr>
          <w:p>
            <w:pPr>
              <w:spacing w:after="0" w:before="0"/>
            </w:pPr>
            <w:r>
              <w:rPr>
                <w:sz w:val="14"/>
              </w:rPr>
              <w:t>0.752</w:t>
            </w:r>
          </w:p>
        </w:tc>
        <w:tc>
          <w:tcPr>
            <w:tcW w:type="dxa" w:w="1263"/>
            <w:vAlign w:val="center"/>
          </w:tcPr>
          <w:p>
            <w:pPr>
              <w:spacing w:after="0" w:before="0"/>
            </w:pPr>
            <w:r>
              <w:rPr>
                <w:sz w:val="14"/>
              </w:rPr>
              <w:t>0.740</w:t>
            </w:r>
          </w:p>
        </w:tc>
        <w:tc>
          <w:tcPr>
            <w:tcW w:type="dxa" w:w="1263"/>
            <w:vAlign w:val="center"/>
          </w:tcPr>
          <w:p>
            <w:pPr>
              <w:spacing w:after="0" w:before="0"/>
            </w:pPr>
            <w:r>
              <w:rPr>
                <w:sz w:val="14"/>
              </w:rPr>
              <w:t>0.743</w:t>
            </w:r>
          </w:p>
        </w:tc>
        <w:tc>
          <w:tcPr>
            <w:tcW w:type="dxa" w:w="1263"/>
            <w:vAlign w:val="center"/>
          </w:tcPr>
          <w:p>
            <w:pPr>
              <w:spacing w:after="0" w:before="0"/>
            </w:pPr>
            <w:r>
              <w:rPr>
                <w:sz w:val="14"/>
              </w:rPr>
              <w:t>0.742</w:t>
            </w:r>
          </w:p>
        </w:tc>
        <w:tc>
          <w:tcPr>
            <w:tcW w:type="dxa" w:w="1263"/>
            <w:vAlign w:val="center"/>
          </w:tcPr>
          <w:p>
            <w:pPr>
              <w:spacing w:after="0" w:before="0"/>
            </w:pPr>
            <w:r>
              <w:rPr>
                <w:sz w:val="14"/>
              </w:rPr>
              <w:t>0.731</w:t>
            </w:r>
          </w:p>
        </w:tc>
      </w:tr>
      <w:tr>
        <w:tc>
          <w:tcPr>
            <w:tcW w:type="dxa" w:w="1263"/>
            <w:vAlign w:val="center"/>
          </w:tcPr>
          <w:p>
            <w:pPr>
              <w:spacing w:after="0" w:before="0"/>
            </w:pPr>
            <w:r>
              <w:rPr>
                <w:sz w:val="14"/>
              </w:rPr>
              <w:t>C-RT12</w:t>
            </w:r>
          </w:p>
        </w:tc>
        <w:tc>
          <w:tcPr>
            <w:tcW w:type="dxa" w:w="1263"/>
            <w:vAlign w:val="center"/>
          </w:tcPr>
          <w:p>
            <w:pPr>
              <w:spacing w:after="0" w:before="0"/>
            </w:pPr>
            <w:r>
              <w:rPr>
                <w:sz w:val="14"/>
              </w:rPr>
              <w:t>0.621</w:t>
            </w:r>
          </w:p>
        </w:tc>
        <w:tc>
          <w:tcPr>
            <w:tcW w:type="dxa" w:w="1263"/>
            <w:vAlign w:val="center"/>
          </w:tcPr>
          <w:p>
            <w:pPr>
              <w:spacing w:after="0" w:before="0"/>
            </w:pPr>
            <w:r>
              <w:rPr>
                <w:sz w:val="14"/>
              </w:rPr>
              <w:t>0.639</w:t>
            </w:r>
          </w:p>
        </w:tc>
        <w:tc>
          <w:tcPr>
            <w:tcW w:type="dxa" w:w="1263"/>
            <w:vAlign w:val="center"/>
          </w:tcPr>
          <w:p>
            <w:pPr>
              <w:spacing w:after="0" w:before="0"/>
            </w:pPr>
            <w:r>
              <w:rPr>
                <w:sz w:val="14"/>
              </w:rPr>
              <w:t>0.647</w:t>
            </w:r>
          </w:p>
        </w:tc>
        <w:tc>
          <w:tcPr>
            <w:tcW w:type="dxa" w:w="1263"/>
            <w:vAlign w:val="center"/>
          </w:tcPr>
          <w:p>
            <w:pPr>
              <w:spacing w:after="0" w:before="0"/>
            </w:pPr>
            <w:r>
              <w:rPr>
                <w:sz w:val="14"/>
              </w:rPr>
              <w:t>0.639</w:t>
            </w:r>
          </w:p>
        </w:tc>
        <w:tc>
          <w:tcPr>
            <w:tcW w:type="dxa" w:w="1263"/>
            <w:vAlign w:val="center"/>
          </w:tcPr>
          <w:p>
            <w:pPr>
              <w:spacing w:after="0" w:before="0"/>
            </w:pPr>
            <w:r>
              <w:rPr>
                <w:sz w:val="14"/>
              </w:rPr>
              <w:t>0.639</w:t>
            </w:r>
          </w:p>
        </w:tc>
        <w:tc>
          <w:tcPr>
            <w:tcW w:type="dxa" w:w="1263"/>
            <w:vAlign w:val="center"/>
          </w:tcPr>
          <w:p>
            <w:pPr>
              <w:spacing w:after="0" w:before="0"/>
            </w:pPr>
            <w:r>
              <w:rPr>
                <w:sz w:val="14"/>
              </w:rPr>
              <w:t>0.645</w:t>
            </w:r>
          </w:p>
        </w:tc>
        <w:tc>
          <w:tcPr>
            <w:tcW w:type="dxa" w:w="1263"/>
            <w:vAlign w:val="center"/>
          </w:tcPr>
          <w:p>
            <w:pPr>
              <w:spacing w:after="0" w:before="0"/>
            </w:pPr>
            <w:r>
              <w:rPr>
                <w:sz w:val="14"/>
              </w:rPr>
              <w:t>0.609</w:t>
            </w:r>
          </w:p>
        </w:tc>
      </w:tr>
    </w:tbl>
    <w:p>
      <w:pPr>
        <w:spacing w:after="0"/>
      </w:pPr>
    </w:p>
    <w:p>
      <w:pPr>
        <w:pStyle w:val="Heading2"/>
      </w:pPr>
      <w:r>
        <w:t>Time-only</w:t>
      </w:r>
    </w:p>
    <w:tbl>
      <w:tblPr>
        <w:tblStyle w:val="LightShading-Accent1"/>
        <w:tblW w:type="auto" w:w="0"/>
        <w:jc w:val="center"/>
        <w:tblLayout w:type="autofit"/>
        <w:tblLook w:firstColumn="1" w:firstRow="1" w:lastColumn="0" w:lastRow="0" w:noHBand="0" w:noVBand="1" w:val="04A0"/>
      </w:tblPr>
      <w:tblGrid>
        <w:gridCol w:w="1685"/>
        <w:gridCol w:w="1685"/>
        <w:gridCol w:w="1685"/>
        <w:gridCol w:w="1685"/>
        <w:gridCol w:w="1685"/>
        <w:gridCol w:w="1685"/>
      </w:tblGrid>
      <w:tr>
        <w:tc>
          <w:tcPr>
            <w:tcW w:type="dxa" w:w="1685"/>
            <w:shd w:fill="17334B"/>
            <w:vAlign w:val="center"/>
          </w:tcPr>
          <w:p>
            <w:pPr>
              <w:spacing w:after="0" w:before="0"/>
            </w:pPr>
            <w:r>
              <w:rPr>
                <w:b/>
                <w:color w:val="FFFFFF"/>
                <w:sz w:val="14"/>
              </w:rPr>
              <w:t>Session</w:t>
            </w:r>
          </w:p>
        </w:tc>
        <w:tc>
          <w:tcPr>
            <w:tcW w:type="dxa" w:w="1685"/>
            <w:shd w:fill="17334B"/>
            <w:vAlign w:val="center"/>
          </w:tcPr>
          <w:p>
            <w:pPr>
              <w:spacing w:after="0" w:before="0"/>
            </w:pPr>
            <w:r>
              <w:rPr>
                <w:b/>
                <w:color w:val="FFFFFF"/>
                <w:sz w:val="14"/>
              </w:rPr>
              <w:t>PGD6</w:t>
            </w:r>
          </w:p>
        </w:tc>
        <w:tc>
          <w:tcPr>
            <w:tcW w:type="dxa" w:w="1685"/>
            <w:shd w:fill="17334B"/>
            <w:vAlign w:val="center"/>
          </w:tcPr>
          <w:p>
            <w:pPr>
              <w:spacing w:after="0" w:before="0"/>
            </w:pPr>
            <w:r>
              <w:rPr>
                <w:b/>
                <w:color w:val="FFFFFF"/>
                <w:sz w:val="14"/>
              </w:rPr>
              <w:t>DIFF8</w:t>
            </w:r>
          </w:p>
        </w:tc>
        <w:tc>
          <w:tcPr>
            <w:tcW w:type="dxa" w:w="1685"/>
            <w:shd w:fill="17334B"/>
            <w:vAlign w:val="center"/>
          </w:tcPr>
          <w:p>
            <w:pPr>
              <w:spacing w:after="0" w:before="0"/>
            </w:pPr>
            <w:r>
              <w:rPr>
                <w:b/>
                <w:color w:val="FFFFFF"/>
                <w:sz w:val="14"/>
              </w:rPr>
              <w:t>DIFF/SIG</w:t>
            </w:r>
          </w:p>
        </w:tc>
        <w:tc>
          <w:tcPr>
            <w:tcW w:type="dxa" w:w="1685"/>
            <w:shd w:fill="17334B"/>
            <w:vAlign w:val="center"/>
          </w:tcPr>
          <w:p>
            <w:pPr>
              <w:spacing w:after="0" w:before="0"/>
            </w:pPr>
            <w:r>
              <w:rPr>
                <w:b/>
                <w:color w:val="FFFFFF"/>
                <w:sz w:val="14"/>
              </w:rPr>
              <w:t>POOL/SIG</w:t>
            </w:r>
          </w:p>
        </w:tc>
        <w:tc>
          <w:tcPr>
            <w:tcW w:type="dxa" w:w="1685"/>
            <w:shd w:fill="17334B"/>
            <w:vAlign w:val="center"/>
          </w:tcPr>
          <w:p>
            <w:pPr>
              <w:spacing w:after="0" w:before="0"/>
            </w:pPr>
            <w:r>
              <w:rPr>
                <w:b/>
                <w:color w:val="FFFFFF"/>
                <w:sz w:val="14"/>
              </w:rPr>
              <w:t>SP/SIG</w:t>
            </w:r>
          </w:p>
        </w:tc>
      </w:tr>
      <w:tr>
        <w:tc>
          <w:tcPr>
            <w:tcW w:type="dxa" w:w="1685"/>
            <w:vAlign w:val="center"/>
          </w:tcPr>
          <w:p>
            <w:pPr>
              <w:spacing w:after="0" w:before="0"/>
            </w:pPr>
            <w:r>
              <w:rPr>
                <w:sz w:val="14"/>
              </w:rPr>
              <w:t>C-CO25</w:t>
            </w:r>
          </w:p>
        </w:tc>
        <w:tc>
          <w:tcPr>
            <w:tcW w:type="dxa" w:w="1685"/>
            <w:vAlign w:val="center"/>
          </w:tcPr>
          <w:p>
            <w:pPr>
              <w:spacing w:after="0" w:before="0"/>
            </w:pPr>
            <w:r>
              <w:rPr>
                <w:sz w:val="14"/>
              </w:rPr>
              <w:t>0.695</w:t>
            </w:r>
          </w:p>
        </w:tc>
        <w:tc>
          <w:tcPr>
            <w:tcW w:type="dxa" w:w="1685"/>
            <w:vAlign w:val="center"/>
          </w:tcPr>
          <w:p>
            <w:pPr>
              <w:spacing w:after="0" w:before="0"/>
            </w:pPr>
            <w:r>
              <w:rPr>
                <w:sz w:val="14"/>
              </w:rPr>
              <w:t>0.687</w:t>
            </w:r>
          </w:p>
        </w:tc>
        <w:tc>
          <w:tcPr>
            <w:tcW w:type="dxa" w:w="1685"/>
            <w:vAlign w:val="center"/>
          </w:tcPr>
          <w:p>
            <w:pPr>
              <w:spacing w:after="0" w:before="0"/>
            </w:pPr>
            <w:r>
              <w:rPr>
                <w:sz w:val="14"/>
              </w:rPr>
              <w:t>0.685</w:t>
            </w:r>
          </w:p>
        </w:tc>
        <w:tc>
          <w:tcPr>
            <w:tcW w:type="dxa" w:w="1685"/>
            <w:vAlign w:val="center"/>
          </w:tcPr>
          <w:p>
            <w:pPr>
              <w:spacing w:after="0" w:before="0"/>
            </w:pPr>
            <w:r>
              <w:rPr>
                <w:sz w:val="14"/>
              </w:rPr>
              <w:t>0.686</w:t>
            </w:r>
          </w:p>
        </w:tc>
        <w:tc>
          <w:tcPr>
            <w:tcW w:type="dxa" w:w="1685"/>
            <w:vAlign w:val="center"/>
          </w:tcPr>
          <w:p>
            <w:pPr>
              <w:spacing w:after="0" w:before="0"/>
            </w:pPr>
            <w:r>
              <w:rPr>
                <w:sz w:val="14"/>
              </w:rPr>
              <w:t>0.652</w:t>
            </w:r>
          </w:p>
        </w:tc>
      </w:tr>
      <w:tr>
        <w:tc>
          <w:tcPr>
            <w:tcW w:type="dxa" w:w="1685"/>
            <w:vAlign w:val="center"/>
          </w:tcPr>
          <w:p>
            <w:pPr>
              <w:spacing w:after="0" w:before="0"/>
            </w:pPr>
            <w:r>
              <w:rPr>
                <w:sz w:val="14"/>
              </w:rPr>
              <w:t>C-CO26</w:t>
            </w:r>
          </w:p>
        </w:tc>
        <w:tc>
          <w:tcPr>
            <w:tcW w:type="dxa" w:w="1685"/>
            <w:vAlign w:val="center"/>
          </w:tcPr>
          <w:p>
            <w:pPr>
              <w:spacing w:after="0" w:before="0"/>
            </w:pPr>
            <w:r>
              <w:rPr>
                <w:sz w:val="14"/>
              </w:rPr>
              <w:t>0.683</w:t>
            </w:r>
          </w:p>
        </w:tc>
        <w:tc>
          <w:tcPr>
            <w:tcW w:type="dxa" w:w="1685"/>
            <w:vAlign w:val="center"/>
          </w:tcPr>
          <w:p>
            <w:pPr>
              <w:spacing w:after="0" w:before="0"/>
            </w:pPr>
            <w:r>
              <w:rPr>
                <w:sz w:val="14"/>
              </w:rPr>
              <w:t>0.673</w:t>
            </w:r>
          </w:p>
        </w:tc>
        <w:tc>
          <w:tcPr>
            <w:tcW w:type="dxa" w:w="1685"/>
            <w:vAlign w:val="center"/>
          </w:tcPr>
          <w:p>
            <w:pPr>
              <w:spacing w:after="0" w:before="0"/>
            </w:pPr>
            <w:r>
              <w:rPr>
                <w:sz w:val="14"/>
              </w:rPr>
              <w:t>0.665</w:t>
            </w:r>
          </w:p>
        </w:tc>
        <w:tc>
          <w:tcPr>
            <w:tcW w:type="dxa" w:w="1685"/>
            <w:vAlign w:val="center"/>
          </w:tcPr>
          <w:p>
            <w:pPr>
              <w:spacing w:after="0" w:before="0"/>
            </w:pPr>
            <w:r>
              <w:rPr>
                <w:sz w:val="14"/>
              </w:rPr>
              <w:t>0.679</w:t>
            </w:r>
          </w:p>
        </w:tc>
        <w:tc>
          <w:tcPr>
            <w:tcW w:type="dxa" w:w="1685"/>
            <w:vAlign w:val="center"/>
          </w:tcPr>
          <w:p>
            <w:pPr>
              <w:spacing w:after="0" w:before="0"/>
            </w:pPr>
            <w:r>
              <w:rPr>
                <w:sz w:val="14"/>
              </w:rPr>
              <w:t>0.642</w:t>
            </w:r>
          </w:p>
        </w:tc>
      </w:tr>
      <w:tr>
        <w:tc>
          <w:tcPr>
            <w:tcW w:type="dxa" w:w="1685"/>
            <w:vAlign w:val="center"/>
          </w:tcPr>
          <w:p>
            <w:pPr>
              <w:spacing w:after="0" w:before="0"/>
            </w:pPr>
            <w:r>
              <w:rPr>
                <w:sz w:val="14"/>
              </w:rPr>
              <w:t>T-RT2</w:t>
            </w:r>
          </w:p>
        </w:tc>
        <w:tc>
          <w:tcPr>
            <w:tcW w:type="dxa" w:w="1685"/>
            <w:vAlign w:val="center"/>
          </w:tcPr>
          <w:p>
            <w:pPr>
              <w:spacing w:after="0" w:before="0"/>
            </w:pPr>
            <w:r>
              <w:rPr>
                <w:sz w:val="14"/>
              </w:rPr>
              <w:t>0.344</w:t>
            </w:r>
          </w:p>
        </w:tc>
        <w:tc>
          <w:tcPr>
            <w:tcW w:type="dxa" w:w="1685"/>
            <w:vAlign w:val="center"/>
          </w:tcPr>
          <w:p>
            <w:pPr>
              <w:spacing w:after="0" w:before="0"/>
            </w:pPr>
            <w:r>
              <w:rPr>
                <w:sz w:val="14"/>
              </w:rPr>
              <w:t>0.363</w:t>
            </w:r>
          </w:p>
        </w:tc>
        <w:tc>
          <w:tcPr>
            <w:tcW w:type="dxa" w:w="1685"/>
            <w:vAlign w:val="center"/>
          </w:tcPr>
          <w:p>
            <w:pPr>
              <w:spacing w:after="0" w:before="0"/>
            </w:pPr>
            <w:r>
              <w:rPr>
                <w:sz w:val="14"/>
              </w:rPr>
              <w:t>0.359</w:t>
            </w:r>
          </w:p>
        </w:tc>
        <w:tc>
          <w:tcPr>
            <w:tcW w:type="dxa" w:w="1685"/>
            <w:vAlign w:val="center"/>
          </w:tcPr>
          <w:p>
            <w:pPr>
              <w:spacing w:after="0" w:before="0"/>
            </w:pPr>
            <w:r>
              <w:rPr>
                <w:sz w:val="14"/>
              </w:rPr>
              <w:t>0.352</w:t>
            </w:r>
          </w:p>
        </w:tc>
        <w:tc>
          <w:tcPr>
            <w:tcW w:type="dxa" w:w="1685"/>
            <w:vAlign w:val="center"/>
          </w:tcPr>
          <w:p>
            <w:pPr>
              <w:spacing w:after="0" w:before="0"/>
            </w:pPr>
            <w:r>
              <w:rPr>
                <w:sz w:val="14"/>
              </w:rPr>
              <w:t>0.356</w:t>
            </w:r>
          </w:p>
        </w:tc>
      </w:tr>
      <w:tr>
        <w:tc>
          <w:tcPr>
            <w:tcW w:type="dxa" w:w="1685"/>
            <w:vAlign w:val="center"/>
          </w:tcPr>
          <w:p>
            <w:pPr>
              <w:spacing w:after="0" w:before="0"/>
            </w:pPr>
            <w:r>
              <w:rPr>
                <w:sz w:val="14"/>
              </w:rPr>
              <w:t>C-CO2</w:t>
            </w:r>
          </w:p>
        </w:tc>
        <w:tc>
          <w:tcPr>
            <w:tcW w:type="dxa" w:w="1685"/>
            <w:vAlign w:val="center"/>
          </w:tcPr>
          <w:p>
            <w:pPr>
              <w:spacing w:after="0" w:before="0"/>
            </w:pPr>
            <w:r>
              <w:rPr>
                <w:sz w:val="14"/>
              </w:rPr>
              <w:t>0.591</w:t>
            </w:r>
          </w:p>
        </w:tc>
        <w:tc>
          <w:tcPr>
            <w:tcW w:type="dxa" w:w="1685"/>
            <w:vAlign w:val="center"/>
          </w:tcPr>
          <w:p>
            <w:pPr>
              <w:spacing w:after="0" w:before="0"/>
            </w:pPr>
            <w:r>
              <w:rPr>
                <w:sz w:val="14"/>
              </w:rPr>
              <w:t>0.596</w:t>
            </w:r>
          </w:p>
        </w:tc>
        <w:tc>
          <w:tcPr>
            <w:tcW w:type="dxa" w:w="1685"/>
            <w:vAlign w:val="center"/>
          </w:tcPr>
          <w:p>
            <w:pPr>
              <w:spacing w:after="0" w:before="0"/>
            </w:pPr>
            <w:r>
              <w:rPr>
                <w:sz w:val="14"/>
              </w:rPr>
              <w:t>0.604</w:t>
            </w:r>
          </w:p>
        </w:tc>
        <w:tc>
          <w:tcPr>
            <w:tcW w:type="dxa" w:w="1685"/>
            <w:vAlign w:val="center"/>
          </w:tcPr>
          <w:p>
            <w:pPr>
              <w:spacing w:after="0" w:before="0"/>
            </w:pPr>
            <w:r>
              <w:rPr>
                <w:sz w:val="14"/>
              </w:rPr>
              <w:t>0.600</w:t>
            </w:r>
          </w:p>
        </w:tc>
        <w:tc>
          <w:tcPr>
            <w:tcW w:type="dxa" w:w="1685"/>
            <w:vAlign w:val="center"/>
          </w:tcPr>
          <w:p>
            <w:pPr>
              <w:spacing w:after="0" w:before="0"/>
            </w:pPr>
            <w:r>
              <w:rPr>
                <w:sz w:val="14"/>
              </w:rPr>
              <w:t>0.588</w:t>
            </w:r>
          </w:p>
        </w:tc>
      </w:tr>
      <w:tr>
        <w:tc>
          <w:tcPr>
            <w:tcW w:type="dxa" w:w="1685"/>
            <w:vAlign w:val="center"/>
          </w:tcPr>
          <w:p>
            <w:pPr>
              <w:spacing w:after="0" w:before="0"/>
            </w:pPr>
            <w:r>
              <w:rPr>
                <w:sz w:val="14"/>
              </w:rPr>
              <w:t>T-CO1</w:t>
            </w:r>
          </w:p>
        </w:tc>
        <w:tc>
          <w:tcPr>
            <w:tcW w:type="dxa" w:w="1685"/>
            <w:vAlign w:val="center"/>
          </w:tcPr>
          <w:p>
            <w:pPr>
              <w:spacing w:after="0" w:before="0"/>
            </w:pPr>
            <w:r>
              <w:rPr>
                <w:sz w:val="14"/>
              </w:rPr>
              <w:t>0.668</w:t>
            </w:r>
          </w:p>
        </w:tc>
        <w:tc>
          <w:tcPr>
            <w:tcW w:type="dxa" w:w="1685"/>
            <w:vAlign w:val="center"/>
          </w:tcPr>
          <w:p>
            <w:pPr>
              <w:spacing w:after="0" w:before="0"/>
            </w:pPr>
            <w:r>
              <w:rPr>
                <w:sz w:val="14"/>
              </w:rPr>
              <w:t>0.687</w:t>
            </w:r>
          </w:p>
        </w:tc>
        <w:tc>
          <w:tcPr>
            <w:tcW w:type="dxa" w:w="1685"/>
            <w:vAlign w:val="center"/>
          </w:tcPr>
          <w:p>
            <w:pPr>
              <w:spacing w:after="0" w:before="0"/>
            </w:pPr>
            <w:r>
              <w:rPr>
                <w:sz w:val="14"/>
              </w:rPr>
              <w:t>0.687</w:t>
            </w:r>
          </w:p>
        </w:tc>
        <w:tc>
          <w:tcPr>
            <w:tcW w:type="dxa" w:w="1685"/>
            <w:vAlign w:val="center"/>
          </w:tcPr>
          <w:p>
            <w:pPr>
              <w:spacing w:after="0" w:before="0"/>
            </w:pPr>
            <w:r>
              <w:rPr>
                <w:sz w:val="14"/>
              </w:rPr>
              <w:t>0.695</w:t>
            </w:r>
          </w:p>
        </w:tc>
        <w:tc>
          <w:tcPr>
            <w:tcW w:type="dxa" w:w="1685"/>
            <w:vAlign w:val="center"/>
          </w:tcPr>
          <w:p>
            <w:pPr>
              <w:spacing w:after="0" w:before="0"/>
            </w:pPr>
            <w:r>
              <w:rPr>
                <w:sz w:val="14"/>
              </w:rPr>
              <w:t>0.677</w:t>
            </w:r>
          </w:p>
        </w:tc>
      </w:tr>
      <w:tr>
        <w:tc>
          <w:tcPr>
            <w:tcW w:type="dxa" w:w="1685"/>
            <w:vAlign w:val="center"/>
          </w:tcPr>
          <w:p>
            <w:pPr>
              <w:spacing w:after="0" w:before="0"/>
            </w:pPr>
            <w:r>
              <w:rPr>
                <w:sz w:val="14"/>
              </w:rPr>
              <w:t>C-CO39</w:t>
            </w:r>
          </w:p>
        </w:tc>
        <w:tc>
          <w:tcPr>
            <w:tcW w:type="dxa" w:w="1685"/>
            <w:vAlign w:val="center"/>
          </w:tcPr>
          <w:p>
            <w:pPr>
              <w:spacing w:after="0" w:before="0"/>
            </w:pPr>
            <w:r>
              <w:rPr>
                <w:sz w:val="14"/>
              </w:rPr>
              <w:t>0.602</w:t>
            </w:r>
          </w:p>
        </w:tc>
        <w:tc>
          <w:tcPr>
            <w:tcW w:type="dxa" w:w="1685"/>
            <w:vAlign w:val="center"/>
          </w:tcPr>
          <w:p>
            <w:pPr>
              <w:spacing w:after="0" w:before="0"/>
            </w:pPr>
            <w:r>
              <w:rPr>
                <w:sz w:val="14"/>
              </w:rPr>
              <w:t>0.596</w:t>
            </w:r>
          </w:p>
        </w:tc>
        <w:tc>
          <w:tcPr>
            <w:tcW w:type="dxa" w:w="1685"/>
            <w:vAlign w:val="center"/>
          </w:tcPr>
          <w:p>
            <w:pPr>
              <w:spacing w:after="0" w:before="0"/>
            </w:pPr>
            <w:r>
              <w:rPr>
                <w:sz w:val="14"/>
              </w:rPr>
              <w:t>0.605</w:t>
            </w:r>
          </w:p>
        </w:tc>
        <w:tc>
          <w:tcPr>
            <w:tcW w:type="dxa" w:w="1685"/>
            <w:vAlign w:val="center"/>
          </w:tcPr>
          <w:p>
            <w:pPr>
              <w:spacing w:after="0" w:before="0"/>
            </w:pPr>
            <w:r>
              <w:rPr>
                <w:sz w:val="14"/>
              </w:rPr>
              <w:t>0.590</w:t>
            </w:r>
          </w:p>
        </w:tc>
        <w:tc>
          <w:tcPr>
            <w:tcW w:type="dxa" w:w="1685"/>
            <w:vAlign w:val="center"/>
          </w:tcPr>
          <w:p>
            <w:pPr>
              <w:spacing w:after="0" w:before="0"/>
            </w:pPr>
            <w:r>
              <w:rPr>
                <w:sz w:val="14"/>
              </w:rPr>
              <w:t>0.552</w:t>
            </w:r>
          </w:p>
        </w:tc>
      </w:tr>
      <w:tr>
        <w:tc>
          <w:tcPr>
            <w:tcW w:type="dxa" w:w="1685"/>
            <w:vAlign w:val="center"/>
          </w:tcPr>
          <w:p>
            <w:pPr>
              <w:spacing w:after="0" w:before="0"/>
            </w:pPr>
            <w:r>
              <w:rPr>
                <w:sz w:val="14"/>
              </w:rPr>
              <w:t>C-CO21</w:t>
            </w:r>
          </w:p>
        </w:tc>
        <w:tc>
          <w:tcPr>
            <w:tcW w:type="dxa" w:w="1685"/>
            <w:vAlign w:val="center"/>
          </w:tcPr>
          <w:p>
            <w:pPr>
              <w:spacing w:after="0" w:before="0"/>
            </w:pPr>
            <w:r>
              <w:rPr>
                <w:sz w:val="14"/>
              </w:rPr>
              <w:t>0.722</w:t>
            </w:r>
          </w:p>
        </w:tc>
        <w:tc>
          <w:tcPr>
            <w:tcW w:type="dxa" w:w="1685"/>
            <w:vAlign w:val="center"/>
          </w:tcPr>
          <w:p>
            <w:pPr>
              <w:spacing w:after="0" w:before="0"/>
            </w:pPr>
            <w:r>
              <w:rPr>
                <w:sz w:val="14"/>
              </w:rPr>
              <w:t>0.709</w:t>
            </w:r>
          </w:p>
        </w:tc>
        <w:tc>
          <w:tcPr>
            <w:tcW w:type="dxa" w:w="1685"/>
            <w:vAlign w:val="center"/>
          </w:tcPr>
          <w:p>
            <w:pPr>
              <w:spacing w:after="0" w:before="0"/>
            </w:pPr>
            <w:r>
              <w:rPr>
                <w:sz w:val="14"/>
              </w:rPr>
              <w:t>0.695</w:t>
            </w:r>
          </w:p>
        </w:tc>
        <w:tc>
          <w:tcPr>
            <w:tcW w:type="dxa" w:w="1685"/>
            <w:vAlign w:val="center"/>
          </w:tcPr>
          <w:p>
            <w:pPr>
              <w:spacing w:after="0" w:before="0"/>
            </w:pPr>
            <w:r>
              <w:rPr>
                <w:sz w:val="14"/>
              </w:rPr>
              <w:t>0.707</w:t>
            </w:r>
          </w:p>
        </w:tc>
        <w:tc>
          <w:tcPr>
            <w:tcW w:type="dxa" w:w="1685"/>
            <w:vAlign w:val="center"/>
          </w:tcPr>
          <w:p>
            <w:pPr>
              <w:spacing w:after="0" w:before="0"/>
            </w:pPr>
            <w:r>
              <w:rPr>
                <w:sz w:val="14"/>
              </w:rPr>
              <w:t>0.686</w:t>
            </w:r>
          </w:p>
        </w:tc>
      </w:tr>
      <w:tr>
        <w:tc>
          <w:tcPr>
            <w:tcW w:type="dxa" w:w="1685"/>
            <w:vAlign w:val="center"/>
          </w:tcPr>
          <w:p>
            <w:pPr>
              <w:spacing w:after="0" w:before="0"/>
            </w:pPr>
            <w:r>
              <w:rPr>
                <w:sz w:val="14"/>
              </w:rPr>
              <w:t>J-CO1</w:t>
            </w:r>
          </w:p>
        </w:tc>
        <w:tc>
          <w:tcPr>
            <w:tcW w:type="dxa" w:w="1685"/>
            <w:vAlign w:val="center"/>
          </w:tcPr>
          <w:p>
            <w:pPr>
              <w:spacing w:after="0" w:before="0"/>
            </w:pPr>
            <w:r>
              <w:rPr>
                <w:sz w:val="14"/>
              </w:rPr>
              <w:t>0.592</w:t>
            </w:r>
          </w:p>
        </w:tc>
        <w:tc>
          <w:tcPr>
            <w:tcW w:type="dxa" w:w="1685"/>
            <w:vAlign w:val="center"/>
          </w:tcPr>
          <w:p>
            <w:pPr>
              <w:spacing w:after="0" w:before="0"/>
            </w:pPr>
            <w:r>
              <w:rPr>
                <w:sz w:val="14"/>
              </w:rPr>
              <w:t>0.574</w:t>
            </w:r>
          </w:p>
        </w:tc>
        <w:tc>
          <w:tcPr>
            <w:tcW w:type="dxa" w:w="1685"/>
            <w:vAlign w:val="center"/>
          </w:tcPr>
          <w:p>
            <w:pPr>
              <w:spacing w:after="0" w:before="0"/>
            </w:pPr>
            <w:r>
              <w:rPr>
                <w:sz w:val="14"/>
              </w:rPr>
              <w:t>0.576</w:t>
            </w:r>
          </w:p>
        </w:tc>
        <w:tc>
          <w:tcPr>
            <w:tcW w:type="dxa" w:w="1685"/>
            <w:vAlign w:val="center"/>
          </w:tcPr>
          <w:p>
            <w:pPr>
              <w:spacing w:after="0" w:before="0"/>
            </w:pPr>
            <w:r>
              <w:rPr>
                <w:sz w:val="14"/>
              </w:rPr>
              <w:t>0.607</w:t>
            </w:r>
          </w:p>
        </w:tc>
        <w:tc>
          <w:tcPr>
            <w:tcW w:type="dxa" w:w="1685"/>
            <w:vAlign w:val="center"/>
          </w:tcPr>
          <w:p>
            <w:pPr>
              <w:spacing w:after="0" w:before="0"/>
            </w:pPr>
            <w:r>
              <w:rPr>
                <w:sz w:val="14"/>
              </w:rPr>
              <w:t>0.546</w:t>
            </w:r>
          </w:p>
        </w:tc>
      </w:tr>
      <w:tr>
        <w:tc>
          <w:tcPr>
            <w:tcW w:type="dxa" w:w="1685"/>
            <w:vAlign w:val="center"/>
          </w:tcPr>
          <w:p>
            <w:pPr>
              <w:spacing w:after="0" w:before="0"/>
            </w:pPr>
            <w:r>
              <w:rPr>
                <w:sz w:val="14"/>
              </w:rPr>
              <w:t>M-CO7</w:t>
            </w:r>
          </w:p>
        </w:tc>
        <w:tc>
          <w:tcPr>
            <w:tcW w:type="dxa" w:w="1685"/>
            <w:vAlign w:val="center"/>
          </w:tcPr>
          <w:p>
            <w:pPr>
              <w:spacing w:after="0" w:before="0"/>
            </w:pPr>
            <w:r>
              <w:rPr>
                <w:sz w:val="14"/>
              </w:rPr>
              <w:t>0.653</w:t>
            </w:r>
          </w:p>
        </w:tc>
        <w:tc>
          <w:tcPr>
            <w:tcW w:type="dxa" w:w="1685"/>
            <w:vAlign w:val="center"/>
          </w:tcPr>
          <w:p>
            <w:pPr>
              <w:spacing w:after="0" w:before="0"/>
            </w:pPr>
            <w:r>
              <w:rPr>
                <w:sz w:val="14"/>
              </w:rPr>
              <w:t>0.681</w:t>
            </w:r>
          </w:p>
        </w:tc>
        <w:tc>
          <w:tcPr>
            <w:tcW w:type="dxa" w:w="1685"/>
            <w:vAlign w:val="center"/>
          </w:tcPr>
          <w:p>
            <w:pPr>
              <w:spacing w:after="0" w:before="0"/>
            </w:pPr>
            <w:r>
              <w:rPr>
                <w:sz w:val="14"/>
              </w:rPr>
              <w:t>0.670</w:t>
            </w:r>
          </w:p>
        </w:tc>
        <w:tc>
          <w:tcPr>
            <w:tcW w:type="dxa" w:w="1685"/>
            <w:vAlign w:val="center"/>
          </w:tcPr>
          <w:p>
            <w:pPr>
              <w:spacing w:after="0" w:before="0"/>
            </w:pPr>
            <w:r>
              <w:rPr>
                <w:sz w:val="14"/>
              </w:rPr>
              <w:t>0.660</w:t>
            </w:r>
          </w:p>
        </w:tc>
        <w:tc>
          <w:tcPr>
            <w:tcW w:type="dxa" w:w="1685"/>
            <w:vAlign w:val="center"/>
          </w:tcPr>
          <w:p>
            <w:pPr>
              <w:spacing w:after="0" w:before="0"/>
            </w:pPr>
            <w:r>
              <w:rPr>
                <w:sz w:val="14"/>
              </w:rPr>
              <w:t>0.676</w:t>
            </w:r>
          </w:p>
        </w:tc>
      </w:tr>
      <w:tr>
        <w:tc>
          <w:tcPr>
            <w:tcW w:type="dxa" w:w="1685"/>
            <w:vAlign w:val="center"/>
          </w:tcPr>
          <w:p>
            <w:pPr>
              <w:spacing w:after="0" w:before="0"/>
            </w:pPr>
            <w:r>
              <w:rPr>
                <w:sz w:val="14"/>
              </w:rPr>
              <w:t>C-RT12</w:t>
            </w:r>
          </w:p>
        </w:tc>
        <w:tc>
          <w:tcPr>
            <w:tcW w:type="dxa" w:w="1685"/>
            <w:vAlign w:val="center"/>
          </w:tcPr>
          <w:p>
            <w:pPr>
              <w:spacing w:after="0" w:before="0"/>
            </w:pPr>
            <w:r>
              <w:rPr>
                <w:sz w:val="14"/>
              </w:rPr>
              <w:t>0.478</w:t>
            </w:r>
          </w:p>
        </w:tc>
        <w:tc>
          <w:tcPr>
            <w:tcW w:type="dxa" w:w="1685"/>
            <w:vAlign w:val="center"/>
          </w:tcPr>
          <w:p>
            <w:pPr>
              <w:spacing w:after="0" w:before="0"/>
            </w:pPr>
            <w:r>
              <w:rPr>
                <w:sz w:val="14"/>
              </w:rPr>
              <w:t>0.474</w:t>
            </w:r>
          </w:p>
        </w:tc>
        <w:tc>
          <w:tcPr>
            <w:tcW w:type="dxa" w:w="1685"/>
            <w:vAlign w:val="center"/>
          </w:tcPr>
          <w:p>
            <w:pPr>
              <w:spacing w:after="0" w:before="0"/>
            </w:pPr>
            <w:r>
              <w:rPr>
                <w:sz w:val="14"/>
              </w:rPr>
              <w:t>0.461</w:t>
            </w:r>
          </w:p>
        </w:tc>
        <w:tc>
          <w:tcPr>
            <w:tcW w:type="dxa" w:w="1685"/>
            <w:vAlign w:val="center"/>
          </w:tcPr>
          <w:p>
            <w:pPr>
              <w:spacing w:after="0" w:before="0"/>
            </w:pPr>
            <w:r>
              <w:rPr>
                <w:sz w:val="14"/>
              </w:rPr>
              <w:t>0.481</w:t>
            </w:r>
          </w:p>
        </w:tc>
        <w:tc>
          <w:tcPr>
            <w:tcW w:type="dxa" w:w="1685"/>
            <w:vAlign w:val="center"/>
          </w:tcPr>
          <w:p>
            <w:pPr>
              <w:spacing w:after="0" w:before="0"/>
            </w:pPr>
            <w:r>
              <w:rPr>
                <w:sz w:val="14"/>
              </w:rPr>
              <w:t>0.476</w:t>
            </w:r>
          </w:p>
        </w:tc>
      </w:tr>
    </w:tbl>
    <w:p>
      <w:pPr>
        <w:spacing w:after="0"/>
      </w:pPr>
    </w:p>
    <w:p>
      <w:pPr>
        <w:pStyle w:val="Heading1"/>
      </w:pPr>
      <w:r>
        <w:t>Appendix B. Reproducibility and audit trail</w:t>
      </w:r>
    </w:p>
    <w:p>
      <w:r>
        <w:t>Output locations: DPRIME_EXP11_NEWSESS_SUPERVISED/ and DPRIME_EXP11_NEWSESS_TIMEONLY/; the frozen predictions are in each PREDICTIONS.csv; all 360 records are in the two summary.csv files; each run preserves a model pair, run_config.json, evaluation_config_v1.json and white-box robustness JSON. The present report is derived from a read-only full-results console extraction, supported by the completion log and source-file fingerprints.</w:t>
      </w:r>
    </w:p>
    <w:p>
      <w:r>
        <w:t>Integrity checks: supervised 210 expected / 210 observed / 210 unique successful; time-only 150 / 150 / 150. Fifty supervised and time-only prediction entries belong to the first ten sessions; the original files additionally contain frozen entries for the remaining ten unused candidates. There were no missing prediction joins, no missing robustness JSON, no missing model checkpoint pairs and no right-censored thresholds above the largest attack budget.</w:t>
      </w:r>
    </w:p>
    <w:p>
      <w:r>
        <w:t>Inference: Within each mode, paired ratios are computed for the same session and random seed. Geometric means and 10,000-resample percentile bootstrap intervals are computed on log ratios, resampling the ten sessions (not individual seed runs). The figures and tables use the printed run summary rather than regenerating evaluation attacks, so all numbers refer to the frozen Exp11 outputs.</w:t>
      </w:r>
    </w:p>
    <w:p>
      <w:pPr>
        <w:pStyle w:val="SmallNote"/>
      </w:pPr>
      <w:r>
        <w:t>Source note: Exact numerical values trace to the supplied Exp11 full-extraction log (Pasted text (7), 24 Oct 2026). Prior work is summarized only as historical context from the October 2026 “Measuring epsilon in the brain’s own units” progress report. Conclusions in this report explicitly distinguish a previously tuned strong fixed setting from an unmeasured new-session oracle.</w:t>
      </w:r>
    </w:p>
    <w:sectPr w:rsidR="00FC693F" w:rsidRPr="0006063C" w:rsidSect="00034616">
      <w:headerReference w:type="default" r:id="rId9"/>
      <w:footerReference w:type="default" r:id="rId10"/>
      <w:pgSz w:w="12240" w:h="15840"/>
      <w:pgMar w:top="1109" w:right="1066" w:bottom="1008" w:left="106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EPFL  |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7284"/>
        <w:sz w:val="15"/>
      </w:rPr>
      <w:t>ACORN / CEBRA   |   Exp11 prospective validation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83949"/>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7334B"/>
      <w:sz w:val="30"/>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Aptos Display" w:hAnsi="Aptos Display"/>
      <w:b/>
      <w:bCs/>
      <w:color w:val="17334B"/>
      <w:sz w:val="22"/>
      <w:szCs w:val="26"/>
    </w:rPr>
  </w:style>
  <w:style w:type="paragraph" w:styleId="Heading3">
    <w:name w:val="heading 3"/>
    <w:basedOn w:val="Normal"/>
    <w:next w:val="Normal"/>
    <w:link w:val="Heading3Char"/>
    <w:uiPriority w:val="9"/>
    <w:unhideWhenUsed/>
    <w:qFormat/>
    <w:rsid w:val="00FC693F"/>
    <w:pPr>
      <w:keepNext/>
      <w:keepLines/>
      <w:spacing w:before="80" w:after="100"/>
      <w:outlineLvl w:val="2"/>
    </w:pPr>
    <w:rPr>
      <w:rFonts w:asciiTheme="majorHAnsi" w:eastAsiaTheme="majorEastAsia" w:hAnsiTheme="majorHAnsi" w:cstheme="majorBidi" w:ascii="Aptos Display" w:hAnsi="Aptos Display"/>
      <w:b/>
      <w:bCs/>
      <w:color w:val="17334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3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2637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Exp11 | Prospective validation of automatically calibrated adversarial budgets</dc:title>
  <dc:subject>ACORN CEBRA neural spike-count decoder robustness</dc:subject>
  <dc:creator>Research progress report</dc:creator>
  <cp:keywords/>
  <dc:description>generated by python-docx</dc:description>
  <cp:lastModifiedBy/>
  <cp:revision>1</cp:revision>
  <dcterms:created xsi:type="dcterms:W3CDTF">2013-12-23T23:15:00Z</dcterms:created>
  <dcterms:modified xsi:type="dcterms:W3CDTF">2013-12-23T23:15:00Z</dcterms:modified>
  <cp:category/>
</cp:coreProperties>
</file>