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Exp13 - Noise-scale and clean controls for covariance-aware adversarial CEBRA</w:t>
      </w:r>
    </w:p>
    <w:p>
      <w:pPr>
        <w:pStyle w:val="Subtitle"/>
      </w:pPr>
      <w:r>
        <w:t>Full numerical evaluation and integration with Exp11/Exp12  |  10 unseen Perich sessions  |  3 seeds  |  540 unique model runs</w:t>
      </w:r>
    </w:p>
    <w:p>
      <w:pPr/>
      <w:r>
        <w:t>Scientific status: completed experiments; analysis is observational across existing session-matched arms, not a newly preregistered hypothesis test.</w:t>
      </w:r>
    </w:p>
    <w:p>
      <w:pPr>
        <w:pStyle w:val="Heading1"/>
      </w:pPr>
      <w:r>
        <w:t>Executive summary</w:t>
      </w:r>
    </w:p>
    <w:p>
      <w:r>
        <w:t>Exp13 successfully trained and evaluated 120 additional models: 60 supervised and 60 time-only, each divided equally between a covariance-matched natural-noise-scale random-direction augmentation (GAUSS) and an unperturbed CLEAN control. Integrated with 360 Exp11 model re-evaluations and 60 Exp12 random-direction controls, the combined table contains 540 unique (mode, session, seed, arm) records. All Exp13 runs completed successfully; all 120 refined reference and isotropic evaluations report status "ok".</w:t>
      </w:r>
    </w:p>
    <w:p>
      <w:r>
        <w:t>The central finding is a hierarchy, not a binary result. GAUSS improves substantially on CLEAN, demonstrating that noise-aware random augmentation is meaningful when applied at a natural-noise-scale radius. Yet the frozen DIFF8 adversarial arm and the corresponding AUTO method usually achieve greater reference-metric robustness. Crucially, GAUSS uses epsilon = sqrt(C*T), typically 25-94 d-prime units (not epsilon = 8); it is therefore a stronger-magnitude control than Exp12 RAND8, not an equal-epsilon test of direction alone.</w:t>
      </w:r>
    </w:p>
    <w:tbl>
      <w:tblPr>
        <w:tblStyle w:val="LightShading-Accent1"/>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tcPr>
          <w:p>
            <w:r>
              <w:rPr>
                <w:b/>
                <w:color w:val="0F344E"/>
                <w:sz w:val="16"/>
              </w:rPr>
              <w:t>Mode</w:t>
            </w:r>
          </w:p>
        </w:tc>
        <w:tc>
          <w:tcPr>
            <w:tcW w:type="dxa" w:w="1987"/>
            <w:vAlign w:val="center"/>
          </w:tcPr>
          <w:p>
            <w:r>
              <w:rPr>
                <w:b/>
                <w:color w:val="0F344E"/>
                <w:sz w:val="16"/>
              </w:rPr>
              <w:t>Arm</w:t>
            </w:r>
          </w:p>
        </w:tc>
        <w:tc>
          <w:tcPr>
            <w:tcW w:type="dxa" w:w="1987"/>
            <w:vAlign w:val="center"/>
          </w:tcPr>
          <w:p>
            <w:r>
              <w:rPr>
                <w:b/>
                <w:color w:val="0F344E"/>
                <w:sz w:val="16"/>
              </w:rPr>
              <w:t>Mean clean R²</w:t>
            </w:r>
          </w:p>
        </w:tc>
        <w:tc>
          <w:tcPr>
            <w:tcW w:type="dxa" w:w="1987"/>
            <w:vAlign w:val="center"/>
          </w:tcPr>
          <w:p>
            <w:r>
              <w:rPr>
                <w:b/>
                <w:color w:val="0F344E"/>
                <w:sz w:val="16"/>
              </w:rPr>
              <w:t>Mean ref eps1/2</w:t>
            </w:r>
          </w:p>
        </w:tc>
        <w:tc>
          <w:tcPr>
            <w:tcW w:type="dxa" w:w="1987"/>
            <w:vAlign w:val="center"/>
          </w:tcPr>
          <w:p>
            <w:r>
              <w:rPr>
                <w:b/>
                <w:color w:val="0F344E"/>
                <w:sz w:val="16"/>
              </w:rPr>
              <w:t>Mean iso eps1/2</w:t>
            </w:r>
          </w:p>
        </w:tc>
      </w:tr>
      <w:tr>
        <w:trPr>
          <w:cantSplit/>
        </w:trPr>
        <w:tc>
          <w:tcPr>
            <w:tcW w:type="dxa" w:w="1987"/>
          </w:tcPr>
          <w:p>
            <w:pPr>
              <w:spacing w:after="0"/>
            </w:pPr>
            <w:r>
              <w:rPr>
                <w:sz w:val="16"/>
              </w:rPr>
              <w:t>Supervised</w:t>
            </w:r>
          </w:p>
        </w:tc>
        <w:tc>
          <w:tcPr>
            <w:tcW w:type="dxa" w:w="1987"/>
          </w:tcPr>
          <w:p>
            <w:pPr>
              <w:spacing w:after="0"/>
            </w:pPr>
            <w:r>
              <w:rPr>
                <w:sz w:val="16"/>
              </w:rPr>
              <w:t>CLEAN</w:t>
            </w:r>
          </w:p>
        </w:tc>
        <w:tc>
          <w:tcPr>
            <w:tcW w:type="dxa" w:w="1987"/>
          </w:tcPr>
          <w:p>
            <w:pPr>
              <w:spacing w:after="0"/>
            </w:pPr>
            <w:r>
              <w:rPr>
                <w:sz w:val="16"/>
              </w:rPr>
              <w:t>0.700</w:t>
            </w:r>
          </w:p>
        </w:tc>
        <w:tc>
          <w:tcPr>
            <w:tcW w:type="dxa" w:w="1987"/>
          </w:tcPr>
          <w:p>
            <w:pPr>
              <w:spacing w:after="0"/>
            </w:pPr>
            <w:r>
              <w:rPr>
                <w:sz w:val="16"/>
              </w:rPr>
              <w:t>1.024</w:t>
            </w:r>
          </w:p>
        </w:tc>
        <w:tc>
          <w:tcPr>
            <w:tcW w:type="dxa" w:w="1987"/>
          </w:tcPr>
          <w:p>
            <w:pPr>
              <w:spacing w:after="0"/>
            </w:pPr>
            <w:r>
              <w:rPr>
                <w:sz w:val="16"/>
              </w:rPr>
              <w:t>1.285</w:t>
            </w:r>
          </w:p>
        </w:tc>
      </w:tr>
      <w:tr>
        <w:trPr>
          <w:cantSplit/>
        </w:trPr>
        <w:tc>
          <w:tcPr>
            <w:tcW w:type="dxa" w:w="1987"/>
          </w:tcPr>
          <w:p>
            <w:pPr>
              <w:spacing w:after="0"/>
            </w:pPr>
            <w:r>
              <w:rPr>
                <w:sz w:val="16"/>
              </w:rPr>
              <w:t>Supervised</w:t>
            </w:r>
          </w:p>
        </w:tc>
        <w:tc>
          <w:tcPr>
            <w:tcW w:type="dxa" w:w="1987"/>
          </w:tcPr>
          <w:p>
            <w:pPr>
              <w:spacing w:after="0"/>
            </w:pPr>
            <w:r>
              <w:rPr>
                <w:sz w:val="16"/>
              </w:rPr>
              <w:t>GAUSS</w:t>
            </w:r>
          </w:p>
        </w:tc>
        <w:tc>
          <w:tcPr>
            <w:tcW w:type="dxa" w:w="1987"/>
          </w:tcPr>
          <w:p>
            <w:pPr>
              <w:spacing w:after="0"/>
            </w:pPr>
            <w:r>
              <w:rPr>
                <w:sz w:val="16"/>
              </w:rPr>
              <w:t>0.720</w:t>
            </w:r>
          </w:p>
        </w:tc>
        <w:tc>
          <w:tcPr>
            <w:tcW w:type="dxa" w:w="1987"/>
          </w:tcPr>
          <w:p>
            <w:pPr>
              <w:spacing w:after="0"/>
            </w:pPr>
            <w:r>
              <w:rPr>
                <w:sz w:val="16"/>
              </w:rPr>
              <w:t>1.395</w:t>
            </w:r>
          </w:p>
        </w:tc>
        <w:tc>
          <w:tcPr>
            <w:tcW w:type="dxa" w:w="1987"/>
          </w:tcPr>
          <w:p>
            <w:pPr>
              <w:spacing w:after="0"/>
            </w:pPr>
            <w:r>
              <w:rPr>
                <w:sz w:val="16"/>
              </w:rPr>
              <w:t>1.749</w:t>
            </w:r>
          </w:p>
        </w:tc>
      </w:tr>
      <w:tr>
        <w:trPr>
          <w:cantSplit/>
        </w:trPr>
        <w:tc>
          <w:tcPr>
            <w:tcW w:type="dxa" w:w="1987"/>
          </w:tcPr>
          <w:p>
            <w:pPr>
              <w:spacing w:after="0"/>
            </w:pPr>
            <w:r>
              <w:rPr>
                <w:sz w:val="16"/>
              </w:rPr>
              <w:t>Supervised</w:t>
            </w:r>
          </w:p>
        </w:tc>
        <w:tc>
          <w:tcPr>
            <w:tcW w:type="dxa" w:w="1987"/>
          </w:tcPr>
          <w:p>
            <w:pPr>
              <w:spacing w:after="0"/>
            </w:pPr>
            <w:r>
              <w:rPr>
                <w:sz w:val="16"/>
              </w:rPr>
              <w:t>D8</w:t>
            </w:r>
          </w:p>
        </w:tc>
        <w:tc>
          <w:tcPr>
            <w:tcW w:type="dxa" w:w="1987"/>
          </w:tcPr>
          <w:p>
            <w:pPr>
              <w:spacing w:after="0"/>
            </w:pPr>
            <w:r>
              <w:rPr>
                <w:sz w:val="16"/>
              </w:rPr>
              <w:t>0.703</w:t>
            </w:r>
          </w:p>
        </w:tc>
        <w:tc>
          <w:tcPr>
            <w:tcW w:type="dxa" w:w="1987"/>
          </w:tcPr>
          <w:p>
            <w:pPr>
              <w:spacing w:after="0"/>
            </w:pPr>
            <w:r>
              <w:rPr>
                <w:sz w:val="16"/>
              </w:rPr>
              <w:t>1.866</w:t>
            </w:r>
          </w:p>
        </w:tc>
        <w:tc>
          <w:tcPr>
            <w:tcW w:type="dxa" w:w="1987"/>
          </w:tcPr>
          <w:p>
            <w:pPr>
              <w:spacing w:after="0"/>
            </w:pPr>
            <w:r>
              <w:rPr>
                <w:sz w:val="16"/>
              </w:rPr>
              <w:t>2.166</w:t>
            </w:r>
          </w:p>
        </w:tc>
      </w:tr>
      <w:tr>
        <w:trPr>
          <w:cantSplit/>
        </w:trPr>
        <w:tc>
          <w:tcPr>
            <w:tcW w:type="dxa" w:w="1987"/>
          </w:tcPr>
          <w:p>
            <w:pPr>
              <w:spacing w:after="0"/>
            </w:pPr>
            <w:r>
              <w:rPr>
                <w:sz w:val="16"/>
              </w:rPr>
              <w:t>Supervised</w:t>
            </w:r>
          </w:p>
        </w:tc>
        <w:tc>
          <w:tcPr>
            <w:tcW w:type="dxa" w:w="1987"/>
          </w:tcPr>
          <w:p>
            <w:pPr>
              <w:spacing w:after="0"/>
            </w:pPr>
            <w:r>
              <w:rPr>
                <w:sz w:val="16"/>
              </w:rPr>
              <w:t>AUTOBEH</w:t>
            </w:r>
          </w:p>
        </w:tc>
        <w:tc>
          <w:tcPr>
            <w:tcW w:type="dxa" w:w="1987"/>
          </w:tcPr>
          <w:p>
            <w:pPr>
              <w:spacing w:after="0"/>
            </w:pPr>
            <w:r>
              <w:rPr>
                <w:sz w:val="16"/>
              </w:rPr>
              <w:t>0.701</w:t>
            </w:r>
          </w:p>
        </w:tc>
        <w:tc>
          <w:tcPr>
            <w:tcW w:type="dxa" w:w="1987"/>
          </w:tcPr>
          <w:p>
            <w:pPr>
              <w:spacing w:after="0"/>
            </w:pPr>
            <w:r>
              <w:rPr>
                <w:sz w:val="16"/>
              </w:rPr>
              <w:t>1.883</w:t>
            </w:r>
          </w:p>
        </w:tc>
        <w:tc>
          <w:tcPr>
            <w:tcW w:type="dxa" w:w="1987"/>
          </w:tcPr>
          <w:p>
            <w:pPr>
              <w:spacing w:after="0"/>
            </w:pPr>
            <w:r>
              <w:rPr>
                <w:sz w:val="16"/>
              </w:rPr>
              <w:t>2.174</w:t>
            </w:r>
          </w:p>
        </w:tc>
      </w:tr>
      <w:tr>
        <w:trPr>
          <w:cantSplit/>
        </w:trPr>
        <w:tc>
          <w:tcPr>
            <w:tcW w:type="dxa" w:w="1987"/>
          </w:tcPr>
          <w:p>
            <w:pPr>
              <w:spacing w:after="0"/>
            </w:pPr>
            <w:r>
              <w:rPr>
                <w:sz w:val="16"/>
              </w:rPr>
              <w:t>Time-only</w:t>
            </w:r>
          </w:p>
        </w:tc>
        <w:tc>
          <w:tcPr>
            <w:tcW w:type="dxa" w:w="1987"/>
          </w:tcPr>
          <w:p>
            <w:pPr>
              <w:spacing w:after="0"/>
            </w:pPr>
            <w:r>
              <w:rPr>
                <w:sz w:val="16"/>
              </w:rPr>
              <w:t>CLEAN</w:t>
            </w:r>
          </w:p>
        </w:tc>
        <w:tc>
          <w:tcPr>
            <w:tcW w:type="dxa" w:w="1987"/>
          </w:tcPr>
          <w:p>
            <w:pPr>
              <w:spacing w:after="0"/>
            </w:pPr>
            <w:r>
              <w:rPr>
                <w:sz w:val="16"/>
              </w:rPr>
              <w:t>0.438</w:t>
            </w:r>
          </w:p>
        </w:tc>
        <w:tc>
          <w:tcPr>
            <w:tcW w:type="dxa" w:w="1987"/>
          </w:tcPr>
          <w:p>
            <w:pPr>
              <w:spacing w:after="0"/>
            </w:pPr>
            <w:r>
              <w:rPr>
                <w:sz w:val="16"/>
              </w:rPr>
              <w:t>0.475</w:t>
            </w:r>
          </w:p>
        </w:tc>
        <w:tc>
          <w:tcPr>
            <w:tcW w:type="dxa" w:w="1987"/>
          </w:tcPr>
          <w:p>
            <w:pPr>
              <w:spacing w:after="0"/>
            </w:pPr>
            <w:r>
              <w:rPr>
                <w:sz w:val="16"/>
              </w:rPr>
              <w:t>0.634</w:t>
            </w:r>
          </w:p>
        </w:tc>
      </w:tr>
      <w:tr>
        <w:trPr>
          <w:cantSplit/>
        </w:trPr>
        <w:tc>
          <w:tcPr>
            <w:tcW w:type="dxa" w:w="1987"/>
          </w:tcPr>
          <w:p>
            <w:pPr>
              <w:spacing w:after="0"/>
            </w:pPr>
            <w:r>
              <w:rPr>
                <w:sz w:val="16"/>
              </w:rPr>
              <w:t>Time-only</w:t>
            </w:r>
          </w:p>
        </w:tc>
        <w:tc>
          <w:tcPr>
            <w:tcW w:type="dxa" w:w="1987"/>
          </w:tcPr>
          <w:p>
            <w:pPr>
              <w:spacing w:after="0"/>
            </w:pPr>
            <w:r>
              <w:rPr>
                <w:sz w:val="16"/>
              </w:rPr>
              <w:t>GAUSS</w:t>
            </w:r>
          </w:p>
        </w:tc>
        <w:tc>
          <w:tcPr>
            <w:tcW w:type="dxa" w:w="1987"/>
          </w:tcPr>
          <w:p>
            <w:pPr>
              <w:spacing w:after="0"/>
            </w:pPr>
            <w:r>
              <w:rPr>
                <w:sz w:val="16"/>
              </w:rPr>
              <w:t>0.603</w:t>
            </w:r>
          </w:p>
        </w:tc>
        <w:tc>
          <w:tcPr>
            <w:tcW w:type="dxa" w:w="1987"/>
          </w:tcPr>
          <w:p>
            <w:pPr>
              <w:spacing w:after="0"/>
            </w:pPr>
            <w:r>
              <w:rPr>
                <w:sz w:val="16"/>
              </w:rPr>
              <w:t>1.379</w:t>
            </w:r>
          </w:p>
        </w:tc>
        <w:tc>
          <w:tcPr>
            <w:tcW w:type="dxa" w:w="1987"/>
          </w:tcPr>
          <w:p>
            <w:pPr>
              <w:spacing w:after="0"/>
            </w:pPr>
            <w:r>
              <w:rPr>
                <w:sz w:val="16"/>
              </w:rPr>
              <w:t>2.158</w:t>
            </w:r>
          </w:p>
        </w:tc>
      </w:tr>
      <w:tr>
        <w:trPr>
          <w:cantSplit/>
        </w:trPr>
        <w:tc>
          <w:tcPr>
            <w:tcW w:type="dxa" w:w="1987"/>
          </w:tcPr>
          <w:p>
            <w:pPr>
              <w:spacing w:after="0"/>
            </w:pPr>
            <w:r>
              <w:rPr>
                <w:sz w:val="16"/>
              </w:rPr>
              <w:t>Time-only</w:t>
            </w:r>
          </w:p>
        </w:tc>
        <w:tc>
          <w:tcPr>
            <w:tcW w:type="dxa" w:w="1987"/>
          </w:tcPr>
          <w:p>
            <w:pPr>
              <w:spacing w:after="0"/>
            </w:pPr>
            <w:r>
              <w:rPr>
                <w:sz w:val="16"/>
              </w:rPr>
              <w:t>D8</w:t>
            </w:r>
          </w:p>
        </w:tc>
        <w:tc>
          <w:tcPr>
            <w:tcW w:type="dxa" w:w="1987"/>
          </w:tcPr>
          <w:p>
            <w:pPr>
              <w:spacing w:after="0"/>
            </w:pPr>
            <w:r>
              <w:rPr>
                <w:sz w:val="16"/>
              </w:rPr>
              <w:t>0.604</w:t>
            </w:r>
          </w:p>
        </w:tc>
        <w:tc>
          <w:tcPr>
            <w:tcW w:type="dxa" w:w="1987"/>
          </w:tcPr>
          <w:p>
            <w:pPr>
              <w:spacing w:after="0"/>
            </w:pPr>
            <w:r>
              <w:rPr>
                <w:sz w:val="16"/>
              </w:rPr>
              <w:t>1.739</w:t>
            </w:r>
          </w:p>
        </w:tc>
        <w:tc>
          <w:tcPr>
            <w:tcW w:type="dxa" w:w="1987"/>
          </w:tcPr>
          <w:p>
            <w:pPr>
              <w:spacing w:after="0"/>
            </w:pPr>
            <w:r>
              <w:rPr>
                <w:sz w:val="16"/>
              </w:rPr>
              <w:t>2.315</w:t>
            </w:r>
          </w:p>
        </w:tc>
      </w:tr>
      <w:tr>
        <w:trPr>
          <w:cantSplit/>
        </w:trPr>
        <w:tc>
          <w:tcPr>
            <w:tcW w:type="dxa" w:w="1987"/>
          </w:tcPr>
          <w:p>
            <w:pPr>
              <w:spacing w:after="0"/>
            </w:pPr>
            <w:r>
              <w:rPr>
                <w:sz w:val="16"/>
              </w:rPr>
              <w:t>Time-only</w:t>
            </w:r>
          </w:p>
        </w:tc>
        <w:tc>
          <w:tcPr>
            <w:tcW w:type="dxa" w:w="1987"/>
          </w:tcPr>
          <w:p>
            <w:pPr>
              <w:spacing w:after="0"/>
            </w:pPr>
            <w:r>
              <w:rPr>
                <w:sz w:val="16"/>
              </w:rPr>
              <w:t>AUTOSIG</w:t>
            </w:r>
          </w:p>
        </w:tc>
        <w:tc>
          <w:tcPr>
            <w:tcW w:type="dxa" w:w="1987"/>
          </w:tcPr>
          <w:p>
            <w:pPr>
              <w:spacing w:after="0"/>
            </w:pPr>
            <w:r>
              <w:rPr>
                <w:sz w:val="16"/>
              </w:rPr>
              <w:t>0.601</w:t>
            </w:r>
          </w:p>
        </w:tc>
        <w:tc>
          <w:tcPr>
            <w:tcW w:type="dxa" w:w="1987"/>
          </w:tcPr>
          <w:p>
            <w:pPr>
              <w:spacing w:after="0"/>
            </w:pPr>
            <w:r>
              <w:rPr>
                <w:sz w:val="16"/>
              </w:rPr>
              <w:t>1.725</w:t>
            </w:r>
          </w:p>
        </w:tc>
        <w:tc>
          <w:tcPr>
            <w:tcW w:type="dxa" w:w="1987"/>
          </w:tcPr>
          <w:p>
            <w:pPr>
              <w:spacing w:after="0"/>
            </w:pPr>
            <w:r>
              <w:rPr>
                <w:sz w:val="16"/>
              </w:rPr>
              <w:t>2.307</w:t>
            </w:r>
          </w:p>
        </w:tc>
      </w:tr>
    </w:tbl>
    <w:p>
      <w:pPr>
        <w:spacing w:after="0"/>
      </w:pPr>
    </w:p>
    <w:p>
      <w:pPr>
        <w:pStyle w:val="Heading1"/>
      </w:pPr>
      <w:r>
        <w:t>1. Experiment structure and integrity</w:t>
      </w:r>
    </w:p>
    <w:p>
      <w:r>
        <w:t>All evaluations used the same 10 prospectively selected Perich sessions (C-CO2, C-CO21, C-CO25, C-CO26, C-CO39, C-RT12, J-CO1, M-CO7, T-CO1, T-RT2) and seeds 42/43/44. Exp11 supplies seven supervised and five time-only arms (360); Exp12 supplies one RAND8 control for each mode (60); Exp13 adds GAUSS and CLEAN for both modes (120). Across model records these form 300 supervised and 240 time-only outcomes.</w:t>
      </w:r>
    </w:p>
    <w:tbl>
      <w:tblPr>
        <w:tblStyle w:val="LightShading-Accent1"/>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tcPr>
          <w:p>
            <w:r>
              <w:rPr>
                <w:b/>
                <w:color w:val="0F344E"/>
                <w:sz w:val="16"/>
              </w:rPr>
              <w:t>Data group</w:t>
            </w:r>
          </w:p>
        </w:tc>
        <w:tc>
          <w:tcPr>
            <w:tcW w:type="dxa" w:w="2484"/>
            <w:vAlign w:val="center"/>
          </w:tcPr>
          <w:p>
            <w:r>
              <w:rPr>
                <w:b/>
                <w:color w:val="0F344E"/>
                <w:sz w:val="16"/>
              </w:rPr>
              <w:t>Arms per session/seed</w:t>
            </w:r>
          </w:p>
        </w:tc>
        <w:tc>
          <w:tcPr>
            <w:tcW w:type="dxa" w:w="2484"/>
            <w:vAlign w:val="center"/>
          </w:tcPr>
          <w:p>
            <w:r>
              <w:rPr>
                <w:b/>
                <w:color w:val="0F344E"/>
                <w:sz w:val="16"/>
              </w:rPr>
              <w:t>Models</w:t>
            </w:r>
          </w:p>
        </w:tc>
        <w:tc>
          <w:tcPr>
            <w:tcW w:type="dxa" w:w="2484"/>
            <w:vAlign w:val="center"/>
          </w:tcPr>
          <w:p>
            <w:r>
              <w:rPr>
                <w:b/>
                <w:color w:val="0F344E"/>
                <w:sz w:val="16"/>
              </w:rPr>
              <w:t>Status</w:t>
            </w:r>
          </w:p>
        </w:tc>
      </w:tr>
      <w:tr>
        <w:trPr>
          <w:cantSplit/>
        </w:trPr>
        <w:tc>
          <w:tcPr>
            <w:tcW w:type="dxa" w:w="2484"/>
          </w:tcPr>
          <w:p>
            <w:pPr>
              <w:spacing w:after="0"/>
            </w:pPr>
            <w:r>
              <w:rPr>
                <w:sz w:val="16"/>
              </w:rPr>
              <w:t>Exp11 supervised - reevaluated in Exp12</w:t>
            </w:r>
          </w:p>
        </w:tc>
        <w:tc>
          <w:tcPr>
            <w:tcW w:type="dxa" w:w="2484"/>
          </w:tcPr>
          <w:p>
            <w:pPr>
              <w:spacing w:after="0"/>
            </w:pPr>
            <w:r>
              <w:rPr>
                <w:sz w:val="16"/>
              </w:rPr>
              <w:t>7</w:t>
            </w:r>
          </w:p>
        </w:tc>
        <w:tc>
          <w:tcPr>
            <w:tcW w:type="dxa" w:w="2484"/>
          </w:tcPr>
          <w:p>
            <w:pPr>
              <w:spacing w:after="0"/>
            </w:pPr>
            <w:r>
              <w:rPr>
                <w:sz w:val="16"/>
              </w:rPr>
              <w:t>210</w:t>
            </w:r>
          </w:p>
        </w:tc>
        <w:tc>
          <w:tcPr>
            <w:tcW w:type="dxa" w:w="2484"/>
          </w:tcPr>
          <w:p>
            <w:pPr>
              <w:spacing w:after="0"/>
            </w:pPr>
            <w:r>
              <w:rPr>
                <w:sz w:val="16"/>
              </w:rPr>
              <w:t>210/210 success</w:t>
            </w:r>
          </w:p>
        </w:tc>
      </w:tr>
      <w:tr>
        <w:trPr>
          <w:cantSplit/>
        </w:trPr>
        <w:tc>
          <w:tcPr>
            <w:tcW w:type="dxa" w:w="2484"/>
          </w:tcPr>
          <w:p>
            <w:pPr>
              <w:spacing w:after="0"/>
            </w:pPr>
            <w:r>
              <w:rPr>
                <w:sz w:val="16"/>
              </w:rPr>
              <w:t>Exp11 time-only - reevaluated in Exp12</w:t>
            </w:r>
          </w:p>
        </w:tc>
        <w:tc>
          <w:tcPr>
            <w:tcW w:type="dxa" w:w="2484"/>
          </w:tcPr>
          <w:p>
            <w:pPr>
              <w:spacing w:after="0"/>
            </w:pPr>
            <w:r>
              <w:rPr>
                <w:sz w:val="16"/>
              </w:rPr>
              <w:t>5</w:t>
            </w:r>
          </w:p>
        </w:tc>
        <w:tc>
          <w:tcPr>
            <w:tcW w:type="dxa" w:w="2484"/>
          </w:tcPr>
          <w:p>
            <w:pPr>
              <w:spacing w:after="0"/>
            </w:pPr>
            <w:r>
              <w:rPr>
                <w:sz w:val="16"/>
              </w:rPr>
              <w:t>150</w:t>
            </w:r>
          </w:p>
        </w:tc>
        <w:tc>
          <w:tcPr>
            <w:tcW w:type="dxa" w:w="2484"/>
          </w:tcPr>
          <w:p>
            <w:pPr>
              <w:spacing w:after="0"/>
            </w:pPr>
            <w:r>
              <w:rPr>
                <w:sz w:val="16"/>
              </w:rPr>
              <w:t>150/150 success</w:t>
            </w:r>
          </w:p>
        </w:tc>
      </w:tr>
      <w:tr>
        <w:trPr>
          <w:cantSplit/>
        </w:trPr>
        <w:tc>
          <w:tcPr>
            <w:tcW w:type="dxa" w:w="2484"/>
          </w:tcPr>
          <w:p>
            <w:pPr>
              <w:spacing w:after="0"/>
            </w:pPr>
            <w:r>
              <w:rPr>
                <w:sz w:val="16"/>
              </w:rPr>
              <w:t>Exp12 RAND8 controls</w:t>
            </w:r>
          </w:p>
        </w:tc>
        <w:tc>
          <w:tcPr>
            <w:tcW w:type="dxa" w:w="2484"/>
          </w:tcPr>
          <w:p>
            <w:pPr>
              <w:spacing w:after="0"/>
            </w:pPr>
            <w:r>
              <w:rPr>
                <w:sz w:val="16"/>
              </w:rPr>
              <w:t>1 per mode</w:t>
            </w:r>
          </w:p>
        </w:tc>
        <w:tc>
          <w:tcPr>
            <w:tcW w:type="dxa" w:w="2484"/>
          </w:tcPr>
          <w:p>
            <w:pPr>
              <w:spacing w:after="0"/>
            </w:pPr>
            <w:r>
              <w:rPr>
                <w:sz w:val="16"/>
              </w:rPr>
              <w:t>60</w:t>
            </w:r>
          </w:p>
        </w:tc>
        <w:tc>
          <w:tcPr>
            <w:tcW w:type="dxa" w:w="2484"/>
          </w:tcPr>
          <w:p>
            <w:pPr>
              <w:spacing w:after="0"/>
            </w:pPr>
            <w:r>
              <w:rPr>
                <w:sz w:val="16"/>
              </w:rPr>
              <w:t>60/60 success</w:t>
            </w:r>
          </w:p>
        </w:tc>
      </w:tr>
      <w:tr>
        <w:trPr>
          <w:cantSplit/>
        </w:trPr>
        <w:tc>
          <w:tcPr>
            <w:tcW w:type="dxa" w:w="2484"/>
          </w:tcPr>
          <w:p>
            <w:pPr>
              <w:spacing w:after="0"/>
            </w:pPr>
            <w:r>
              <w:rPr>
                <w:sz w:val="16"/>
              </w:rPr>
              <w:t>Exp13 GAUSS + CLEAN</w:t>
            </w:r>
          </w:p>
        </w:tc>
        <w:tc>
          <w:tcPr>
            <w:tcW w:type="dxa" w:w="2484"/>
          </w:tcPr>
          <w:p>
            <w:pPr>
              <w:spacing w:after="0"/>
            </w:pPr>
            <w:r>
              <w:rPr>
                <w:sz w:val="16"/>
              </w:rPr>
              <w:t>2 per mode</w:t>
            </w:r>
          </w:p>
        </w:tc>
        <w:tc>
          <w:tcPr>
            <w:tcW w:type="dxa" w:w="2484"/>
          </w:tcPr>
          <w:p>
            <w:pPr>
              <w:spacing w:after="0"/>
            </w:pPr>
            <w:r>
              <w:rPr>
                <w:sz w:val="16"/>
              </w:rPr>
              <w:t>120</w:t>
            </w:r>
          </w:p>
        </w:tc>
        <w:tc>
          <w:tcPr>
            <w:tcW w:type="dxa" w:w="2484"/>
          </w:tcPr>
          <w:p>
            <w:pPr>
              <w:spacing w:after="0"/>
            </w:pPr>
            <w:r>
              <w:rPr>
                <w:sz w:val="16"/>
              </w:rPr>
              <w:t>120/120 success</w:t>
            </w:r>
          </w:p>
        </w:tc>
      </w:tr>
      <w:tr>
        <w:trPr>
          <w:cantSplit/>
        </w:trPr>
        <w:tc>
          <w:tcPr>
            <w:tcW w:type="dxa" w:w="2484"/>
          </w:tcPr>
          <w:p>
            <w:pPr>
              <w:spacing w:after="0"/>
            </w:pPr>
            <w:r>
              <w:rPr>
                <w:sz w:val="16"/>
              </w:rPr>
              <w:t>TOTAL</w:t>
            </w:r>
          </w:p>
        </w:tc>
        <w:tc>
          <w:tcPr>
            <w:tcW w:type="dxa" w:w="2484"/>
          </w:tcPr>
          <w:p>
            <w:pPr>
              <w:spacing w:after="0"/>
            </w:pPr>
            <w:r>
              <w:rPr>
                <w:sz w:val="16"/>
              </w:rPr>
              <w:t>18 mode-specific arms</w:t>
            </w:r>
          </w:p>
        </w:tc>
        <w:tc>
          <w:tcPr>
            <w:tcW w:type="dxa" w:w="2484"/>
          </w:tcPr>
          <w:p>
            <w:pPr>
              <w:spacing w:after="0"/>
            </w:pPr>
            <w:r>
              <w:rPr>
                <w:sz w:val="16"/>
              </w:rPr>
              <w:t>540</w:t>
            </w:r>
          </w:p>
        </w:tc>
        <w:tc>
          <w:tcPr>
            <w:tcW w:type="dxa" w:w="2484"/>
          </w:tcPr>
          <w:p>
            <w:pPr>
              <w:spacing w:after="0"/>
            </w:pPr>
            <w:r>
              <w:rPr>
                <w:sz w:val="16"/>
              </w:rPr>
              <w:t>540/540 success</w:t>
            </w:r>
          </w:p>
        </w:tc>
      </w:tr>
    </w:tbl>
    <w:p>
      <w:pPr>
        <w:spacing w:after="0"/>
      </w:pPr>
    </w:p>
    <w:p>
      <w:r>
        <w:t>Data integrity checks: 120/120 Exp13 rows reconstructed from the untruncated terminal dump; 60 unique records per mode; no duplicate session/seed/arm tuples; 10 sessions and 3 seeds in each arm; all 120 reference and isotropic refinement status fields are "ok". The earlier 420 records were loaded from the existing detailed Exp12 CSV, not retyped.</w:t>
      </w:r>
    </w:p>
    <w:p>
      <w:pPr>
        <w:pStyle w:val="Heading1"/>
      </w:pPr>
      <w:r>
        <w:t>2. Methodology and interpretation</w:t>
      </w:r>
    </w:p>
    <w:p>
      <w:pPr/>
      <w:r>
        <w:rPr>
          <w:b/>
        </w:rPr>
        <w:t xml:space="preserve">Evaluation endpoint.  </w:t>
      </w:r>
      <w:r>
        <w:t>The main adversarial robustness score is the refined reference-noise-metric epsilon at which decoder R² drops to half its clean value (refined reference eps1/2). Higher means greater robustness. The companion isotropic epsilon uses a different perturbation geometry and is not numerically interchangeable with the reference metric.</w:t>
      </w:r>
    </w:p>
    <w:p>
      <w:pPr/>
      <w:r>
        <w:rPr>
          <w:b/>
        </w:rPr>
        <w:t xml:space="preserve">Matched comparisons.  </w:t>
      </w:r>
      <w:r>
        <w:t>Arm A vs B matches the same session and random seed (30 matched instances). Our primary ratio is the median of 30 paired reference eps1/2 ratios. 95% percentile confidence intervals resample the 10 sessions as independent clusters with replacement, retaining all three matched seeds per chosen session (30,000 bootstrap replicates; fixed seed). Clean R² differences use mean paired differences with session-cluster bootstrap CIs. Session sign counts indicate how many of the 10 session-median ratios favor A.</w:t>
      </w:r>
    </w:p>
    <w:p>
      <w:pPr/>
      <w:r>
        <w:rPr>
          <w:b/>
        </w:rPr>
        <w:t xml:space="preserve">GAUSS implementation.  </w:t>
      </w:r>
      <w:r>
        <w:t>The Exp13 runner configures adv_dprime_optimizer="random" and the d-prime difference-residual covariance model, with epsilon = sqrt(C*T) (C channels, T window positions). The fork samples a Gaussian vector, normalizes it to a fixed-radius whitened sphere and maps it through the learned noise coloring. Hence the perturbations are covariance-shaped random directions with a fixed d-prime radius, not samples from a full Gaussian radial-amplitude distribution.</w:t>
      </w:r>
    </w:p>
    <w:p>
      <w:pPr/>
      <w:r>
        <w:rPr>
          <w:b/>
        </w:rPr>
        <w:t xml:space="preserve">Budget comparability.  </w:t>
      </w:r>
      <w:r>
        <w:t>DIFF8 is epsilon=8 and optimized adversarially; RAND8 is epsilon=8 without adversarial optimization; GAUSS is non-adversarial at natural noise scale (roughly 25.46-94.11 in the observed runs). GAUSS vs RAND8 changes amplitude, whereas DIFF8 vs GAUSS changes both amplitude and optimization. Conclusions about adversarial orientation are therefore best triangulated across all controls rather than attributed to a single controlled intervention.</w:t>
      </w:r>
    </w:p>
    <w:p>
      <w:r>
        <w:br w:type="page"/>
      </w:r>
    </w:p>
    <w:p>
      <w:pPr>
        <w:pStyle w:val="Heading1"/>
      </w:pPr>
      <w:r>
        <w:t>3. Reference-metric robustness across all methods</w:t>
      </w:r>
    </w:p>
    <w:p>
      <w:pPr>
        <w:pStyle w:val="Heading2"/>
      </w:pPr>
      <w:r>
        <w:t>Supervised CEBRA</w:t>
      </w:r>
    </w:p>
    <w:tbl>
      <w:tblPr>
        <w:tblStyle w:val="LightShading-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tcPr>
          <w:p>
            <w:r>
              <w:rPr>
                <w:b/>
                <w:color w:val="0F344E"/>
                <w:sz w:val="15"/>
              </w:rPr>
              <w:t>Arm</w:t>
            </w:r>
          </w:p>
        </w:tc>
        <w:tc>
          <w:tcPr>
            <w:tcW w:type="dxa" w:w="1656"/>
            <w:vAlign w:val="center"/>
          </w:tcPr>
          <w:p>
            <w:r>
              <w:rPr>
                <w:b/>
                <w:color w:val="0F344E"/>
                <w:sz w:val="15"/>
              </w:rPr>
              <w:t>Mean clean R²</w:t>
            </w:r>
          </w:p>
        </w:tc>
        <w:tc>
          <w:tcPr>
            <w:tcW w:type="dxa" w:w="1656"/>
            <w:vAlign w:val="center"/>
          </w:tcPr>
          <w:p>
            <w:r>
              <w:rPr>
                <w:b/>
                <w:color w:val="0F344E"/>
                <w:sz w:val="15"/>
              </w:rPr>
              <w:t>Mean ref</w:t>
            </w:r>
          </w:p>
        </w:tc>
        <w:tc>
          <w:tcPr>
            <w:tcW w:type="dxa" w:w="1656"/>
            <w:vAlign w:val="center"/>
          </w:tcPr>
          <w:p>
            <w:r>
              <w:rPr>
                <w:b/>
                <w:color w:val="0F344E"/>
                <w:sz w:val="15"/>
              </w:rPr>
              <w:t>Median ref</w:t>
            </w:r>
          </w:p>
        </w:tc>
        <w:tc>
          <w:tcPr>
            <w:tcW w:type="dxa" w:w="1656"/>
            <w:vAlign w:val="center"/>
          </w:tcPr>
          <w:p>
            <w:r>
              <w:rPr>
                <w:b/>
                <w:color w:val="0F344E"/>
                <w:sz w:val="15"/>
              </w:rPr>
              <w:t>Mean iso</w:t>
            </w:r>
          </w:p>
        </w:tc>
        <w:tc>
          <w:tcPr>
            <w:tcW w:type="dxa" w:w="1656"/>
            <w:vAlign w:val="center"/>
          </w:tcPr>
          <w:p>
            <w:r>
              <w:rPr>
                <w:b/>
                <w:color w:val="0F344E"/>
                <w:sz w:val="15"/>
              </w:rPr>
              <w:t>ref &lt;0.5</w:t>
            </w:r>
          </w:p>
        </w:tc>
      </w:tr>
      <w:tr>
        <w:trPr>
          <w:cantSplit/>
        </w:trPr>
        <w:tc>
          <w:tcPr>
            <w:tcW w:type="dxa" w:w="1656"/>
          </w:tcPr>
          <w:p>
            <w:pPr>
              <w:spacing w:after="0"/>
            </w:pPr>
            <w:r>
              <w:rPr>
                <w:sz w:val="15"/>
              </w:rPr>
              <w:t>DIFF/AUTO-BEH</w:t>
            </w:r>
          </w:p>
        </w:tc>
        <w:tc>
          <w:tcPr>
            <w:tcW w:type="dxa" w:w="1656"/>
          </w:tcPr>
          <w:p>
            <w:pPr>
              <w:spacing w:after="0"/>
            </w:pPr>
            <w:r>
              <w:rPr>
                <w:sz w:val="15"/>
              </w:rPr>
              <w:t>0.701</w:t>
            </w:r>
          </w:p>
        </w:tc>
        <w:tc>
          <w:tcPr>
            <w:tcW w:type="dxa" w:w="1656"/>
          </w:tcPr>
          <w:p>
            <w:pPr>
              <w:spacing w:after="0"/>
            </w:pPr>
            <w:r>
              <w:rPr>
                <w:sz w:val="15"/>
              </w:rPr>
              <w:t>1.883</w:t>
            </w:r>
          </w:p>
        </w:tc>
        <w:tc>
          <w:tcPr>
            <w:tcW w:type="dxa" w:w="1656"/>
          </w:tcPr>
          <w:p>
            <w:pPr>
              <w:spacing w:after="0"/>
            </w:pPr>
            <w:r>
              <w:rPr>
                <w:sz w:val="15"/>
              </w:rPr>
              <w:t>2.058</w:t>
            </w:r>
          </w:p>
        </w:tc>
        <w:tc>
          <w:tcPr>
            <w:tcW w:type="dxa" w:w="1656"/>
          </w:tcPr>
          <w:p>
            <w:pPr>
              <w:spacing w:after="0"/>
            </w:pPr>
            <w:r>
              <w:rPr>
                <w:sz w:val="15"/>
              </w:rPr>
              <w:t>2.174</w:t>
            </w:r>
          </w:p>
        </w:tc>
        <w:tc>
          <w:tcPr>
            <w:tcW w:type="dxa" w:w="1656"/>
          </w:tcPr>
          <w:p>
            <w:pPr>
              <w:spacing w:after="0"/>
            </w:pPr>
            <w:r>
              <w:rPr>
                <w:sz w:val="15"/>
              </w:rPr>
              <w:t>0/30</w:t>
            </w:r>
          </w:p>
        </w:tc>
      </w:tr>
      <w:tr>
        <w:trPr>
          <w:cantSplit/>
        </w:trPr>
        <w:tc>
          <w:tcPr>
            <w:tcW w:type="dxa" w:w="1656"/>
          </w:tcPr>
          <w:p>
            <w:pPr>
              <w:spacing w:after="0"/>
            </w:pPr>
            <w:r>
              <w:rPr>
                <w:sz w:val="15"/>
              </w:rPr>
              <w:t>DIFF8</w:t>
            </w:r>
          </w:p>
        </w:tc>
        <w:tc>
          <w:tcPr>
            <w:tcW w:type="dxa" w:w="1656"/>
          </w:tcPr>
          <w:p>
            <w:pPr>
              <w:spacing w:after="0"/>
            </w:pPr>
            <w:r>
              <w:rPr>
                <w:sz w:val="15"/>
              </w:rPr>
              <w:t>0.703</w:t>
            </w:r>
          </w:p>
        </w:tc>
        <w:tc>
          <w:tcPr>
            <w:tcW w:type="dxa" w:w="1656"/>
          </w:tcPr>
          <w:p>
            <w:pPr>
              <w:spacing w:after="0"/>
            </w:pPr>
            <w:r>
              <w:rPr>
                <w:sz w:val="15"/>
              </w:rPr>
              <w:t>1.866</w:t>
            </w:r>
          </w:p>
        </w:tc>
        <w:tc>
          <w:tcPr>
            <w:tcW w:type="dxa" w:w="1656"/>
          </w:tcPr>
          <w:p>
            <w:pPr>
              <w:spacing w:after="0"/>
            </w:pPr>
            <w:r>
              <w:rPr>
                <w:sz w:val="15"/>
              </w:rPr>
              <w:t>2.049</w:t>
            </w:r>
          </w:p>
        </w:tc>
        <w:tc>
          <w:tcPr>
            <w:tcW w:type="dxa" w:w="1656"/>
          </w:tcPr>
          <w:p>
            <w:pPr>
              <w:spacing w:after="0"/>
            </w:pPr>
            <w:r>
              <w:rPr>
                <w:sz w:val="15"/>
              </w:rPr>
              <w:t>2.166</w:t>
            </w:r>
          </w:p>
        </w:tc>
        <w:tc>
          <w:tcPr>
            <w:tcW w:type="dxa" w:w="1656"/>
          </w:tcPr>
          <w:p>
            <w:pPr>
              <w:spacing w:after="0"/>
            </w:pPr>
            <w:r>
              <w:rPr>
                <w:sz w:val="15"/>
              </w:rPr>
              <w:t>3/30</w:t>
            </w:r>
          </w:p>
        </w:tc>
      </w:tr>
      <w:tr>
        <w:trPr>
          <w:cantSplit/>
        </w:trPr>
        <w:tc>
          <w:tcPr>
            <w:tcW w:type="dxa" w:w="1656"/>
          </w:tcPr>
          <w:p>
            <w:pPr>
              <w:spacing w:after="0"/>
            </w:pPr>
            <w:r>
              <w:rPr>
                <w:sz w:val="15"/>
              </w:rPr>
              <w:t>SP/AUTO-BEH</w:t>
            </w:r>
          </w:p>
        </w:tc>
        <w:tc>
          <w:tcPr>
            <w:tcW w:type="dxa" w:w="1656"/>
          </w:tcPr>
          <w:p>
            <w:pPr>
              <w:spacing w:after="0"/>
            </w:pPr>
            <w:r>
              <w:rPr>
                <w:sz w:val="15"/>
              </w:rPr>
              <w:t>0.688</w:t>
            </w:r>
          </w:p>
        </w:tc>
        <w:tc>
          <w:tcPr>
            <w:tcW w:type="dxa" w:w="1656"/>
          </w:tcPr>
          <w:p>
            <w:pPr>
              <w:spacing w:after="0"/>
            </w:pPr>
            <w:r>
              <w:rPr>
                <w:sz w:val="15"/>
              </w:rPr>
              <w:t>1.662</w:t>
            </w:r>
          </w:p>
        </w:tc>
        <w:tc>
          <w:tcPr>
            <w:tcW w:type="dxa" w:w="1656"/>
          </w:tcPr>
          <w:p>
            <w:pPr>
              <w:spacing w:after="0"/>
            </w:pPr>
            <w:r>
              <w:rPr>
                <w:sz w:val="15"/>
              </w:rPr>
              <w:t>1.822</w:t>
            </w:r>
          </w:p>
        </w:tc>
        <w:tc>
          <w:tcPr>
            <w:tcW w:type="dxa" w:w="1656"/>
          </w:tcPr>
          <w:p>
            <w:pPr>
              <w:spacing w:after="0"/>
            </w:pPr>
            <w:r>
              <w:rPr>
                <w:sz w:val="15"/>
              </w:rPr>
              <w:t>1.466</w:t>
            </w:r>
          </w:p>
        </w:tc>
        <w:tc>
          <w:tcPr>
            <w:tcW w:type="dxa" w:w="1656"/>
          </w:tcPr>
          <w:p>
            <w:pPr>
              <w:spacing w:after="0"/>
            </w:pPr>
            <w:r>
              <w:rPr>
                <w:sz w:val="15"/>
              </w:rPr>
              <w:t>2/30</w:t>
            </w:r>
          </w:p>
        </w:tc>
      </w:tr>
      <w:tr>
        <w:trPr>
          <w:cantSplit/>
        </w:trPr>
        <w:tc>
          <w:tcPr>
            <w:tcW w:type="dxa" w:w="1656"/>
          </w:tcPr>
          <w:p>
            <w:pPr>
              <w:spacing w:after="0"/>
            </w:pPr>
            <w:r>
              <w:rPr>
                <w:sz w:val="15"/>
              </w:rPr>
              <w:t>SP/AUTO-SIG</w:t>
            </w:r>
          </w:p>
        </w:tc>
        <w:tc>
          <w:tcPr>
            <w:tcW w:type="dxa" w:w="1656"/>
          </w:tcPr>
          <w:p>
            <w:pPr>
              <w:spacing w:after="0"/>
            </w:pPr>
            <w:r>
              <w:rPr>
                <w:sz w:val="15"/>
              </w:rPr>
              <w:t>0.700</w:t>
            </w:r>
          </w:p>
        </w:tc>
        <w:tc>
          <w:tcPr>
            <w:tcW w:type="dxa" w:w="1656"/>
          </w:tcPr>
          <w:p>
            <w:pPr>
              <w:spacing w:after="0"/>
            </w:pPr>
            <w:r>
              <w:rPr>
                <w:sz w:val="15"/>
              </w:rPr>
              <w:t>1.747</w:t>
            </w:r>
          </w:p>
        </w:tc>
        <w:tc>
          <w:tcPr>
            <w:tcW w:type="dxa" w:w="1656"/>
          </w:tcPr>
          <w:p>
            <w:pPr>
              <w:spacing w:after="0"/>
            </w:pPr>
            <w:r>
              <w:rPr>
                <w:sz w:val="15"/>
              </w:rPr>
              <w:t>1.870</w:t>
            </w:r>
          </w:p>
        </w:tc>
        <w:tc>
          <w:tcPr>
            <w:tcW w:type="dxa" w:w="1656"/>
          </w:tcPr>
          <w:p>
            <w:pPr>
              <w:spacing w:after="0"/>
            </w:pPr>
            <w:r>
              <w:rPr>
                <w:sz w:val="15"/>
              </w:rPr>
              <w:t>1.585</w:t>
            </w:r>
          </w:p>
        </w:tc>
        <w:tc>
          <w:tcPr>
            <w:tcW w:type="dxa" w:w="1656"/>
          </w:tcPr>
          <w:p>
            <w:pPr>
              <w:spacing w:after="0"/>
            </w:pPr>
            <w:r>
              <w:rPr>
                <w:sz w:val="15"/>
              </w:rPr>
              <w:t>0/30</w:t>
            </w:r>
          </w:p>
        </w:tc>
      </w:tr>
      <w:tr>
        <w:trPr>
          <w:cantSplit/>
        </w:trPr>
        <w:tc>
          <w:tcPr>
            <w:tcW w:type="dxa" w:w="1656"/>
          </w:tcPr>
          <w:p>
            <w:pPr>
              <w:spacing w:after="0"/>
            </w:pPr>
            <w:r>
              <w:rPr>
                <w:sz w:val="15"/>
              </w:rPr>
              <w:t>POOL/BEH</w:t>
            </w:r>
          </w:p>
        </w:tc>
        <w:tc>
          <w:tcPr>
            <w:tcW w:type="dxa" w:w="1656"/>
          </w:tcPr>
          <w:p>
            <w:pPr>
              <w:spacing w:after="0"/>
            </w:pPr>
            <w:r>
              <w:rPr>
                <w:sz w:val="15"/>
              </w:rPr>
              <w:t>0.695</w:t>
            </w:r>
          </w:p>
        </w:tc>
        <w:tc>
          <w:tcPr>
            <w:tcW w:type="dxa" w:w="1656"/>
          </w:tcPr>
          <w:p>
            <w:pPr>
              <w:spacing w:after="0"/>
            </w:pPr>
            <w:r>
              <w:rPr>
                <w:sz w:val="15"/>
              </w:rPr>
              <w:t>1.803</w:t>
            </w:r>
          </w:p>
        </w:tc>
        <w:tc>
          <w:tcPr>
            <w:tcW w:type="dxa" w:w="1656"/>
          </w:tcPr>
          <w:p>
            <w:pPr>
              <w:spacing w:after="0"/>
            </w:pPr>
            <w:r>
              <w:rPr>
                <w:sz w:val="15"/>
              </w:rPr>
              <w:t>1.931</w:t>
            </w:r>
          </w:p>
        </w:tc>
        <w:tc>
          <w:tcPr>
            <w:tcW w:type="dxa" w:w="1656"/>
          </w:tcPr>
          <w:p>
            <w:pPr>
              <w:spacing w:after="0"/>
            </w:pPr>
            <w:r>
              <w:rPr>
                <w:sz w:val="15"/>
              </w:rPr>
              <w:t>2.530</w:t>
            </w:r>
          </w:p>
        </w:tc>
        <w:tc>
          <w:tcPr>
            <w:tcW w:type="dxa" w:w="1656"/>
          </w:tcPr>
          <w:p>
            <w:pPr>
              <w:spacing w:after="0"/>
            </w:pPr>
            <w:r>
              <w:rPr>
                <w:sz w:val="15"/>
              </w:rPr>
              <w:t>0/30</w:t>
            </w:r>
          </w:p>
        </w:tc>
      </w:tr>
      <w:tr>
        <w:trPr>
          <w:cantSplit/>
        </w:trPr>
        <w:tc>
          <w:tcPr>
            <w:tcW w:type="dxa" w:w="1656"/>
          </w:tcPr>
          <w:p>
            <w:pPr>
              <w:spacing w:after="0"/>
            </w:pPr>
            <w:r>
              <w:rPr>
                <w:sz w:val="15"/>
              </w:rPr>
              <w:t>PGD6</w:t>
            </w:r>
          </w:p>
        </w:tc>
        <w:tc>
          <w:tcPr>
            <w:tcW w:type="dxa" w:w="1656"/>
          </w:tcPr>
          <w:p>
            <w:pPr>
              <w:spacing w:after="0"/>
            </w:pPr>
            <w:r>
              <w:rPr>
                <w:sz w:val="15"/>
              </w:rPr>
              <w:t>0.701</w:t>
            </w:r>
          </w:p>
        </w:tc>
        <w:tc>
          <w:tcPr>
            <w:tcW w:type="dxa" w:w="1656"/>
          </w:tcPr>
          <w:p>
            <w:pPr>
              <w:spacing w:after="0"/>
            </w:pPr>
            <w:r>
              <w:rPr>
                <w:sz w:val="15"/>
              </w:rPr>
              <w:t>1.619</w:t>
            </w:r>
          </w:p>
        </w:tc>
        <w:tc>
          <w:tcPr>
            <w:tcW w:type="dxa" w:w="1656"/>
          </w:tcPr>
          <w:p>
            <w:pPr>
              <w:spacing w:after="0"/>
            </w:pPr>
            <w:r>
              <w:rPr>
                <w:sz w:val="15"/>
              </w:rPr>
              <w:t>1.555</w:t>
            </w:r>
          </w:p>
        </w:tc>
        <w:tc>
          <w:tcPr>
            <w:tcW w:type="dxa" w:w="1656"/>
          </w:tcPr>
          <w:p>
            <w:pPr>
              <w:spacing w:after="0"/>
            </w:pPr>
            <w:r>
              <w:rPr>
                <w:sz w:val="15"/>
              </w:rPr>
              <w:t>3.190</w:t>
            </w:r>
          </w:p>
        </w:tc>
        <w:tc>
          <w:tcPr>
            <w:tcW w:type="dxa" w:w="1656"/>
          </w:tcPr>
          <w:p>
            <w:pPr>
              <w:spacing w:after="0"/>
            </w:pPr>
            <w:r>
              <w:rPr>
                <w:sz w:val="15"/>
              </w:rPr>
              <w:t>3/30</w:t>
            </w:r>
          </w:p>
        </w:tc>
      </w:tr>
      <w:tr>
        <w:trPr>
          <w:cantSplit/>
        </w:trPr>
        <w:tc>
          <w:tcPr>
            <w:tcW w:type="dxa" w:w="1656"/>
          </w:tcPr>
          <w:p>
            <w:pPr>
              <w:spacing w:after="0"/>
            </w:pPr>
            <w:r>
              <w:rPr>
                <w:sz w:val="15"/>
              </w:rPr>
              <w:t>SP8</w:t>
            </w:r>
          </w:p>
        </w:tc>
        <w:tc>
          <w:tcPr>
            <w:tcW w:type="dxa" w:w="1656"/>
          </w:tcPr>
          <w:p>
            <w:pPr>
              <w:spacing w:after="0"/>
            </w:pPr>
            <w:r>
              <w:rPr>
                <w:sz w:val="15"/>
              </w:rPr>
              <w:t>0.686</w:t>
            </w:r>
          </w:p>
        </w:tc>
        <w:tc>
          <w:tcPr>
            <w:tcW w:type="dxa" w:w="1656"/>
          </w:tcPr>
          <w:p>
            <w:pPr>
              <w:spacing w:after="0"/>
            </w:pPr>
            <w:r>
              <w:rPr>
                <w:sz w:val="15"/>
              </w:rPr>
              <w:t>1.052</w:t>
            </w:r>
          </w:p>
        </w:tc>
        <w:tc>
          <w:tcPr>
            <w:tcW w:type="dxa" w:w="1656"/>
          </w:tcPr>
          <w:p>
            <w:pPr>
              <w:spacing w:after="0"/>
            </w:pPr>
            <w:r>
              <w:rPr>
                <w:sz w:val="15"/>
              </w:rPr>
              <w:t>1.228</w:t>
            </w:r>
          </w:p>
        </w:tc>
        <w:tc>
          <w:tcPr>
            <w:tcW w:type="dxa" w:w="1656"/>
          </w:tcPr>
          <w:p>
            <w:pPr>
              <w:spacing w:after="0"/>
            </w:pPr>
            <w:r>
              <w:rPr>
                <w:sz w:val="15"/>
              </w:rPr>
              <w:t>0.955</w:t>
            </w:r>
          </w:p>
        </w:tc>
        <w:tc>
          <w:tcPr>
            <w:tcW w:type="dxa" w:w="1656"/>
          </w:tcPr>
          <w:p>
            <w:pPr>
              <w:spacing w:after="0"/>
            </w:pPr>
            <w:r>
              <w:rPr>
                <w:sz w:val="15"/>
              </w:rPr>
              <w:t>10/30</w:t>
            </w:r>
          </w:p>
        </w:tc>
      </w:tr>
      <w:tr>
        <w:trPr>
          <w:cantSplit/>
        </w:trPr>
        <w:tc>
          <w:tcPr>
            <w:tcW w:type="dxa" w:w="1656"/>
          </w:tcPr>
          <w:p>
            <w:pPr>
              <w:spacing w:after="0"/>
            </w:pPr>
            <w:r>
              <w:rPr>
                <w:sz w:val="15"/>
              </w:rPr>
              <w:t>GAUSS</w:t>
            </w:r>
          </w:p>
        </w:tc>
        <w:tc>
          <w:tcPr>
            <w:tcW w:type="dxa" w:w="1656"/>
          </w:tcPr>
          <w:p>
            <w:pPr>
              <w:spacing w:after="0"/>
            </w:pPr>
            <w:r>
              <w:rPr>
                <w:sz w:val="15"/>
              </w:rPr>
              <w:t>0.720</w:t>
            </w:r>
          </w:p>
        </w:tc>
        <w:tc>
          <w:tcPr>
            <w:tcW w:type="dxa" w:w="1656"/>
          </w:tcPr>
          <w:p>
            <w:pPr>
              <w:spacing w:after="0"/>
            </w:pPr>
            <w:r>
              <w:rPr>
                <w:sz w:val="15"/>
              </w:rPr>
              <w:t>1.395</w:t>
            </w:r>
          </w:p>
        </w:tc>
        <w:tc>
          <w:tcPr>
            <w:tcW w:type="dxa" w:w="1656"/>
          </w:tcPr>
          <w:p>
            <w:pPr>
              <w:spacing w:after="0"/>
            </w:pPr>
            <w:r>
              <w:rPr>
                <w:sz w:val="15"/>
              </w:rPr>
              <w:t>1.445</w:t>
            </w:r>
          </w:p>
        </w:tc>
        <w:tc>
          <w:tcPr>
            <w:tcW w:type="dxa" w:w="1656"/>
          </w:tcPr>
          <w:p>
            <w:pPr>
              <w:spacing w:after="0"/>
            </w:pPr>
            <w:r>
              <w:rPr>
                <w:sz w:val="15"/>
              </w:rPr>
              <w:t>1.749</w:t>
            </w:r>
          </w:p>
        </w:tc>
        <w:tc>
          <w:tcPr>
            <w:tcW w:type="dxa" w:w="1656"/>
          </w:tcPr>
          <w:p>
            <w:pPr>
              <w:spacing w:after="0"/>
            </w:pPr>
            <w:r>
              <w:rPr>
                <w:sz w:val="15"/>
              </w:rPr>
              <w:t>3/30</w:t>
            </w:r>
          </w:p>
        </w:tc>
      </w:tr>
      <w:tr>
        <w:trPr>
          <w:cantSplit/>
        </w:trPr>
        <w:tc>
          <w:tcPr>
            <w:tcW w:type="dxa" w:w="1656"/>
          </w:tcPr>
          <w:p>
            <w:pPr>
              <w:spacing w:after="0"/>
            </w:pPr>
            <w:r>
              <w:rPr>
                <w:sz w:val="15"/>
              </w:rPr>
              <w:t>RAND8</w:t>
            </w:r>
          </w:p>
        </w:tc>
        <w:tc>
          <w:tcPr>
            <w:tcW w:type="dxa" w:w="1656"/>
          </w:tcPr>
          <w:p>
            <w:pPr>
              <w:spacing w:after="0"/>
            </w:pPr>
            <w:r>
              <w:rPr>
                <w:sz w:val="15"/>
              </w:rPr>
              <w:t>0.703</w:t>
            </w:r>
          </w:p>
        </w:tc>
        <w:tc>
          <w:tcPr>
            <w:tcW w:type="dxa" w:w="1656"/>
          </w:tcPr>
          <w:p>
            <w:pPr>
              <w:spacing w:after="0"/>
            </w:pPr>
            <w:r>
              <w:rPr>
                <w:sz w:val="15"/>
              </w:rPr>
              <w:t>1.061</w:t>
            </w:r>
          </w:p>
        </w:tc>
        <w:tc>
          <w:tcPr>
            <w:tcW w:type="dxa" w:w="1656"/>
          </w:tcPr>
          <w:p>
            <w:pPr>
              <w:spacing w:after="0"/>
            </w:pPr>
            <w:r>
              <w:rPr>
                <w:sz w:val="15"/>
              </w:rPr>
              <w:t>1.093</w:t>
            </w:r>
          </w:p>
        </w:tc>
        <w:tc>
          <w:tcPr>
            <w:tcW w:type="dxa" w:w="1656"/>
          </w:tcPr>
          <w:p>
            <w:pPr>
              <w:spacing w:after="0"/>
            </w:pPr>
            <w:r>
              <w:rPr>
                <w:sz w:val="15"/>
              </w:rPr>
              <w:t>1.288</w:t>
            </w:r>
          </w:p>
        </w:tc>
        <w:tc>
          <w:tcPr>
            <w:tcW w:type="dxa" w:w="1656"/>
          </w:tcPr>
          <w:p>
            <w:pPr>
              <w:spacing w:after="0"/>
            </w:pPr>
            <w:r>
              <w:rPr>
                <w:sz w:val="15"/>
              </w:rPr>
              <w:t>3/30</w:t>
            </w:r>
          </w:p>
        </w:tc>
      </w:tr>
      <w:tr>
        <w:trPr>
          <w:cantSplit/>
        </w:trPr>
        <w:tc>
          <w:tcPr>
            <w:tcW w:type="dxa" w:w="1656"/>
          </w:tcPr>
          <w:p>
            <w:pPr>
              <w:spacing w:after="0"/>
            </w:pPr>
            <w:r>
              <w:rPr>
                <w:sz w:val="15"/>
              </w:rPr>
              <w:t>CLEAN</w:t>
            </w:r>
          </w:p>
        </w:tc>
        <w:tc>
          <w:tcPr>
            <w:tcW w:type="dxa" w:w="1656"/>
          </w:tcPr>
          <w:p>
            <w:pPr>
              <w:spacing w:after="0"/>
            </w:pPr>
            <w:r>
              <w:rPr>
                <w:sz w:val="15"/>
              </w:rPr>
              <w:t>0.700</w:t>
            </w:r>
          </w:p>
        </w:tc>
        <w:tc>
          <w:tcPr>
            <w:tcW w:type="dxa" w:w="1656"/>
          </w:tcPr>
          <w:p>
            <w:pPr>
              <w:spacing w:after="0"/>
            </w:pPr>
            <w:r>
              <w:rPr>
                <w:sz w:val="15"/>
              </w:rPr>
              <w:t>1.024</w:t>
            </w:r>
          </w:p>
        </w:tc>
        <w:tc>
          <w:tcPr>
            <w:tcW w:type="dxa" w:w="1656"/>
          </w:tcPr>
          <w:p>
            <w:pPr>
              <w:spacing w:after="0"/>
            </w:pPr>
            <w:r>
              <w:rPr>
                <w:sz w:val="15"/>
              </w:rPr>
              <w:t>1.041</w:t>
            </w:r>
          </w:p>
        </w:tc>
        <w:tc>
          <w:tcPr>
            <w:tcW w:type="dxa" w:w="1656"/>
          </w:tcPr>
          <w:p>
            <w:pPr>
              <w:spacing w:after="0"/>
            </w:pPr>
            <w:r>
              <w:rPr>
                <w:sz w:val="15"/>
              </w:rPr>
              <w:t>1.285</w:t>
            </w:r>
          </w:p>
        </w:tc>
        <w:tc>
          <w:tcPr>
            <w:tcW w:type="dxa" w:w="1656"/>
          </w:tcPr>
          <w:p>
            <w:pPr>
              <w:spacing w:after="0"/>
            </w:pPr>
            <w:r>
              <w:rPr>
                <w:sz w:val="15"/>
              </w:rPr>
              <w:t>3/30</w:t>
            </w:r>
          </w:p>
        </w:tc>
      </w:tr>
    </w:tbl>
    <w:p>
      <w:pPr>
        <w:spacing w:after="0"/>
      </w:pPr>
    </w:p>
    <w:p>
      <w:pPr>
        <w:pStyle w:val="Heading2"/>
      </w:pPr>
      <w:r>
        <w:t>Time-only CEBRA</w:t>
      </w:r>
    </w:p>
    <w:tbl>
      <w:tblPr>
        <w:tblStyle w:val="LightShading-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tcPr>
          <w:p>
            <w:r>
              <w:rPr>
                <w:b/>
                <w:color w:val="0F344E"/>
                <w:sz w:val="15"/>
              </w:rPr>
              <w:t>Arm</w:t>
            </w:r>
          </w:p>
        </w:tc>
        <w:tc>
          <w:tcPr>
            <w:tcW w:type="dxa" w:w="1656"/>
            <w:vAlign w:val="center"/>
          </w:tcPr>
          <w:p>
            <w:r>
              <w:rPr>
                <w:b/>
                <w:color w:val="0F344E"/>
                <w:sz w:val="15"/>
              </w:rPr>
              <w:t>Mean clean R²</w:t>
            </w:r>
          </w:p>
        </w:tc>
        <w:tc>
          <w:tcPr>
            <w:tcW w:type="dxa" w:w="1656"/>
            <w:vAlign w:val="center"/>
          </w:tcPr>
          <w:p>
            <w:r>
              <w:rPr>
                <w:b/>
                <w:color w:val="0F344E"/>
                <w:sz w:val="15"/>
              </w:rPr>
              <w:t>Mean ref</w:t>
            </w:r>
          </w:p>
        </w:tc>
        <w:tc>
          <w:tcPr>
            <w:tcW w:type="dxa" w:w="1656"/>
            <w:vAlign w:val="center"/>
          </w:tcPr>
          <w:p>
            <w:r>
              <w:rPr>
                <w:b/>
                <w:color w:val="0F344E"/>
                <w:sz w:val="15"/>
              </w:rPr>
              <w:t>Median ref</w:t>
            </w:r>
          </w:p>
        </w:tc>
        <w:tc>
          <w:tcPr>
            <w:tcW w:type="dxa" w:w="1656"/>
            <w:vAlign w:val="center"/>
          </w:tcPr>
          <w:p>
            <w:r>
              <w:rPr>
                <w:b/>
                <w:color w:val="0F344E"/>
                <w:sz w:val="15"/>
              </w:rPr>
              <w:t>Mean iso</w:t>
            </w:r>
          </w:p>
        </w:tc>
        <w:tc>
          <w:tcPr>
            <w:tcW w:type="dxa" w:w="1656"/>
            <w:vAlign w:val="center"/>
          </w:tcPr>
          <w:p>
            <w:r>
              <w:rPr>
                <w:b/>
                <w:color w:val="0F344E"/>
                <w:sz w:val="15"/>
              </w:rPr>
              <w:t>ref &lt;0.5</w:t>
            </w:r>
          </w:p>
        </w:tc>
      </w:tr>
      <w:tr>
        <w:trPr>
          <w:cantSplit/>
        </w:trPr>
        <w:tc>
          <w:tcPr>
            <w:tcW w:type="dxa" w:w="1656"/>
          </w:tcPr>
          <w:p>
            <w:pPr>
              <w:spacing w:after="0"/>
            </w:pPr>
            <w:r>
              <w:rPr>
                <w:sz w:val="15"/>
              </w:rPr>
              <w:t>DIFF/AUTO-SIG</w:t>
            </w:r>
          </w:p>
        </w:tc>
        <w:tc>
          <w:tcPr>
            <w:tcW w:type="dxa" w:w="1656"/>
          </w:tcPr>
          <w:p>
            <w:pPr>
              <w:spacing w:after="0"/>
            </w:pPr>
            <w:r>
              <w:rPr>
                <w:sz w:val="15"/>
              </w:rPr>
              <w:t>0.601</w:t>
            </w:r>
          </w:p>
        </w:tc>
        <w:tc>
          <w:tcPr>
            <w:tcW w:type="dxa" w:w="1656"/>
          </w:tcPr>
          <w:p>
            <w:pPr>
              <w:spacing w:after="0"/>
            </w:pPr>
            <w:r>
              <w:rPr>
                <w:sz w:val="15"/>
              </w:rPr>
              <w:t>1.725</w:t>
            </w:r>
          </w:p>
        </w:tc>
        <w:tc>
          <w:tcPr>
            <w:tcW w:type="dxa" w:w="1656"/>
          </w:tcPr>
          <w:p>
            <w:pPr>
              <w:spacing w:after="0"/>
            </w:pPr>
            <w:r>
              <w:rPr>
                <w:sz w:val="15"/>
              </w:rPr>
              <w:t>1.919</w:t>
            </w:r>
          </w:p>
        </w:tc>
        <w:tc>
          <w:tcPr>
            <w:tcW w:type="dxa" w:w="1656"/>
          </w:tcPr>
          <w:p>
            <w:pPr>
              <w:spacing w:after="0"/>
            </w:pPr>
            <w:r>
              <w:rPr>
                <w:sz w:val="15"/>
              </w:rPr>
              <w:t>2.307</w:t>
            </w:r>
          </w:p>
        </w:tc>
        <w:tc>
          <w:tcPr>
            <w:tcW w:type="dxa" w:w="1656"/>
          </w:tcPr>
          <w:p>
            <w:pPr>
              <w:spacing w:after="0"/>
            </w:pPr>
            <w:r>
              <w:rPr>
                <w:sz w:val="15"/>
              </w:rPr>
              <w:t>0/30</w:t>
            </w:r>
          </w:p>
        </w:tc>
      </w:tr>
      <w:tr>
        <w:trPr>
          <w:cantSplit/>
        </w:trPr>
        <w:tc>
          <w:tcPr>
            <w:tcW w:type="dxa" w:w="1656"/>
          </w:tcPr>
          <w:p>
            <w:pPr>
              <w:spacing w:after="0"/>
            </w:pPr>
            <w:r>
              <w:rPr>
                <w:sz w:val="15"/>
              </w:rPr>
              <w:t>DIFF8</w:t>
            </w:r>
          </w:p>
        </w:tc>
        <w:tc>
          <w:tcPr>
            <w:tcW w:type="dxa" w:w="1656"/>
          </w:tcPr>
          <w:p>
            <w:pPr>
              <w:spacing w:after="0"/>
            </w:pPr>
            <w:r>
              <w:rPr>
                <w:sz w:val="15"/>
              </w:rPr>
              <w:t>0.604</w:t>
            </w:r>
          </w:p>
        </w:tc>
        <w:tc>
          <w:tcPr>
            <w:tcW w:type="dxa" w:w="1656"/>
          </w:tcPr>
          <w:p>
            <w:pPr>
              <w:spacing w:after="0"/>
            </w:pPr>
            <w:r>
              <w:rPr>
                <w:sz w:val="15"/>
              </w:rPr>
              <w:t>1.739</w:t>
            </w:r>
          </w:p>
        </w:tc>
        <w:tc>
          <w:tcPr>
            <w:tcW w:type="dxa" w:w="1656"/>
          </w:tcPr>
          <w:p>
            <w:pPr>
              <w:spacing w:after="0"/>
            </w:pPr>
            <w:r>
              <w:rPr>
                <w:sz w:val="15"/>
              </w:rPr>
              <w:t>1.880</w:t>
            </w:r>
          </w:p>
        </w:tc>
        <w:tc>
          <w:tcPr>
            <w:tcW w:type="dxa" w:w="1656"/>
          </w:tcPr>
          <w:p>
            <w:pPr>
              <w:spacing w:after="0"/>
            </w:pPr>
            <w:r>
              <w:rPr>
                <w:sz w:val="15"/>
              </w:rPr>
              <w:t>2.315</w:t>
            </w:r>
          </w:p>
        </w:tc>
        <w:tc>
          <w:tcPr>
            <w:tcW w:type="dxa" w:w="1656"/>
          </w:tcPr>
          <w:p>
            <w:pPr>
              <w:spacing w:after="0"/>
            </w:pPr>
            <w:r>
              <w:rPr>
                <w:sz w:val="15"/>
              </w:rPr>
              <w:t>0/30</w:t>
            </w:r>
          </w:p>
        </w:tc>
      </w:tr>
      <w:tr>
        <w:trPr>
          <w:cantSplit/>
        </w:trPr>
        <w:tc>
          <w:tcPr>
            <w:tcW w:type="dxa" w:w="1656"/>
          </w:tcPr>
          <w:p>
            <w:pPr>
              <w:spacing w:after="0"/>
            </w:pPr>
            <w:r>
              <w:rPr>
                <w:sz w:val="15"/>
              </w:rPr>
              <w:t>SP/AUTO-SIG</w:t>
            </w:r>
          </w:p>
        </w:tc>
        <w:tc>
          <w:tcPr>
            <w:tcW w:type="dxa" w:w="1656"/>
          </w:tcPr>
          <w:p>
            <w:pPr>
              <w:spacing w:after="0"/>
            </w:pPr>
            <w:r>
              <w:rPr>
                <w:sz w:val="15"/>
              </w:rPr>
              <w:t>0.585</w:t>
            </w:r>
          </w:p>
        </w:tc>
        <w:tc>
          <w:tcPr>
            <w:tcW w:type="dxa" w:w="1656"/>
          </w:tcPr>
          <w:p>
            <w:pPr>
              <w:spacing w:after="0"/>
            </w:pPr>
            <w:r>
              <w:rPr>
                <w:sz w:val="15"/>
              </w:rPr>
              <w:t>1.698</w:t>
            </w:r>
          </w:p>
        </w:tc>
        <w:tc>
          <w:tcPr>
            <w:tcW w:type="dxa" w:w="1656"/>
          </w:tcPr>
          <w:p>
            <w:pPr>
              <w:spacing w:after="0"/>
            </w:pPr>
            <w:r>
              <w:rPr>
                <w:sz w:val="15"/>
              </w:rPr>
              <w:t>1.957</w:t>
            </w:r>
          </w:p>
        </w:tc>
        <w:tc>
          <w:tcPr>
            <w:tcW w:type="dxa" w:w="1656"/>
          </w:tcPr>
          <w:p>
            <w:pPr>
              <w:spacing w:after="0"/>
            </w:pPr>
            <w:r>
              <w:rPr>
                <w:sz w:val="15"/>
              </w:rPr>
              <w:t>1.747</w:t>
            </w:r>
          </w:p>
        </w:tc>
        <w:tc>
          <w:tcPr>
            <w:tcW w:type="dxa" w:w="1656"/>
          </w:tcPr>
          <w:p>
            <w:pPr>
              <w:spacing w:after="0"/>
            </w:pPr>
            <w:r>
              <w:rPr>
                <w:sz w:val="15"/>
              </w:rPr>
              <w:t>0/30</w:t>
            </w:r>
          </w:p>
        </w:tc>
      </w:tr>
      <w:tr>
        <w:trPr>
          <w:cantSplit/>
        </w:trPr>
        <w:tc>
          <w:tcPr>
            <w:tcW w:type="dxa" w:w="1656"/>
          </w:tcPr>
          <w:p>
            <w:pPr>
              <w:spacing w:after="0"/>
            </w:pPr>
            <w:r>
              <w:rPr>
                <w:sz w:val="15"/>
              </w:rPr>
              <w:t>POOL/SIG</w:t>
            </w:r>
          </w:p>
        </w:tc>
        <w:tc>
          <w:tcPr>
            <w:tcW w:type="dxa" w:w="1656"/>
          </w:tcPr>
          <w:p>
            <w:pPr>
              <w:spacing w:after="0"/>
            </w:pPr>
            <w:r>
              <w:rPr>
                <w:sz w:val="15"/>
              </w:rPr>
              <w:t>0.606</w:t>
            </w:r>
          </w:p>
        </w:tc>
        <w:tc>
          <w:tcPr>
            <w:tcW w:type="dxa" w:w="1656"/>
          </w:tcPr>
          <w:p>
            <w:pPr>
              <w:spacing w:after="0"/>
            </w:pPr>
            <w:r>
              <w:rPr>
                <w:sz w:val="15"/>
              </w:rPr>
              <w:t>1.729</w:t>
            </w:r>
          </w:p>
        </w:tc>
        <w:tc>
          <w:tcPr>
            <w:tcW w:type="dxa" w:w="1656"/>
          </w:tcPr>
          <w:p>
            <w:pPr>
              <w:spacing w:after="0"/>
            </w:pPr>
            <w:r>
              <w:rPr>
                <w:sz w:val="15"/>
              </w:rPr>
              <w:t>1.725</w:t>
            </w:r>
          </w:p>
        </w:tc>
        <w:tc>
          <w:tcPr>
            <w:tcW w:type="dxa" w:w="1656"/>
          </w:tcPr>
          <w:p>
            <w:pPr>
              <w:spacing w:after="0"/>
            </w:pPr>
            <w:r>
              <w:rPr>
                <w:sz w:val="15"/>
              </w:rPr>
              <w:t>2.981</w:t>
            </w:r>
          </w:p>
        </w:tc>
        <w:tc>
          <w:tcPr>
            <w:tcW w:type="dxa" w:w="1656"/>
          </w:tcPr>
          <w:p>
            <w:pPr>
              <w:spacing w:after="0"/>
            </w:pPr>
            <w:r>
              <w:rPr>
                <w:sz w:val="15"/>
              </w:rPr>
              <w:t>0/30</w:t>
            </w:r>
          </w:p>
        </w:tc>
      </w:tr>
      <w:tr>
        <w:trPr>
          <w:cantSplit/>
        </w:trPr>
        <w:tc>
          <w:tcPr>
            <w:tcW w:type="dxa" w:w="1656"/>
          </w:tcPr>
          <w:p>
            <w:pPr>
              <w:spacing w:after="0"/>
            </w:pPr>
            <w:r>
              <w:rPr>
                <w:sz w:val="15"/>
              </w:rPr>
              <w:t>PGD6</w:t>
            </w:r>
          </w:p>
        </w:tc>
        <w:tc>
          <w:tcPr>
            <w:tcW w:type="dxa" w:w="1656"/>
          </w:tcPr>
          <w:p>
            <w:pPr>
              <w:spacing w:after="0"/>
            </w:pPr>
            <w:r>
              <w:rPr>
                <w:sz w:val="15"/>
              </w:rPr>
              <w:t>0.603</w:t>
            </w:r>
          </w:p>
        </w:tc>
        <w:tc>
          <w:tcPr>
            <w:tcW w:type="dxa" w:w="1656"/>
          </w:tcPr>
          <w:p>
            <w:pPr>
              <w:spacing w:after="0"/>
            </w:pPr>
            <w:r>
              <w:rPr>
                <w:sz w:val="15"/>
              </w:rPr>
              <w:t>1.547</w:t>
            </w:r>
          </w:p>
        </w:tc>
        <w:tc>
          <w:tcPr>
            <w:tcW w:type="dxa" w:w="1656"/>
          </w:tcPr>
          <w:p>
            <w:pPr>
              <w:spacing w:after="0"/>
            </w:pPr>
            <w:r>
              <w:rPr>
                <w:sz w:val="15"/>
              </w:rPr>
              <w:t>1.414</w:t>
            </w:r>
          </w:p>
        </w:tc>
        <w:tc>
          <w:tcPr>
            <w:tcW w:type="dxa" w:w="1656"/>
          </w:tcPr>
          <w:p>
            <w:pPr>
              <w:spacing w:after="0"/>
            </w:pPr>
            <w:r>
              <w:rPr>
                <w:sz w:val="15"/>
              </w:rPr>
              <w:t>3.315</w:t>
            </w:r>
          </w:p>
        </w:tc>
        <w:tc>
          <w:tcPr>
            <w:tcW w:type="dxa" w:w="1656"/>
          </w:tcPr>
          <w:p>
            <w:pPr>
              <w:spacing w:after="0"/>
            </w:pPr>
            <w:r>
              <w:rPr>
                <w:sz w:val="15"/>
              </w:rPr>
              <w:t>0/30</w:t>
            </w:r>
          </w:p>
        </w:tc>
      </w:tr>
      <w:tr>
        <w:trPr>
          <w:cantSplit/>
        </w:trPr>
        <w:tc>
          <w:tcPr>
            <w:tcW w:type="dxa" w:w="1656"/>
          </w:tcPr>
          <w:p>
            <w:pPr>
              <w:spacing w:after="0"/>
            </w:pPr>
            <w:r>
              <w:rPr>
                <w:sz w:val="15"/>
              </w:rPr>
              <w:t>GAUSS</w:t>
            </w:r>
          </w:p>
        </w:tc>
        <w:tc>
          <w:tcPr>
            <w:tcW w:type="dxa" w:w="1656"/>
          </w:tcPr>
          <w:p>
            <w:pPr>
              <w:spacing w:after="0"/>
            </w:pPr>
            <w:r>
              <w:rPr>
                <w:sz w:val="15"/>
              </w:rPr>
              <w:t>0.603</w:t>
            </w:r>
          </w:p>
        </w:tc>
        <w:tc>
          <w:tcPr>
            <w:tcW w:type="dxa" w:w="1656"/>
          </w:tcPr>
          <w:p>
            <w:pPr>
              <w:spacing w:after="0"/>
            </w:pPr>
            <w:r>
              <w:rPr>
                <w:sz w:val="15"/>
              </w:rPr>
              <w:t>1.379</w:t>
            </w:r>
          </w:p>
        </w:tc>
        <w:tc>
          <w:tcPr>
            <w:tcW w:type="dxa" w:w="1656"/>
          </w:tcPr>
          <w:p>
            <w:pPr>
              <w:spacing w:after="0"/>
            </w:pPr>
            <w:r>
              <w:rPr>
                <w:sz w:val="15"/>
              </w:rPr>
              <w:t>1.424</w:t>
            </w:r>
          </w:p>
        </w:tc>
        <w:tc>
          <w:tcPr>
            <w:tcW w:type="dxa" w:w="1656"/>
          </w:tcPr>
          <w:p>
            <w:pPr>
              <w:spacing w:after="0"/>
            </w:pPr>
            <w:r>
              <w:rPr>
                <w:sz w:val="15"/>
              </w:rPr>
              <w:t>2.158</w:t>
            </w:r>
          </w:p>
        </w:tc>
        <w:tc>
          <w:tcPr>
            <w:tcW w:type="dxa" w:w="1656"/>
          </w:tcPr>
          <w:p>
            <w:pPr>
              <w:spacing w:after="0"/>
            </w:pPr>
            <w:r>
              <w:rPr>
                <w:sz w:val="15"/>
              </w:rPr>
              <w:t>0/30</w:t>
            </w:r>
          </w:p>
        </w:tc>
      </w:tr>
      <w:tr>
        <w:trPr>
          <w:cantSplit/>
        </w:trPr>
        <w:tc>
          <w:tcPr>
            <w:tcW w:type="dxa" w:w="1656"/>
          </w:tcPr>
          <w:p>
            <w:pPr>
              <w:spacing w:after="0"/>
            </w:pPr>
            <w:r>
              <w:rPr>
                <w:sz w:val="15"/>
              </w:rPr>
              <w:t>RAND8</w:t>
            </w:r>
          </w:p>
        </w:tc>
        <w:tc>
          <w:tcPr>
            <w:tcW w:type="dxa" w:w="1656"/>
          </w:tcPr>
          <w:p>
            <w:pPr>
              <w:spacing w:after="0"/>
            </w:pPr>
            <w:r>
              <w:rPr>
                <w:sz w:val="15"/>
              </w:rPr>
              <w:t>0.444</w:t>
            </w:r>
          </w:p>
        </w:tc>
        <w:tc>
          <w:tcPr>
            <w:tcW w:type="dxa" w:w="1656"/>
          </w:tcPr>
          <w:p>
            <w:pPr>
              <w:spacing w:after="0"/>
            </w:pPr>
            <w:r>
              <w:rPr>
                <w:sz w:val="15"/>
              </w:rPr>
              <w:t>0.499</w:t>
            </w:r>
          </w:p>
        </w:tc>
        <w:tc>
          <w:tcPr>
            <w:tcW w:type="dxa" w:w="1656"/>
          </w:tcPr>
          <w:p>
            <w:pPr>
              <w:spacing w:after="0"/>
            </w:pPr>
            <w:r>
              <w:rPr>
                <w:sz w:val="15"/>
              </w:rPr>
              <w:t>0.516</w:t>
            </w:r>
          </w:p>
        </w:tc>
        <w:tc>
          <w:tcPr>
            <w:tcW w:type="dxa" w:w="1656"/>
          </w:tcPr>
          <w:p>
            <w:pPr>
              <w:spacing w:after="0"/>
            </w:pPr>
            <w:r>
              <w:rPr>
                <w:sz w:val="15"/>
              </w:rPr>
              <w:t>0.691</w:t>
            </w:r>
          </w:p>
        </w:tc>
        <w:tc>
          <w:tcPr>
            <w:tcW w:type="dxa" w:w="1656"/>
          </w:tcPr>
          <w:p>
            <w:pPr>
              <w:spacing w:after="0"/>
            </w:pPr>
            <w:r>
              <w:rPr>
                <w:sz w:val="15"/>
              </w:rPr>
              <w:t>15/30</w:t>
            </w:r>
          </w:p>
        </w:tc>
      </w:tr>
      <w:tr>
        <w:trPr>
          <w:cantSplit/>
        </w:trPr>
        <w:tc>
          <w:tcPr>
            <w:tcW w:type="dxa" w:w="1656"/>
          </w:tcPr>
          <w:p>
            <w:pPr>
              <w:spacing w:after="0"/>
            </w:pPr>
            <w:r>
              <w:rPr>
                <w:sz w:val="15"/>
              </w:rPr>
              <w:t>CLEAN</w:t>
            </w:r>
          </w:p>
        </w:tc>
        <w:tc>
          <w:tcPr>
            <w:tcW w:type="dxa" w:w="1656"/>
          </w:tcPr>
          <w:p>
            <w:pPr>
              <w:spacing w:after="0"/>
            </w:pPr>
            <w:r>
              <w:rPr>
                <w:sz w:val="15"/>
              </w:rPr>
              <w:t>0.438</w:t>
            </w:r>
          </w:p>
        </w:tc>
        <w:tc>
          <w:tcPr>
            <w:tcW w:type="dxa" w:w="1656"/>
          </w:tcPr>
          <w:p>
            <w:pPr>
              <w:spacing w:after="0"/>
            </w:pPr>
            <w:r>
              <w:rPr>
                <w:sz w:val="15"/>
              </w:rPr>
              <w:t>0.475</w:t>
            </w:r>
          </w:p>
        </w:tc>
        <w:tc>
          <w:tcPr>
            <w:tcW w:type="dxa" w:w="1656"/>
          </w:tcPr>
          <w:p>
            <w:pPr>
              <w:spacing w:after="0"/>
            </w:pPr>
            <w:r>
              <w:rPr>
                <w:sz w:val="15"/>
              </w:rPr>
              <w:t>0.500</w:t>
            </w:r>
          </w:p>
        </w:tc>
        <w:tc>
          <w:tcPr>
            <w:tcW w:type="dxa" w:w="1656"/>
          </w:tcPr>
          <w:p>
            <w:pPr>
              <w:spacing w:after="0"/>
            </w:pPr>
            <w:r>
              <w:rPr>
                <w:sz w:val="15"/>
              </w:rPr>
              <w:t>0.634</w:t>
            </w:r>
          </w:p>
        </w:tc>
        <w:tc>
          <w:tcPr>
            <w:tcW w:type="dxa" w:w="1656"/>
          </w:tcPr>
          <w:p>
            <w:pPr>
              <w:spacing w:after="0"/>
            </w:pPr>
            <w:r>
              <w:rPr>
                <w:sz w:val="15"/>
              </w:rPr>
              <w:t>15/30</w:t>
            </w:r>
          </w:p>
        </w:tc>
      </w:tr>
    </w:tbl>
    <w:p>
      <w:pPr>
        <w:spacing w:after="0"/>
      </w:pPr>
    </w:p>
    <w:p>
      <w:r>
        <w:t>The observed values retain the geometry distinction: conventional PGD6 can have a higher isotropic threshold than DIFF8 despite lower robustness in the reference noise metric. No cross-metric scalar ranking is claimed.</w:t>
      </w:r>
    </w:p>
    <w:p>
      <w:pPr>
        <w:spacing w:after="0"/>
        <w:jc w:val="center"/>
      </w:pPr>
      <w:r>
        <w:drawing>
          <wp:inline xmlns:a="http://schemas.openxmlformats.org/drawingml/2006/main" xmlns:pic="http://schemas.openxmlformats.org/drawingml/2006/picture">
            <wp:extent cx="6035040" cy="2360851"/>
            <wp:docPr id="1" name="Picture 1"/>
            <wp:cNvGraphicFramePr>
              <a:graphicFrameLocks noChangeAspect="1"/>
            </wp:cNvGraphicFramePr>
            <a:graphic>
              <a:graphicData uri="http://schemas.openxmlformats.org/drawingml/2006/picture">
                <pic:pic>
                  <pic:nvPicPr>
                    <pic:cNvPr id="0" name="methods.png"/>
                    <pic:cNvPicPr/>
                  </pic:nvPicPr>
                  <pic:blipFill>
                    <a:blip r:embed="rId11"/>
                    <a:stretch>
                      <a:fillRect/>
                    </a:stretch>
                  </pic:blipFill>
                  <pic:spPr>
                    <a:xfrm>
                      <a:off x="0" y="0"/>
                      <a:ext cx="6035040" cy="2360851"/>
                    </a:xfrm>
                    <a:prstGeom prst="rect"/>
                  </pic:spPr>
                </pic:pic>
              </a:graphicData>
            </a:graphic>
          </wp:inline>
        </w:drawing>
      </w:r>
    </w:p>
    <w:p>
      <w:pPr>
        <w:pStyle w:val="Caption"/>
        <w:jc w:val="center"/>
      </w:pPr>
      <w:r>
        <w:t>Figure 1. Across matched modes, GAUSS lies between CLEAN/RAND8 and DIFF8/AUTO for mean reference-metric robustness.</w:t>
      </w:r>
    </w:p>
    <w:p>
      <w:r>
        <w:br w:type="page"/>
      </w:r>
    </w:p>
    <w:p>
      <w:pPr>
        <w:pStyle w:val="Heading1"/>
      </w:pPr>
      <w:r>
        <w:t>4. Paired comparisons and uncertainty</w:t>
      </w:r>
    </w:p>
    <w:p>
      <w:r>
        <w:t>Table 3 reports median ratios of the 30 session/seed-matched refined reference thresholds, not ratios of group means. Bootstrap CIs account for the three seeds belonging to the same recording. For GAUSS and the adversarial methods, the confidence intervals describe between-session variation in this set of recordings; the dataset is not an independent external replication.</w:t>
      </w:r>
    </w:p>
    <w:p>
      <w:pPr>
        <w:pStyle w:val="Heading2"/>
      </w:pPr>
      <w:r>
        <w:t>Supervised (30 matched model pairs per comparison)</w:t>
      </w:r>
    </w:p>
    <w:tbl>
      <w:tblPr>
        <w:tblStyle w:val="LightShading-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tcPr>
          <w:p>
            <w:r>
              <w:rPr>
                <w:b/>
                <w:color w:val="0F344E"/>
                <w:sz w:val="15"/>
              </w:rPr>
              <w:t>Comparison (A / B)</w:t>
            </w:r>
          </w:p>
        </w:tc>
        <w:tc>
          <w:tcPr>
            <w:tcW w:type="dxa" w:w="1656"/>
            <w:vAlign w:val="center"/>
          </w:tcPr>
          <w:p>
            <w:r>
              <w:rPr>
                <w:b/>
                <w:color w:val="0F344E"/>
                <w:sz w:val="15"/>
              </w:rPr>
              <w:t>Median ratio</w:t>
            </w:r>
          </w:p>
        </w:tc>
        <w:tc>
          <w:tcPr>
            <w:tcW w:type="dxa" w:w="1656"/>
            <w:vAlign w:val="center"/>
          </w:tcPr>
          <w:p>
            <w:r>
              <w:rPr>
                <w:b/>
                <w:color w:val="0F344E"/>
                <w:sz w:val="15"/>
              </w:rPr>
              <w:t>95% session CI</w:t>
            </w:r>
          </w:p>
        </w:tc>
        <w:tc>
          <w:tcPr>
            <w:tcW w:type="dxa" w:w="1656"/>
            <w:vAlign w:val="center"/>
          </w:tcPr>
          <w:p>
            <w:r>
              <w:rPr>
                <w:b/>
                <w:color w:val="0F344E"/>
                <w:sz w:val="15"/>
              </w:rPr>
              <w:t>Run wins</w:t>
            </w:r>
          </w:p>
        </w:tc>
        <w:tc>
          <w:tcPr>
            <w:tcW w:type="dxa" w:w="1656"/>
            <w:vAlign w:val="center"/>
          </w:tcPr>
          <w:p>
            <w:r>
              <w:rPr>
                <w:b/>
                <w:color w:val="0F344E"/>
                <w:sz w:val="15"/>
              </w:rPr>
              <w:t>Session wins</w:t>
            </w:r>
          </w:p>
        </w:tc>
        <w:tc>
          <w:tcPr>
            <w:tcW w:type="dxa" w:w="1656"/>
            <w:vAlign w:val="center"/>
          </w:tcPr>
          <w:p>
            <w:r>
              <w:rPr>
                <w:b/>
                <w:color w:val="0F344E"/>
                <w:sz w:val="15"/>
              </w:rPr>
              <w:t>Delta clean R² (A-B)</w:t>
            </w:r>
          </w:p>
        </w:tc>
      </w:tr>
      <w:tr>
        <w:trPr>
          <w:cantSplit/>
        </w:trPr>
        <w:tc>
          <w:tcPr>
            <w:tcW w:type="dxa" w:w="1656"/>
          </w:tcPr>
          <w:p>
            <w:pPr>
              <w:spacing w:after="0"/>
            </w:pPr>
            <w:r>
              <w:rPr>
                <w:sz w:val="15"/>
              </w:rPr>
              <w:t>GAUSS vs CLEAN</w:t>
            </w:r>
          </w:p>
        </w:tc>
        <w:tc>
          <w:tcPr>
            <w:tcW w:type="dxa" w:w="1656"/>
          </w:tcPr>
          <w:p>
            <w:pPr>
              <w:spacing w:after="0"/>
            </w:pPr>
            <w:r>
              <w:rPr>
                <w:sz w:val="15"/>
              </w:rPr>
              <w:t>1.330</w:t>
            </w:r>
          </w:p>
        </w:tc>
        <w:tc>
          <w:tcPr>
            <w:tcW w:type="dxa" w:w="1656"/>
          </w:tcPr>
          <w:p>
            <w:pPr>
              <w:spacing w:after="0"/>
            </w:pPr>
            <w:r>
              <w:rPr>
                <w:sz w:val="15"/>
              </w:rPr>
              <w:t>1.293-1.471</w:t>
            </w:r>
          </w:p>
        </w:tc>
        <w:tc>
          <w:tcPr>
            <w:tcW w:type="dxa" w:w="1656"/>
          </w:tcPr>
          <w:p>
            <w:pPr>
              <w:spacing w:after="0"/>
            </w:pPr>
            <w:r>
              <w:rPr>
                <w:sz w:val="15"/>
              </w:rPr>
              <w:t>30/30</w:t>
            </w:r>
          </w:p>
        </w:tc>
        <w:tc>
          <w:tcPr>
            <w:tcW w:type="dxa" w:w="1656"/>
          </w:tcPr>
          <w:p>
            <w:pPr>
              <w:spacing w:after="0"/>
            </w:pPr>
            <w:r>
              <w:rPr>
                <w:sz w:val="15"/>
              </w:rPr>
              <w:t>10/10</w:t>
            </w:r>
          </w:p>
        </w:tc>
        <w:tc>
          <w:tcPr>
            <w:tcW w:type="dxa" w:w="1656"/>
          </w:tcPr>
          <w:p>
            <w:pPr>
              <w:spacing w:after="0"/>
            </w:pPr>
            <w:r>
              <w:rPr>
                <w:sz w:val="15"/>
              </w:rPr>
              <w:t>+0.021</w:t>
            </w:r>
          </w:p>
        </w:tc>
      </w:tr>
      <w:tr>
        <w:trPr>
          <w:cantSplit/>
        </w:trPr>
        <w:tc>
          <w:tcPr>
            <w:tcW w:type="dxa" w:w="1656"/>
          </w:tcPr>
          <w:p>
            <w:pPr>
              <w:spacing w:after="0"/>
            </w:pPr>
            <w:r>
              <w:rPr>
                <w:sz w:val="15"/>
              </w:rPr>
              <w:t>DIFF8 vs GAUSS</w:t>
            </w:r>
          </w:p>
        </w:tc>
        <w:tc>
          <w:tcPr>
            <w:tcW w:type="dxa" w:w="1656"/>
          </w:tcPr>
          <w:p>
            <w:pPr>
              <w:spacing w:after="0"/>
            </w:pPr>
            <w:r>
              <w:rPr>
                <w:sz w:val="15"/>
              </w:rPr>
              <w:t>1.344</w:t>
            </w:r>
          </w:p>
        </w:tc>
        <w:tc>
          <w:tcPr>
            <w:tcW w:type="dxa" w:w="1656"/>
          </w:tcPr>
          <w:p>
            <w:pPr>
              <w:spacing w:after="0"/>
            </w:pPr>
            <w:r>
              <w:rPr>
                <w:sz w:val="15"/>
              </w:rPr>
              <w:t>1.216-1.515</w:t>
            </w:r>
          </w:p>
        </w:tc>
        <w:tc>
          <w:tcPr>
            <w:tcW w:type="dxa" w:w="1656"/>
          </w:tcPr>
          <w:p>
            <w:pPr>
              <w:spacing w:after="0"/>
            </w:pPr>
            <w:r>
              <w:rPr>
                <w:sz w:val="15"/>
              </w:rPr>
              <w:t>27/30</w:t>
            </w:r>
          </w:p>
        </w:tc>
        <w:tc>
          <w:tcPr>
            <w:tcW w:type="dxa" w:w="1656"/>
          </w:tcPr>
          <w:p>
            <w:pPr>
              <w:spacing w:after="0"/>
            </w:pPr>
            <w:r>
              <w:rPr>
                <w:sz w:val="15"/>
              </w:rPr>
              <w:t>9/10</w:t>
            </w:r>
          </w:p>
        </w:tc>
        <w:tc>
          <w:tcPr>
            <w:tcW w:type="dxa" w:w="1656"/>
          </w:tcPr>
          <w:p>
            <w:pPr>
              <w:spacing w:after="0"/>
            </w:pPr>
            <w:r>
              <w:rPr>
                <w:sz w:val="15"/>
              </w:rPr>
              <w:t>-0.017</w:t>
            </w:r>
          </w:p>
        </w:tc>
      </w:tr>
      <w:tr>
        <w:trPr>
          <w:cantSplit/>
        </w:trPr>
        <w:tc>
          <w:tcPr>
            <w:tcW w:type="dxa" w:w="1656"/>
          </w:tcPr>
          <w:p>
            <w:pPr>
              <w:spacing w:after="0"/>
            </w:pPr>
            <w:r>
              <w:rPr>
                <w:sz w:val="15"/>
              </w:rPr>
              <w:t>AUTO-BEH vs GAUSS</w:t>
            </w:r>
          </w:p>
        </w:tc>
        <w:tc>
          <w:tcPr>
            <w:tcW w:type="dxa" w:w="1656"/>
          </w:tcPr>
          <w:p>
            <w:pPr>
              <w:spacing w:after="0"/>
            </w:pPr>
            <w:r>
              <w:rPr>
                <w:sz w:val="15"/>
              </w:rPr>
              <w:t>1.319</w:t>
            </w:r>
          </w:p>
        </w:tc>
        <w:tc>
          <w:tcPr>
            <w:tcW w:type="dxa" w:w="1656"/>
          </w:tcPr>
          <w:p>
            <w:pPr>
              <w:spacing w:after="0"/>
            </w:pPr>
            <w:r>
              <w:rPr>
                <w:sz w:val="15"/>
              </w:rPr>
              <w:t>1.244-1.444</w:t>
            </w:r>
          </w:p>
        </w:tc>
        <w:tc>
          <w:tcPr>
            <w:tcW w:type="dxa" w:w="1656"/>
          </w:tcPr>
          <w:p>
            <w:pPr>
              <w:spacing w:after="0"/>
            </w:pPr>
            <w:r>
              <w:rPr>
                <w:sz w:val="15"/>
              </w:rPr>
              <w:t>30/30</w:t>
            </w:r>
          </w:p>
        </w:tc>
        <w:tc>
          <w:tcPr>
            <w:tcW w:type="dxa" w:w="1656"/>
          </w:tcPr>
          <w:p>
            <w:pPr>
              <w:spacing w:after="0"/>
            </w:pPr>
            <w:r>
              <w:rPr>
                <w:sz w:val="15"/>
              </w:rPr>
              <w:t>10/10</w:t>
            </w:r>
          </w:p>
        </w:tc>
        <w:tc>
          <w:tcPr>
            <w:tcW w:type="dxa" w:w="1656"/>
          </w:tcPr>
          <w:p>
            <w:pPr>
              <w:spacing w:after="0"/>
            </w:pPr>
            <w:r>
              <w:rPr>
                <w:sz w:val="15"/>
              </w:rPr>
              <w:t>-0.019</w:t>
            </w:r>
          </w:p>
        </w:tc>
      </w:tr>
      <w:tr>
        <w:trPr>
          <w:cantSplit/>
        </w:trPr>
        <w:tc>
          <w:tcPr>
            <w:tcW w:type="dxa" w:w="1656"/>
          </w:tcPr>
          <w:p>
            <w:pPr>
              <w:spacing w:after="0"/>
            </w:pPr>
            <w:r>
              <w:rPr>
                <w:sz w:val="15"/>
              </w:rPr>
              <w:t>GAUSS vs RAND8</w:t>
            </w:r>
          </w:p>
        </w:tc>
        <w:tc>
          <w:tcPr>
            <w:tcW w:type="dxa" w:w="1656"/>
          </w:tcPr>
          <w:p>
            <w:pPr>
              <w:spacing w:after="0"/>
            </w:pPr>
            <w:r>
              <w:rPr>
                <w:sz w:val="15"/>
              </w:rPr>
              <w:t>1.299</w:t>
            </w:r>
          </w:p>
        </w:tc>
        <w:tc>
          <w:tcPr>
            <w:tcW w:type="dxa" w:w="1656"/>
          </w:tcPr>
          <w:p>
            <w:pPr>
              <w:spacing w:after="0"/>
            </w:pPr>
            <w:r>
              <w:rPr>
                <w:sz w:val="15"/>
              </w:rPr>
              <w:t>1.250-1.396</w:t>
            </w:r>
          </w:p>
        </w:tc>
        <w:tc>
          <w:tcPr>
            <w:tcW w:type="dxa" w:w="1656"/>
          </w:tcPr>
          <w:p>
            <w:pPr>
              <w:spacing w:after="0"/>
            </w:pPr>
            <w:r>
              <w:rPr>
                <w:sz w:val="15"/>
              </w:rPr>
              <w:t>30/30</w:t>
            </w:r>
          </w:p>
        </w:tc>
        <w:tc>
          <w:tcPr>
            <w:tcW w:type="dxa" w:w="1656"/>
          </w:tcPr>
          <w:p>
            <w:pPr>
              <w:spacing w:after="0"/>
            </w:pPr>
            <w:r>
              <w:rPr>
                <w:sz w:val="15"/>
              </w:rPr>
              <w:t>10/10</w:t>
            </w:r>
          </w:p>
        </w:tc>
        <w:tc>
          <w:tcPr>
            <w:tcW w:type="dxa" w:w="1656"/>
          </w:tcPr>
          <w:p>
            <w:pPr>
              <w:spacing w:after="0"/>
            </w:pPr>
            <w:r>
              <w:rPr>
                <w:sz w:val="15"/>
              </w:rPr>
              <w:t>+0.017</w:t>
            </w:r>
          </w:p>
        </w:tc>
      </w:tr>
      <w:tr>
        <w:trPr>
          <w:cantSplit/>
        </w:trPr>
        <w:tc>
          <w:tcPr>
            <w:tcW w:type="dxa" w:w="1656"/>
          </w:tcPr>
          <w:p>
            <w:pPr>
              <w:spacing w:after="0"/>
            </w:pPr>
            <w:r>
              <w:rPr>
                <w:sz w:val="15"/>
              </w:rPr>
              <w:t>GAUSS vs PGD6</w:t>
            </w:r>
          </w:p>
        </w:tc>
        <w:tc>
          <w:tcPr>
            <w:tcW w:type="dxa" w:w="1656"/>
          </w:tcPr>
          <w:p>
            <w:pPr>
              <w:spacing w:after="0"/>
            </w:pPr>
            <w:r>
              <w:rPr>
                <w:sz w:val="15"/>
              </w:rPr>
              <w:t>0.839</w:t>
            </w:r>
          </w:p>
        </w:tc>
        <w:tc>
          <w:tcPr>
            <w:tcW w:type="dxa" w:w="1656"/>
          </w:tcPr>
          <w:p>
            <w:pPr>
              <w:spacing w:after="0"/>
            </w:pPr>
            <w:r>
              <w:rPr>
                <w:sz w:val="15"/>
              </w:rPr>
              <w:t>0.789-1.085</w:t>
            </w:r>
          </w:p>
        </w:tc>
        <w:tc>
          <w:tcPr>
            <w:tcW w:type="dxa" w:w="1656"/>
          </w:tcPr>
          <w:p>
            <w:pPr>
              <w:spacing w:after="0"/>
            </w:pPr>
            <w:r>
              <w:rPr>
                <w:sz w:val="15"/>
              </w:rPr>
              <w:t>6/30</w:t>
            </w:r>
          </w:p>
        </w:tc>
        <w:tc>
          <w:tcPr>
            <w:tcW w:type="dxa" w:w="1656"/>
          </w:tcPr>
          <w:p>
            <w:pPr>
              <w:spacing w:after="0"/>
            </w:pPr>
            <w:r>
              <w:rPr>
                <w:sz w:val="15"/>
              </w:rPr>
              <w:t>2/10</w:t>
            </w:r>
          </w:p>
        </w:tc>
        <w:tc>
          <w:tcPr>
            <w:tcW w:type="dxa" w:w="1656"/>
          </w:tcPr>
          <w:p>
            <w:pPr>
              <w:spacing w:after="0"/>
            </w:pPr>
            <w:r>
              <w:rPr>
                <w:sz w:val="15"/>
              </w:rPr>
              <w:t>+0.019</w:t>
            </w:r>
          </w:p>
        </w:tc>
      </w:tr>
    </w:tbl>
    <w:p>
      <w:pPr>
        <w:spacing w:after="0"/>
      </w:pPr>
    </w:p>
    <w:p>
      <w:pPr>
        <w:pStyle w:val="Heading2"/>
      </w:pPr>
      <w:r>
        <w:t>Time-only (30 matched model pairs per comparison)</w:t>
      </w:r>
    </w:p>
    <w:tbl>
      <w:tblPr>
        <w:tblStyle w:val="LightShading-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tcPr>
          <w:p>
            <w:r>
              <w:rPr>
                <w:b/>
                <w:color w:val="0F344E"/>
                <w:sz w:val="15"/>
              </w:rPr>
              <w:t>Comparison (A / B)</w:t>
            </w:r>
          </w:p>
        </w:tc>
        <w:tc>
          <w:tcPr>
            <w:tcW w:type="dxa" w:w="1656"/>
            <w:vAlign w:val="center"/>
          </w:tcPr>
          <w:p>
            <w:r>
              <w:rPr>
                <w:b/>
                <w:color w:val="0F344E"/>
                <w:sz w:val="15"/>
              </w:rPr>
              <w:t>Median ratio</w:t>
            </w:r>
          </w:p>
        </w:tc>
        <w:tc>
          <w:tcPr>
            <w:tcW w:type="dxa" w:w="1656"/>
            <w:vAlign w:val="center"/>
          </w:tcPr>
          <w:p>
            <w:r>
              <w:rPr>
                <w:b/>
                <w:color w:val="0F344E"/>
                <w:sz w:val="15"/>
              </w:rPr>
              <w:t>95% session CI</w:t>
            </w:r>
          </w:p>
        </w:tc>
        <w:tc>
          <w:tcPr>
            <w:tcW w:type="dxa" w:w="1656"/>
            <w:vAlign w:val="center"/>
          </w:tcPr>
          <w:p>
            <w:r>
              <w:rPr>
                <w:b/>
                <w:color w:val="0F344E"/>
                <w:sz w:val="15"/>
              </w:rPr>
              <w:t>Run wins</w:t>
            </w:r>
          </w:p>
        </w:tc>
        <w:tc>
          <w:tcPr>
            <w:tcW w:type="dxa" w:w="1656"/>
            <w:vAlign w:val="center"/>
          </w:tcPr>
          <w:p>
            <w:r>
              <w:rPr>
                <w:b/>
                <w:color w:val="0F344E"/>
                <w:sz w:val="15"/>
              </w:rPr>
              <w:t>Session wins</w:t>
            </w:r>
          </w:p>
        </w:tc>
        <w:tc>
          <w:tcPr>
            <w:tcW w:type="dxa" w:w="1656"/>
            <w:vAlign w:val="center"/>
          </w:tcPr>
          <w:p>
            <w:r>
              <w:rPr>
                <w:b/>
                <w:color w:val="0F344E"/>
                <w:sz w:val="15"/>
              </w:rPr>
              <w:t>Delta clean R² (A-B)</w:t>
            </w:r>
          </w:p>
        </w:tc>
      </w:tr>
      <w:tr>
        <w:trPr>
          <w:cantSplit/>
        </w:trPr>
        <w:tc>
          <w:tcPr>
            <w:tcW w:type="dxa" w:w="1656"/>
          </w:tcPr>
          <w:p>
            <w:pPr>
              <w:spacing w:after="0"/>
            </w:pPr>
            <w:r>
              <w:rPr>
                <w:sz w:val="15"/>
              </w:rPr>
              <w:t>GAUSS vs CLEAN</w:t>
            </w:r>
          </w:p>
        </w:tc>
        <w:tc>
          <w:tcPr>
            <w:tcW w:type="dxa" w:w="1656"/>
          </w:tcPr>
          <w:p>
            <w:pPr>
              <w:spacing w:after="0"/>
            </w:pPr>
            <w:r>
              <w:rPr>
                <w:sz w:val="15"/>
              </w:rPr>
              <w:t>2.936</w:t>
            </w:r>
          </w:p>
        </w:tc>
        <w:tc>
          <w:tcPr>
            <w:tcW w:type="dxa" w:w="1656"/>
          </w:tcPr>
          <w:p>
            <w:pPr>
              <w:spacing w:after="0"/>
            </w:pPr>
            <w:r>
              <w:rPr>
                <w:sz w:val="15"/>
              </w:rPr>
              <w:t>2.523-3.293</w:t>
            </w:r>
          </w:p>
        </w:tc>
        <w:tc>
          <w:tcPr>
            <w:tcW w:type="dxa" w:w="1656"/>
          </w:tcPr>
          <w:p>
            <w:pPr>
              <w:spacing w:after="0"/>
            </w:pPr>
            <w:r>
              <w:rPr>
                <w:sz w:val="15"/>
              </w:rPr>
              <w:t>30/30</w:t>
            </w:r>
          </w:p>
        </w:tc>
        <w:tc>
          <w:tcPr>
            <w:tcW w:type="dxa" w:w="1656"/>
          </w:tcPr>
          <w:p>
            <w:pPr>
              <w:spacing w:after="0"/>
            </w:pPr>
            <w:r>
              <w:rPr>
                <w:sz w:val="15"/>
              </w:rPr>
              <w:t>10/10</w:t>
            </w:r>
          </w:p>
        </w:tc>
        <w:tc>
          <w:tcPr>
            <w:tcW w:type="dxa" w:w="1656"/>
          </w:tcPr>
          <w:p>
            <w:pPr>
              <w:spacing w:after="0"/>
            </w:pPr>
            <w:r>
              <w:rPr>
                <w:sz w:val="15"/>
              </w:rPr>
              <w:t>+0.166</w:t>
            </w:r>
          </w:p>
        </w:tc>
      </w:tr>
      <w:tr>
        <w:trPr>
          <w:cantSplit/>
        </w:trPr>
        <w:tc>
          <w:tcPr>
            <w:tcW w:type="dxa" w:w="1656"/>
          </w:tcPr>
          <w:p>
            <w:pPr>
              <w:spacing w:after="0"/>
            </w:pPr>
            <w:r>
              <w:rPr>
                <w:sz w:val="15"/>
              </w:rPr>
              <w:t>DIFF8 vs GAUSS</w:t>
            </w:r>
          </w:p>
        </w:tc>
        <w:tc>
          <w:tcPr>
            <w:tcW w:type="dxa" w:w="1656"/>
          </w:tcPr>
          <w:p>
            <w:pPr>
              <w:spacing w:after="0"/>
            </w:pPr>
            <w:r>
              <w:rPr>
                <w:sz w:val="15"/>
              </w:rPr>
              <w:t>1.228</w:t>
            </w:r>
          </w:p>
        </w:tc>
        <w:tc>
          <w:tcPr>
            <w:tcW w:type="dxa" w:w="1656"/>
          </w:tcPr>
          <w:p>
            <w:pPr>
              <w:spacing w:after="0"/>
            </w:pPr>
            <w:r>
              <w:rPr>
                <w:sz w:val="15"/>
              </w:rPr>
              <w:t>1.154-1.354</w:t>
            </w:r>
          </w:p>
        </w:tc>
        <w:tc>
          <w:tcPr>
            <w:tcW w:type="dxa" w:w="1656"/>
          </w:tcPr>
          <w:p>
            <w:pPr>
              <w:spacing w:after="0"/>
            </w:pPr>
            <w:r>
              <w:rPr>
                <w:sz w:val="15"/>
              </w:rPr>
              <w:t>29/30</w:t>
            </w:r>
          </w:p>
        </w:tc>
        <w:tc>
          <w:tcPr>
            <w:tcW w:type="dxa" w:w="1656"/>
          </w:tcPr>
          <w:p>
            <w:pPr>
              <w:spacing w:after="0"/>
            </w:pPr>
            <w:r>
              <w:rPr>
                <w:sz w:val="15"/>
              </w:rPr>
              <w:t>10/10</w:t>
            </w:r>
          </w:p>
        </w:tc>
        <w:tc>
          <w:tcPr>
            <w:tcW w:type="dxa" w:w="1656"/>
          </w:tcPr>
          <w:p>
            <w:pPr>
              <w:spacing w:after="0"/>
            </w:pPr>
            <w:r>
              <w:rPr>
                <w:sz w:val="15"/>
              </w:rPr>
              <w:t>+0.000</w:t>
            </w:r>
          </w:p>
        </w:tc>
      </w:tr>
      <w:tr>
        <w:trPr>
          <w:cantSplit/>
        </w:trPr>
        <w:tc>
          <w:tcPr>
            <w:tcW w:type="dxa" w:w="1656"/>
          </w:tcPr>
          <w:p>
            <w:pPr>
              <w:spacing w:after="0"/>
            </w:pPr>
            <w:r>
              <w:rPr>
                <w:sz w:val="15"/>
              </w:rPr>
              <w:t>AUTO-SIG vs GAUSS</w:t>
            </w:r>
          </w:p>
        </w:tc>
        <w:tc>
          <w:tcPr>
            <w:tcW w:type="dxa" w:w="1656"/>
          </w:tcPr>
          <w:p>
            <w:pPr>
              <w:spacing w:after="0"/>
            </w:pPr>
            <w:r>
              <w:rPr>
                <w:sz w:val="15"/>
              </w:rPr>
              <w:t>1.206</w:t>
            </w:r>
          </w:p>
        </w:tc>
        <w:tc>
          <w:tcPr>
            <w:tcW w:type="dxa" w:w="1656"/>
          </w:tcPr>
          <w:p>
            <w:pPr>
              <w:spacing w:after="0"/>
            </w:pPr>
            <w:r>
              <w:rPr>
                <w:sz w:val="15"/>
              </w:rPr>
              <w:t>1.115-1.358</w:t>
            </w:r>
          </w:p>
        </w:tc>
        <w:tc>
          <w:tcPr>
            <w:tcW w:type="dxa" w:w="1656"/>
          </w:tcPr>
          <w:p>
            <w:pPr>
              <w:spacing w:after="0"/>
            </w:pPr>
            <w:r>
              <w:rPr>
                <w:sz w:val="15"/>
              </w:rPr>
              <w:t>29/30</w:t>
            </w:r>
          </w:p>
        </w:tc>
        <w:tc>
          <w:tcPr>
            <w:tcW w:type="dxa" w:w="1656"/>
          </w:tcPr>
          <w:p>
            <w:pPr>
              <w:spacing w:after="0"/>
            </w:pPr>
            <w:r>
              <w:rPr>
                <w:sz w:val="15"/>
              </w:rPr>
              <w:t>10/10</w:t>
            </w:r>
          </w:p>
        </w:tc>
        <w:tc>
          <w:tcPr>
            <w:tcW w:type="dxa" w:w="1656"/>
          </w:tcPr>
          <w:p>
            <w:pPr>
              <w:spacing w:after="0"/>
            </w:pPr>
            <w:r>
              <w:rPr>
                <w:sz w:val="15"/>
              </w:rPr>
              <w:t>-0.003</w:t>
            </w:r>
          </w:p>
        </w:tc>
      </w:tr>
      <w:tr>
        <w:trPr>
          <w:cantSplit/>
        </w:trPr>
        <w:tc>
          <w:tcPr>
            <w:tcW w:type="dxa" w:w="1656"/>
          </w:tcPr>
          <w:p>
            <w:pPr>
              <w:spacing w:after="0"/>
            </w:pPr>
            <w:r>
              <w:rPr>
                <w:sz w:val="15"/>
              </w:rPr>
              <w:t>GAUSS vs RAND8</w:t>
            </w:r>
          </w:p>
        </w:tc>
        <w:tc>
          <w:tcPr>
            <w:tcW w:type="dxa" w:w="1656"/>
          </w:tcPr>
          <w:p>
            <w:pPr>
              <w:spacing w:after="0"/>
            </w:pPr>
            <w:r>
              <w:rPr>
                <w:sz w:val="15"/>
              </w:rPr>
              <w:t>2.705</w:t>
            </w:r>
          </w:p>
        </w:tc>
        <w:tc>
          <w:tcPr>
            <w:tcW w:type="dxa" w:w="1656"/>
          </w:tcPr>
          <w:p>
            <w:pPr>
              <w:spacing w:after="0"/>
            </w:pPr>
            <w:r>
              <w:rPr>
                <w:sz w:val="15"/>
              </w:rPr>
              <w:t>2.314-3.246</w:t>
            </w:r>
          </w:p>
        </w:tc>
        <w:tc>
          <w:tcPr>
            <w:tcW w:type="dxa" w:w="1656"/>
          </w:tcPr>
          <w:p>
            <w:pPr>
              <w:spacing w:after="0"/>
            </w:pPr>
            <w:r>
              <w:rPr>
                <w:sz w:val="15"/>
              </w:rPr>
              <w:t>30/30</w:t>
            </w:r>
          </w:p>
        </w:tc>
        <w:tc>
          <w:tcPr>
            <w:tcW w:type="dxa" w:w="1656"/>
          </w:tcPr>
          <w:p>
            <w:pPr>
              <w:spacing w:after="0"/>
            </w:pPr>
            <w:r>
              <w:rPr>
                <w:sz w:val="15"/>
              </w:rPr>
              <w:t>10/10</w:t>
            </w:r>
          </w:p>
        </w:tc>
        <w:tc>
          <w:tcPr>
            <w:tcW w:type="dxa" w:w="1656"/>
          </w:tcPr>
          <w:p>
            <w:pPr>
              <w:spacing w:after="0"/>
            </w:pPr>
            <w:r>
              <w:rPr>
                <w:sz w:val="15"/>
              </w:rPr>
              <w:t>+0.160</w:t>
            </w:r>
          </w:p>
        </w:tc>
      </w:tr>
      <w:tr>
        <w:trPr>
          <w:cantSplit/>
        </w:trPr>
        <w:tc>
          <w:tcPr>
            <w:tcW w:type="dxa" w:w="1656"/>
          </w:tcPr>
          <w:p>
            <w:pPr>
              <w:spacing w:after="0"/>
            </w:pPr>
            <w:r>
              <w:rPr>
                <w:sz w:val="15"/>
              </w:rPr>
              <w:t>GAUSS vs PGD6</w:t>
            </w:r>
          </w:p>
        </w:tc>
        <w:tc>
          <w:tcPr>
            <w:tcW w:type="dxa" w:w="1656"/>
          </w:tcPr>
          <w:p>
            <w:pPr>
              <w:spacing w:after="0"/>
            </w:pPr>
            <w:r>
              <w:rPr>
                <w:sz w:val="15"/>
              </w:rPr>
              <w:t>0.895</w:t>
            </w:r>
          </w:p>
        </w:tc>
        <w:tc>
          <w:tcPr>
            <w:tcW w:type="dxa" w:w="1656"/>
          </w:tcPr>
          <w:p>
            <w:pPr>
              <w:spacing w:after="0"/>
            </w:pPr>
            <w:r>
              <w:rPr>
                <w:sz w:val="15"/>
              </w:rPr>
              <w:t>0.811-1.044</w:t>
            </w:r>
          </w:p>
        </w:tc>
        <w:tc>
          <w:tcPr>
            <w:tcW w:type="dxa" w:w="1656"/>
          </w:tcPr>
          <w:p>
            <w:pPr>
              <w:spacing w:after="0"/>
            </w:pPr>
            <w:r>
              <w:rPr>
                <w:sz w:val="15"/>
              </w:rPr>
              <w:t>9/30</w:t>
            </w:r>
          </w:p>
        </w:tc>
        <w:tc>
          <w:tcPr>
            <w:tcW w:type="dxa" w:w="1656"/>
          </w:tcPr>
          <w:p>
            <w:pPr>
              <w:spacing w:after="0"/>
            </w:pPr>
            <w:r>
              <w:rPr>
                <w:sz w:val="15"/>
              </w:rPr>
              <w:t>3/10</w:t>
            </w:r>
          </w:p>
        </w:tc>
        <w:tc>
          <w:tcPr>
            <w:tcW w:type="dxa" w:w="1656"/>
          </w:tcPr>
          <w:p>
            <w:pPr>
              <w:spacing w:after="0"/>
            </w:pPr>
            <w:r>
              <w:rPr>
                <w:sz w:val="15"/>
              </w:rPr>
              <w:t>+0.001</w:t>
            </w:r>
          </w:p>
        </w:tc>
      </w:tr>
    </w:tbl>
    <w:p>
      <w:pPr>
        <w:spacing w:after="0"/>
      </w:pPr>
    </w:p>
    <w:p>
      <w:r>
        <w:t>Interpretation: reference robustness for GAUSS exceeds CLEAN in all 30 pairs in both modes; DIFF8 exceeds GAUSS in 27/30 supervised and 29/30 time-only pairs; the two frozen AUTO variants exceed GAUSS in 30/30 supervised and 29/30 time-only pairs. These are paired win counts, not independent-sample trial counts.</w:t>
      </w:r>
    </w:p>
    <w:p>
      <w:pPr>
        <w:spacing w:after="0"/>
        <w:jc w:val="center"/>
      </w:pPr>
      <w:r>
        <w:drawing>
          <wp:inline xmlns:a="http://schemas.openxmlformats.org/drawingml/2006/main" xmlns:pic="http://schemas.openxmlformats.org/drawingml/2006/picture">
            <wp:extent cx="6263640" cy="2775652"/>
            <wp:docPr id="2" name="Picture 2"/>
            <wp:cNvGraphicFramePr>
              <a:graphicFrameLocks noChangeAspect="1"/>
            </wp:cNvGraphicFramePr>
            <a:graphic>
              <a:graphicData uri="http://schemas.openxmlformats.org/drawingml/2006/picture">
                <pic:pic>
                  <pic:nvPicPr>
                    <pic:cNvPr id="0" name="forest.png"/>
                    <pic:cNvPicPr/>
                  </pic:nvPicPr>
                  <pic:blipFill>
                    <a:blip r:embed="rId12"/>
                    <a:stretch>
                      <a:fillRect/>
                    </a:stretch>
                  </pic:blipFill>
                  <pic:spPr>
                    <a:xfrm>
                      <a:off x="0" y="0"/>
                      <a:ext cx="6263640" cy="2775652"/>
                    </a:xfrm>
                    <a:prstGeom prst="rect"/>
                  </pic:spPr>
                </pic:pic>
              </a:graphicData>
            </a:graphic>
          </wp:inline>
        </w:drawing>
      </w:r>
    </w:p>
    <w:p>
      <w:pPr>
        <w:pStyle w:val="Caption"/>
        <w:jc w:val="center"/>
      </w:pPr>
      <w:r>
        <w:t>Figure 2. Median of paired ratios; horizontal bars show 95% session-cluster bootstrap percentile intervals. The null value is 1.</w:t>
      </w:r>
    </w:p>
    <w:p>
      <w:r>
        <w:br w:type="page"/>
      </w:r>
    </w:p>
    <w:p>
      <w:pPr>
        <w:pStyle w:val="Heading1"/>
      </w:pPr>
      <w:r>
        <w:t>5. The hard-session exception and robustness sensitivity</w:t>
      </w:r>
    </w:p>
    <w:p>
      <w:r>
        <w:t>T-RT2 is a decisive counterexample to any assertion that DIFF8 is superior on every recording. In supervised mode it has a very low clean decoding R² and the fixed DIFF8 arm reaches a refined reference threshold of only about 0.14; the natural-noise augmentation is around 0.47 and the frozen automatic behavior-budget arm around 0.56. This explains why the supervised DIFF8/GAUSS aggregate is sensitive to the choice of averaging functional.</w:t>
      </w:r>
    </w:p>
    <w:p>
      <w:pPr>
        <w:pStyle w:val="Heading2"/>
      </w:pPr>
      <w:r>
        <w:t>Supervised T-RT2 (mean across seeds)</w:t>
      </w:r>
    </w:p>
    <w:tbl>
      <w:tblPr>
        <w:tblStyle w:val="LightShading-Accent1"/>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tcPr>
          <w:p>
            <w:r>
              <w:rPr>
                <w:b/>
                <w:color w:val="0F344E"/>
                <w:sz w:val="15"/>
              </w:rPr>
              <w:t>Arm</w:t>
            </w:r>
          </w:p>
        </w:tc>
        <w:tc>
          <w:tcPr>
            <w:tcW w:type="dxa" w:w="2484"/>
            <w:vAlign w:val="center"/>
          </w:tcPr>
          <w:p>
            <w:r>
              <w:rPr>
                <w:b/>
                <w:color w:val="0F344E"/>
                <w:sz w:val="15"/>
              </w:rPr>
              <w:t>Clean R²</w:t>
            </w:r>
          </w:p>
        </w:tc>
        <w:tc>
          <w:tcPr>
            <w:tcW w:type="dxa" w:w="2484"/>
            <w:vAlign w:val="center"/>
          </w:tcPr>
          <w:p>
            <w:r>
              <w:rPr>
                <w:b/>
                <w:color w:val="0F344E"/>
                <w:sz w:val="15"/>
              </w:rPr>
              <w:t>Refined ref eps1/2</w:t>
            </w:r>
          </w:p>
        </w:tc>
        <w:tc>
          <w:tcPr>
            <w:tcW w:type="dxa" w:w="2484"/>
            <w:vAlign w:val="center"/>
          </w:tcPr>
          <w:p>
            <w:r>
              <w:rPr>
                <w:b/>
                <w:color w:val="0F344E"/>
                <w:sz w:val="15"/>
              </w:rPr>
              <w:t>Refined iso eps1/2</w:t>
            </w:r>
          </w:p>
        </w:tc>
      </w:tr>
      <w:tr>
        <w:trPr>
          <w:cantSplit/>
        </w:trPr>
        <w:tc>
          <w:tcPr>
            <w:tcW w:type="dxa" w:w="2484"/>
          </w:tcPr>
          <w:p>
            <w:pPr>
              <w:spacing w:after="0"/>
            </w:pPr>
            <w:r>
              <w:rPr>
                <w:sz w:val="15"/>
              </w:rPr>
              <w:t>CLEAN</w:t>
            </w:r>
          </w:p>
        </w:tc>
        <w:tc>
          <w:tcPr>
            <w:tcW w:type="dxa" w:w="2484"/>
          </w:tcPr>
          <w:p>
            <w:pPr>
              <w:spacing w:after="0"/>
            </w:pPr>
            <w:r>
              <w:rPr>
                <w:sz w:val="15"/>
              </w:rPr>
              <w:t>0.387</w:t>
            </w:r>
          </w:p>
        </w:tc>
        <w:tc>
          <w:tcPr>
            <w:tcW w:type="dxa" w:w="2484"/>
          </w:tcPr>
          <w:p>
            <w:pPr>
              <w:spacing w:after="0"/>
            </w:pPr>
            <w:r>
              <w:rPr>
                <w:sz w:val="15"/>
              </w:rPr>
              <w:t>0.290</w:t>
            </w:r>
          </w:p>
        </w:tc>
        <w:tc>
          <w:tcPr>
            <w:tcW w:type="dxa" w:w="2484"/>
          </w:tcPr>
          <w:p>
            <w:pPr>
              <w:spacing w:after="0"/>
            </w:pPr>
            <w:r>
              <w:rPr>
                <w:sz w:val="15"/>
              </w:rPr>
              <w:t>0.295</w:t>
            </w:r>
          </w:p>
        </w:tc>
      </w:tr>
      <w:tr>
        <w:trPr>
          <w:cantSplit/>
        </w:trPr>
        <w:tc>
          <w:tcPr>
            <w:tcW w:type="dxa" w:w="2484"/>
          </w:tcPr>
          <w:p>
            <w:pPr>
              <w:spacing w:after="0"/>
            </w:pPr>
            <w:r>
              <w:rPr>
                <w:sz w:val="15"/>
              </w:rPr>
              <w:t>D8_RAND</w:t>
            </w:r>
          </w:p>
        </w:tc>
        <w:tc>
          <w:tcPr>
            <w:tcW w:type="dxa" w:w="2484"/>
          </w:tcPr>
          <w:p>
            <w:pPr>
              <w:spacing w:after="0"/>
            </w:pPr>
            <w:r>
              <w:rPr>
                <w:sz w:val="15"/>
              </w:rPr>
              <w:t>0.391</w:t>
            </w:r>
          </w:p>
        </w:tc>
        <w:tc>
          <w:tcPr>
            <w:tcW w:type="dxa" w:w="2484"/>
          </w:tcPr>
          <w:p>
            <w:pPr>
              <w:spacing w:after="0"/>
            </w:pPr>
            <w:r>
              <w:rPr>
                <w:sz w:val="15"/>
              </w:rPr>
              <w:t>0.303</w:t>
            </w:r>
          </w:p>
        </w:tc>
        <w:tc>
          <w:tcPr>
            <w:tcW w:type="dxa" w:w="2484"/>
          </w:tcPr>
          <w:p>
            <w:pPr>
              <w:spacing w:after="0"/>
            </w:pPr>
            <w:r>
              <w:rPr>
                <w:sz w:val="15"/>
              </w:rPr>
              <w:t>0.303</w:t>
            </w:r>
          </w:p>
        </w:tc>
      </w:tr>
      <w:tr>
        <w:trPr>
          <w:cantSplit/>
        </w:trPr>
        <w:tc>
          <w:tcPr>
            <w:tcW w:type="dxa" w:w="2484"/>
          </w:tcPr>
          <w:p>
            <w:pPr>
              <w:spacing w:after="0"/>
            </w:pPr>
            <w:r>
              <w:rPr>
                <w:sz w:val="15"/>
              </w:rPr>
              <w:t>GAUSS</w:t>
            </w:r>
          </w:p>
        </w:tc>
        <w:tc>
          <w:tcPr>
            <w:tcW w:type="dxa" w:w="2484"/>
          </w:tcPr>
          <w:p>
            <w:pPr>
              <w:spacing w:after="0"/>
            </w:pPr>
            <w:r>
              <w:rPr>
                <w:sz w:val="15"/>
              </w:rPr>
              <w:t>0.430</w:t>
            </w:r>
          </w:p>
        </w:tc>
        <w:tc>
          <w:tcPr>
            <w:tcW w:type="dxa" w:w="2484"/>
          </w:tcPr>
          <w:p>
            <w:pPr>
              <w:spacing w:after="0"/>
            </w:pPr>
            <w:r>
              <w:rPr>
                <w:sz w:val="15"/>
              </w:rPr>
              <w:t>0.470</w:t>
            </w:r>
          </w:p>
        </w:tc>
        <w:tc>
          <w:tcPr>
            <w:tcW w:type="dxa" w:w="2484"/>
          </w:tcPr>
          <w:p>
            <w:pPr>
              <w:spacing w:after="0"/>
            </w:pPr>
            <w:r>
              <w:rPr>
                <w:sz w:val="15"/>
              </w:rPr>
              <w:t>0.484</w:t>
            </w:r>
          </w:p>
        </w:tc>
      </w:tr>
      <w:tr>
        <w:trPr>
          <w:cantSplit/>
        </w:trPr>
        <w:tc>
          <w:tcPr>
            <w:tcW w:type="dxa" w:w="2484"/>
          </w:tcPr>
          <w:p>
            <w:pPr>
              <w:spacing w:after="0"/>
            </w:pPr>
            <w:r>
              <w:rPr>
                <w:sz w:val="15"/>
              </w:rPr>
              <w:t>PGD_L2_EPS6</w:t>
            </w:r>
          </w:p>
        </w:tc>
        <w:tc>
          <w:tcPr>
            <w:tcW w:type="dxa" w:w="2484"/>
          </w:tcPr>
          <w:p>
            <w:pPr>
              <w:spacing w:after="0"/>
            </w:pPr>
            <w:r>
              <w:rPr>
                <w:sz w:val="15"/>
              </w:rPr>
              <w:t>0.399</w:t>
            </w:r>
          </w:p>
        </w:tc>
        <w:tc>
          <w:tcPr>
            <w:tcW w:type="dxa" w:w="2484"/>
          </w:tcPr>
          <w:p>
            <w:pPr>
              <w:spacing w:after="0"/>
            </w:pPr>
            <w:r>
              <w:rPr>
                <w:sz w:val="15"/>
              </w:rPr>
              <w:t>0.308</w:t>
            </w:r>
          </w:p>
        </w:tc>
        <w:tc>
          <w:tcPr>
            <w:tcW w:type="dxa" w:w="2484"/>
          </w:tcPr>
          <w:p>
            <w:pPr>
              <w:spacing w:after="0"/>
            </w:pPr>
            <w:r>
              <w:rPr>
                <w:sz w:val="15"/>
              </w:rPr>
              <w:t>0.219</w:t>
            </w:r>
          </w:p>
        </w:tc>
      </w:tr>
      <w:tr>
        <w:trPr>
          <w:cantSplit/>
        </w:trPr>
        <w:tc>
          <w:tcPr>
            <w:tcW w:type="dxa" w:w="2484"/>
          </w:tcPr>
          <w:p>
            <w:pPr>
              <w:spacing w:after="0"/>
            </w:pPr>
            <w:r>
              <w:rPr>
                <w:sz w:val="15"/>
              </w:rPr>
              <w:t>D8</w:t>
            </w:r>
          </w:p>
        </w:tc>
        <w:tc>
          <w:tcPr>
            <w:tcW w:type="dxa" w:w="2484"/>
          </w:tcPr>
          <w:p>
            <w:pPr>
              <w:spacing w:after="0"/>
            </w:pPr>
            <w:r>
              <w:rPr>
                <w:sz w:val="15"/>
              </w:rPr>
              <w:t>0.411</w:t>
            </w:r>
          </w:p>
        </w:tc>
        <w:tc>
          <w:tcPr>
            <w:tcW w:type="dxa" w:w="2484"/>
          </w:tcPr>
          <w:p>
            <w:pPr>
              <w:spacing w:after="0"/>
            </w:pPr>
            <w:r>
              <w:rPr>
                <w:sz w:val="15"/>
              </w:rPr>
              <w:t>0.133</w:t>
            </w:r>
          </w:p>
        </w:tc>
        <w:tc>
          <w:tcPr>
            <w:tcW w:type="dxa" w:w="2484"/>
          </w:tcPr>
          <w:p>
            <w:pPr>
              <w:spacing w:after="0"/>
            </w:pPr>
            <w:r>
              <w:rPr>
                <w:sz w:val="15"/>
              </w:rPr>
              <w:t>0.093</w:t>
            </w:r>
          </w:p>
        </w:tc>
      </w:tr>
      <w:tr>
        <w:trPr>
          <w:cantSplit/>
        </w:trPr>
        <w:tc>
          <w:tcPr>
            <w:tcW w:type="dxa" w:w="2484"/>
          </w:tcPr>
          <w:p>
            <w:pPr>
              <w:spacing w:after="0"/>
            </w:pPr>
            <w:r>
              <w:rPr>
                <w:sz w:val="15"/>
              </w:rPr>
              <w:t>AUTOBEH</w:t>
            </w:r>
          </w:p>
        </w:tc>
        <w:tc>
          <w:tcPr>
            <w:tcW w:type="dxa" w:w="2484"/>
          </w:tcPr>
          <w:p>
            <w:pPr>
              <w:spacing w:after="0"/>
            </w:pPr>
            <w:r>
              <w:rPr>
                <w:sz w:val="15"/>
              </w:rPr>
              <w:t>0.410</w:t>
            </w:r>
          </w:p>
        </w:tc>
        <w:tc>
          <w:tcPr>
            <w:tcW w:type="dxa" w:w="2484"/>
          </w:tcPr>
          <w:p>
            <w:pPr>
              <w:spacing w:after="0"/>
            </w:pPr>
            <w:r>
              <w:rPr>
                <w:sz w:val="15"/>
              </w:rPr>
              <w:t>0.559</w:t>
            </w:r>
          </w:p>
        </w:tc>
        <w:tc>
          <w:tcPr>
            <w:tcW w:type="dxa" w:w="2484"/>
          </w:tcPr>
          <w:p>
            <w:pPr>
              <w:spacing w:after="0"/>
            </w:pPr>
            <w:r>
              <w:rPr>
                <w:sz w:val="15"/>
              </w:rPr>
              <w:t>0.495</w:t>
            </w:r>
          </w:p>
        </w:tc>
      </w:tr>
    </w:tbl>
    <w:p>
      <w:pPr>
        <w:spacing w:after="0"/>
      </w:pPr>
    </w:p>
    <w:p>
      <w:pPr>
        <w:pStyle w:val="Heading2"/>
      </w:pPr>
      <w:r>
        <w:t>Time-only T-RT2 (mean across seeds)</w:t>
      </w:r>
    </w:p>
    <w:tbl>
      <w:tblPr>
        <w:tblStyle w:val="LightShading-Accent1"/>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tcPr>
          <w:p>
            <w:r>
              <w:rPr>
                <w:b/>
                <w:color w:val="0F344E"/>
                <w:sz w:val="15"/>
              </w:rPr>
              <w:t>Arm</w:t>
            </w:r>
          </w:p>
        </w:tc>
        <w:tc>
          <w:tcPr>
            <w:tcW w:type="dxa" w:w="2484"/>
            <w:vAlign w:val="center"/>
          </w:tcPr>
          <w:p>
            <w:r>
              <w:rPr>
                <w:b/>
                <w:color w:val="0F344E"/>
                <w:sz w:val="15"/>
              </w:rPr>
              <w:t>Clean R²</w:t>
            </w:r>
          </w:p>
        </w:tc>
        <w:tc>
          <w:tcPr>
            <w:tcW w:type="dxa" w:w="2484"/>
            <w:vAlign w:val="center"/>
          </w:tcPr>
          <w:p>
            <w:r>
              <w:rPr>
                <w:b/>
                <w:color w:val="0F344E"/>
                <w:sz w:val="15"/>
              </w:rPr>
              <w:t>Refined ref eps1/2</w:t>
            </w:r>
          </w:p>
        </w:tc>
        <w:tc>
          <w:tcPr>
            <w:tcW w:type="dxa" w:w="2484"/>
            <w:vAlign w:val="center"/>
          </w:tcPr>
          <w:p>
            <w:r>
              <w:rPr>
                <w:b/>
                <w:color w:val="0F344E"/>
                <w:sz w:val="15"/>
              </w:rPr>
              <w:t>Refined iso eps1/2</w:t>
            </w:r>
          </w:p>
        </w:tc>
      </w:tr>
      <w:tr>
        <w:trPr>
          <w:cantSplit/>
        </w:trPr>
        <w:tc>
          <w:tcPr>
            <w:tcW w:type="dxa" w:w="2484"/>
          </w:tcPr>
          <w:p>
            <w:pPr>
              <w:spacing w:after="0"/>
            </w:pPr>
            <w:r>
              <w:rPr>
                <w:sz w:val="15"/>
              </w:rPr>
              <w:t>CLEAN</w:t>
            </w:r>
          </w:p>
        </w:tc>
        <w:tc>
          <w:tcPr>
            <w:tcW w:type="dxa" w:w="2484"/>
          </w:tcPr>
          <w:p>
            <w:pPr>
              <w:spacing w:after="0"/>
            </w:pPr>
            <w:r>
              <w:rPr>
                <w:sz w:val="15"/>
              </w:rPr>
              <w:t>0.158</w:t>
            </w:r>
          </w:p>
        </w:tc>
        <w:tc>
          <w:tcPr>
            <w:tcW w:type="dxa" w:w="2484"/>
          </w:tcPr>
          <w:p>
            <w:pPr>
              <w:spacing w:after="0"/>
            </w:pPr>
            <w:r>
              <w:rPr>
                <w:sz w:val="15"/>
              </w:rPr>
              <w:t>0.181</w:t>
            </w:r>
          </w:p>
        </w:tc>
        <w:tc>
          <w:tcPr>
            <w:tcW w:type="dxa" w:w="2484"/>
          </w:tcPr>
          <w:p>
            <w:pPr>
              <w:spacing w:after="0"/>
            </w:pPr>
            <w:r>
              <w:rPr>
                <w:sz w:val="15"/>
              </w:rPr>
              <w:t>0.208</w:t>
            </w:r>
          </w:p>
        </w:tc>
      </w:tr>
      <w:tr>
        <w:trPr>
          <w:cantSplit/>
        </w:trPr>
        <w:tc>
          <w:tcPr>
            <w:tcW w:type="dxa" w:w="2484"/>
          </w:tcPr>
          <w:p>
            <w:pPr>
              <w:spacing w:after="0"/>
            </w:pPr>
            <w:r>
              <w:rPr>
                <w:sz w:val="15"/>
              </w:rPr>
              <w:t>D8_RAND</w:t>
            </w:r>
          </w:p>
        </w:tc>
        <w:tc>
          <w:tcPr>
            <w:tcW w:type="dxa" w:w="2484"/>
          </w:tcPr>
          <w:p>
            <w:pPr>
              <w:spacing w:after="0"/>
            </w:pPr>
            <w:r>
              <w:rPr>
                <w:sz w:val="15"/>
              </w:rPr>
              <w:t>0.224</w:t>
            </w:r>
          </w:p>
        </w:tc>
        <w:tc>
          <w:tcPr>
            <w:tcW w:type="dxa" w:w="2484"/>
          </w:tcPr>
          <w:p>
            <w:pPr>
              <w:spacing w:after="0"/>
            </w:pPr>
            <w:r>
              <w:rPr>
                <w:sz w:val="15"/>
              </w:rPr>
              <w:t>0.297</w:t>
            </w:r>
          </w:p>
        </w:tc>
        <w:tc>
          <w:tcPr>
            <w:tcW w:type="dxa" w:w="2484"/>
          </w:tcPr>
          <w:p>
            <w:pPr>
              <w:spacing w:after="0"/>
            </w:pPr>
            <w:r>
              <w:rPr>
                <w:sz w:val="15"/>
              </w:rPr>
              <w:t>0.370</w:t>
            </w:r>
          </w:p>
        </w:tc>
      </w:tr>
      <w:tr>
        <w:trPr>
          <w:cantSplit/>
        </w:trPr>
        <w:tc>
          <w:tcPr>
            <w:tcW w:type="dxa" w:w="2484"/>
          </w:tcPr>
          <w:p>
            <w:pPr>
              <w:spacing w:after="0"/>
            </w:pPr>
            <w:r>
              <w:rPr>
                <w:sz w:val="15"/>
              </w:rPr>
              <w:t>GAUSS</w:t>
            </w:r>
          </w:p>
        </w:tc>
        <w:tc>
          <w:tcPr>
            <w:tcW w:type="dxa" w:w="2484"/>
          </w:tcPr>
          <w:p>
            <w:pPr>
              <w:spacing w:after="0"/>
            </w:pPr>
            <w:r>
              <w:rPr>
                <w:sz w:val="15"/>
              </w:rPr>
              <w:t>0.339</w:t>
            </w:r>
          </w:p>
        </w:tc>
        <w:tc>
          <w:tcPr>
            <w:tcW w:type="dxa" w:w="2484"/>
          </w:tcPr>
          <w:p>
            <w:pPr>
              <w:spacing w:after="0"/>
            </w:pPr>
            <w:r>
              <w:rPr>
                <w:sz w:val="15"/>
              </w:rPr>
              <w:t>0.770</w:t>
            </w:r>
          </w:p>
        </w:tc>
        <w:tc>
          <w:tcPr>
            <w:tcW w:type="dxa" w:w="2484"/>
          </w:tcPr>
          <w:p>
            <w:pPr>
              <w:spacing w:after="0"/>
            </w:pPr>
            <w:r>
              <w:rPr>
                <w:sz w:val="15"/>
              </w:rPr>
              <w:t>0.945</w:t>
            </w:r>
          </w:p>
        </w:tc>
      </w:tr>
      <w:tr>
        <w:trPr>
          <w:cantSplit/>
        </w:trPr>
        <w:tc>
          <w:tcPr>
            <w:tcW w:type="dxa" w:w="2484"/>
          </w:tcPr>
          <w:p>
            <w:pPr>
              <w:spacing w:after="0"/>
            </w:pPr>
            <w:r>
              <w:rPr>
                <w:sz w:val="15"/>
              </w:rPr>
              <w:t>PGD_L2_EPS6</w:t>
            </w:r>
          </w:p>
        </w:tc>
        <w:tc>
          <w:tcPr>
            <w:tcW w:type="dxa" w:w="2484"/>
          </w:tcPr>
          <w:p>
            <w:pPr>
              <w:spacing w:after="0"/>
            </w:pPr>
            <w:r>
              <w:rPr>
                <w:sz w:val="15"/>
              </w:rPr>
              <w:t>0.344</w:t>
            </w:r>
          </w:p>
        </w:tc>
        <w:tc>
          <w:tcPr>
            <w:tcW w:type="dxa" w:w="2484"/>
          </w:tcPr>
          <w:p>
            <w:pPr>
              <w:spacing w:after="0"/>
            </w:pPr>
            <w:r>
              <w:rPr>
                <w:sz w:val="15"/>
              </w:rPr>
              <w:t>0.725</w:t>
            </w:r>
          </w:p>
        </w:tc>
        <w:tc>
          <w:tcPr>
            <w:tcW w:type="dxa" w:w="2484"/>
          </w:tcPr>
          <w:p>
            <w:pPr>
              <w:spacing w:after="0"/>
            </w:pPr>
            <w:r>
              <w:rPr>
                <w:sz w:val="15"/>
              </w:rPr>
              <w:t>1.280</w:t>
            </w:r>
          </w:p>
        </w:tc>
      </w:tr>
      <w:tr>
        <w:trPr>
          <w:cantSplit/>
        </w:trPr>
        <w:tc>
          <w:tcPr>
            <w:tcW w:type="dxa" w:w="2484"/>
          </w:tcPr>
          <w:p>
            <w:pPr>
              <w:spacing w:after="0"/>
            </w:pPr>
            <w:r>
              <w:rPr>
                <w:sz w:val="15"/>
              </w:rPr>
              <w:t>D8</w:t>
            </w:r>
          </w:p>
        </w:tc>
        <w:tc>
          <w:tcPr>
            <w:tcW w:type="dxa" w:w="2484"/>
          </w:tcPr>
          <w:p>
            <w:pPr>
              <w:spacing w:after="0"/>
            </w:pPr>
            <w:r>
              <w:rPr>
                <w:sz w:val="15"/>
              </w:rPr>
              <w:t>0.363</w:t>
            </w:r>
          </w:p>
        </w:tc>
        <w:tc>
          <w:tcPr>
            <w:tcW w:type="dxa" w:w="2484"/>
          </w:tcPr>
          <w:p>
            <w:pPr>
              <w:spacing w:after="0"/>
            </w:pPr>
            <w:r>
              <w:rPr>
                <w:sz w:val="15"/>
              </w:rPr>
              <w:t>0.962</w:t>
            </w:r>
          </w:p>
        </w:tc>
        <w:tc>
          <w:tcPr>
            <w:tcW w:type="dxa" w:w="2484"/>
          </w:tcPr>
          <w:p>
            <w:pPr>
              <w:spacing w:after="0"/>
            </w:pPr>
            <w:r>
              <w:rPr>
                <w:sz w:val="15"/>
              </w:rPr>
              <w:t>0.940</w:t>
            </w:r>
          </w:p>
        </w:tc>
      </w:tr>
      <w:tr>
        <w:trPr>
          <w:cantSplit/>
        </w:trPr>
        <w:tc>
          <w:tcPr>
            <w:tcW w:type="dxa" w:w="2484"/>
          </w:tcPr>
          <w:p>
            <w:pPr>
              <w:spacing w:after="0"/>
            </w:pPr>
            <w:r>
              <w:rPr>
                <w:sz w:val="15"/>
              </w:rPr>
              <w:t>AUTOSIG</w:t>
            </w:r>
          </w:p>
        </w:tc>
        <w:tc>
          <w:tcPr>
            <w:tcW w:type="dxa" w:w="2484"/>
          </w:tcPr>
          <w:p>
            <w:pPr>
              <w:spacing w:after="0"/>
            </w:pPr>
            <w:r>
              <w:rPr>
                <w:sz w:val="15"/>
              </w:rPr>
              <w:t>0.359</w:t>
            </w:r>
          </w:p>
        </w:tc>
        <w:tc>
          <w:tcPr>
            <w:tcW w:type="dxa" w:w="2484"/>
          </w:tcPr>
          <w:p>
            <w:pPr>
              <w:spacing w:after="0"/>
            </w:pPr>
            <w:r>
              <w:rPr>
                <w:sz w:val="15"/>
              </w:rPr>
              <w:t>0.934</w:t>
            </w:r>
          </w:p>
        </w:tc>
        <w:tc>
          <w:tcPr>
            <w:tcW w:type="dxa" w:w="2484"/>
          </w:tcPr>
          <w:p>
            <w:pPr>
              <w:spacing w:after="0"/>
            </w:pPr>
            <w:r>
              <w:rPr>
                <w:sz w:val="15"/>
              </w:rPr>
              <w:t>0.997</w:t>
            </w:r>
          </w:p>
        </w:tc>
      </w:tr>
    </w:tbl>
    <w:p>
      <w:pPr>
        <w:spacing w:after="0"/>
      </w:pPr>
    </w:p>
    <w:p>
      <w:r>
        <w:t>Aggregation sensitivity: the supervised DIFF8/GAUSS median paired ratio is 1.344 (95% session bootstrap 1.216-1.515), whereas its geometric mean paired ratio is 1.183 (95% cluster bootstrap 0.840-1.461). The latter interval includes 1, because the large negative T-RT2 contrast receives more influence in the log-average than in the median. In other words, DIFF8 usually outperforms GAUSS, but across-session generalization of the exact superiority magnitude is sensitive to the summary statistic.</w:t>
      </w:r>
    </w:p>
    <w:p>
      <w:pPr>
        <w:spacing w:after="0"/>
        <w:jc w:val="center"/>
      </w:pPr>
      <w:r>
        <w:drawing>
          <wp:inline xmlns:a="http://schemas.openxmlformats.org/drawingml/2006/main" xmlns:pic="http://schemas.openxmlformats.org/drawingml/2006/picture">
            <wp:extent cx="6217920" cy="2494760"/>
            <wp:docPr id="3" name="Picture 3"/>
            <wp:cNvGraphicFramePr>
              <a:graphicFrameLocks noChangeAspect="1"/>
            </wp:cNvGraphicFramePr>
            <a:graphic>
              <a:graphicData uri="http://schemas.openxmlformats.org/drawingml/2006/picture">
                <pic:pic>
                  <pic:nvPicPr>
                    <pic:cNvPr id="0" name="sessions.png"/>
                    <pic:cNvPicPr/>
                  </pic:nvPicPr>
                  <pic:blipFill>
                    <a:blip r:embed="rId13"/>
                    <a:stretch>
                      <a:fillRect/>
                    </a:stretch>
                  </pic:blipFill>
                  <pic:spPr>
                    <a:xfrm>
                      <a:off x="0" y="0"/>
                      <a:ext cx="6217920" cy="2494760"/>
                    </a:xfrm>
                    <a:prstGeom prst="rect"/>
                  </pic:spPr>
                </pic:pic>
              </a:graphicData>
            </a:graphic>
          </wp:inline>
        </w:drawing>
      </w:r>
    </w:p>
    <w:p>
      <w:pPr>
        <w:pStyle w:val="Caption"/>
        <w:jc w:val="center"/>
      </w:pPr>
      <w:r>
        <w:t>Figure 3. DIFF8/GAUSS within-session median paired ratios. The supervised T-RT2 reversal is visible.</w:t>
      </w:r>
    </w:p>
    <w:p>
      <w:r>
        <w:br w:type="page"/>
      </w:r>
    </w:p>
    <w:p>
      <w:pPr>
        <w:pStyle w:val="Heading1"/>
      </w:pPr>
      <w:r>
        <w:t>6. What the GAUSS and CLEAN controls establish</w:t>
      </w:r>
    </w:p>
    <w:p>
      <w:r>
        <w:t>Compared with CLEAN, covariance-aware natural-noise-scale random augmentation improves both clean decoding quality and adversarial robustness. In supervised mode, the paired mean clean R² increase is 0.0206 (95% session CI 0.0103 to 0.0303); GAUSS/CLEAN median paired reference robustness is 1.330x. In time-only mode, the gain in mean clean R² is 0.1656 (95% session CI 0.1495 to 0.1825), and the median paired robustness ratio is 2.936x. All 10 sessions show a favorable reference robustness median for GAUSS over CLEAN in both modes.</w:t>
      </w:r>
    </w:p>
    <w:p>
      <w:r>
        <w:t>Conversely, the adversarial DIFF8 methods achieve larger reference thresholds than GAUSS on 9/10 supervised and 10/10 time-only sessions. The frozen automatic behavior and signal budgets are also more robust on essentially all matched settings. Thus Gaussian-shaped data augmentation is not an adequate substitute for direction-optimized adversarial training under this evaluation threat model, even when the injected random direction is at a much larger natural-noise radius.</w:t>
      </w:r>
    </w:p>
    <w:p>
      <w:pPr>
        <w:pStyle w:val="Heading2"/>
      </w:pPr>
      <w:r>
        <w:t>Training-loss response: supporting, not decisive evidence</w:t>
      </w:r>
    </w:p>
    <w:p>
      <w:r>
        <w:t>The official exp13_report.txt provides median training loss-gain values: supervised DIFF8=0.568, RAND8=0.001, GAUSS=0.010; time-only DIFF8=0.453, RAND8=0.005, GAUSS=-0.023. The small or negative median for random perturbations is consistent with their directions being substantially less effective at increasing the attack training objective than optimized adversarial directions. These diagnostics are implementation-specific and are not, by themselves, a formal measure of optimization quality or proof of a causal mechanism.</w:t>
      </w:r>
    </w:p>
    <w:p>
      <w:pPr>
        <w:pStyle w:val="Heading2"/>
      </w:pPr>
      <w:r>
        <w:t>Noise-scale interpretation</w:t>
      </w:r>
    </w:p>
    <w:p>
      <w:r>
        <w:t>Exp13 GAUSS draws a fixed-norm random perturbation (d-prime epsilon = sqrt(C*T)), not variable-radius Gaussian samples. Inspection of the Exp13 runner and Acorn-dprime training.py confirms that the "GAUSS" arm uses the random optimizer in difference-residual covariance geometry. Consequently the phrase "covariance-matched Gaussian augmentation" is an approximation in whitened high-dimensional direction, not an exact characterization of the radial law. A stricter matched-noise control could compare the same target d-prime budget with both random and adversarial orientation or use Gaussian radial sampling directly.</w:t>
      </w:r>
    </w:p>
    <w:p>
      <w:pPr>
        <w:pStyle w:val="Heading1"/>
      </w:pPr>
      <w:r>
        <w:t>7. Behavioral scaling and failure prediction</w:t>
      </w:r>
    </w:p>
    <w:p>
      <w:r>
        <w:t>The original Exp11 supervised preregistered vulnerability rule was retained; the Exp13 combined official summary reports 15 true positives, 6 false positives, 3 false negatives, 186 true negatives and AUC=0.954 for x_beh, versus AUC=0.820 for x_sig, over the 210 Exp11 supervised evaluation records. These are retained Exp11 findings, not 120 new independent validation samples. At the refined threshold epsilon1/2&lt;0.5, there are 18/210 such observations in supervised Exp11; Exp13 controls add further low-robustness outcomes (GAUSS 3/30 supervised and 0/30 time-only; CLEAN 3/30 supervised and 15/30 time-only).</w:t>
      </w:r>
    </w:p>
    <w:p>
      <w:r>
        <w:t>Mean reference kappa (refined epsilon1/2 / behavior-reference epsilon) is 0.103 for supervised GAUSS, versus 0.136 for DIFF8 and 0.138 for AUTO-BEH. The corresponding time-only values are 0.104, 0.129 and 0.127. The cross-session relationship remains descriptive; shared-scale effects and within-session variation must be separated before a theoretical scaling claim is made.</w:t>
      </w:r>
    </w:p>
    <w:p>
      <w:r>
        <w:br w:type="page"/>
      </w:r>
    </w:p>
    <w:p>
      <w:pPr>
        <w:pStyle w:val="Heading1"/>
      </w:pPr>
      <w:r>
        <w:t>8. Limitations and claims appropriate for a manuscript</w:t>
      </w:r>
    </w:p>
    <w:p>
      <w:pPr/>
      <w:r>
        <w:rPr>
          <w:b/>
        </w:rPr>
        <w:t xml:space="preserve">One dataset family.  </w:t>
      </w:r>
      <w:r>
        <w:t>All 540 outcomes use the same 10 Perich sessions, with 3 seeds each; Exp13 enlarges method coverage, not the number of independent biological recordings or the number of external datasets.</w:t>
      </w:r>
    </w:p>
    <w:p>
      <w:pPr/>
      <w:r>
        <w:rPr>
          <w:b/>
        </w:rPr>
        <w:t xml:space="preserve">Training-budget mismatch.  </w:t>
      </w:r>
      <w:r>
        <w:t>GAUSS uses natural-noise-scale epsilon=sqrt(C*T), whereas DIFF8 and RAND8 use epsilon=8. Results support a multi-control hierarchy but do not isolate direction at identical energy for GAUSS vs DIFF8.</w:t>
      </w:r>
    </w:p>
    <w:p>
      <w:pPr/>
      <w:r>
        <w:rPr>
          <w:b/>
        </w:rPr>
        <w:t xml:space="preserve">Paired dependence.  </w:t>
      </w:r>
      <w:r>
        <w:t>The 30 seed pairs are nested within 10 sessions. Intervals use session-cluster resampling; sign-test results at 10-session level and bootstrap intervals should not be treated as 30 independent replications.</w:t>
      </w:r>
    </w:p>
    <w:p>
      <w:pPr/>
      <w:r>
        <w:rPr>
          <w:b/>
        </w:rPr>
        <w:t xml:space="preserve">Metric specificity.  </w:t>
      </w:r>
      <w:r>
        <w:t>The primary improvements are in the Ledoit-Wolf/reference d-prime metric; isotropic stress-test rankings can differ and must be shown separately.</w:t>
      </w:r>
    </w:p>
    <w:p>
      <w:pPr/>
      <w:r>
        <w:rPr>
          <w:b/>
        </w:rPr>
        <w:t xml:space="preserve">Half-R² criterion.  </w:t>
      </w:r>
      <w:r>
        <w:t>The term "failure" refers to a measured half-R² robustness threshold; it does not demonstrate a constant-output decoder or collapsed embedding. The evaluation-refinement procedure is finite-resolution.</w:t>
      </w:r>
    </w:p>
    <w:p>
      <w:pPr/>
      <w:r>
        <w:rPr>
          <w:b/>
        </w:rPr>
        <w:t xml:space="preserve">Post-hoc contrasts.  </w:t>
      </w:r>
      <w:r>
        <w:t>Contrasts and CIs in this report were computed after observing Exp13. They are exploratory unless included in a prospective analysis plan; no adjustment for comparing many arms was performed.</w:t>
      </w:r>
    </w:p>
    <w:p>
      <w:pPr/>
      <w:r>
        <w:rPr>
          <w:b/>
        </w:rPr>
        <w:t xml:space="preserve">Text-based reconstruction.  </w:t>
      </w:r>
      <w:r>
        <w:t>Exp13 per-model CSV numbers were reconstructed from terminal printouts rounded to six decimal places; source JSON/summary_v2.csv remains authoritative for full-precision replication.</w:t>
      </w:r>
    </w:p>
    <w:p>
      <w:pPr>
        <w:pStyle w:val="Heading1"/>
      </w:pPr>
      <w:r>
        <w:t>Recommendations and next independent experiment</w:t>
      </w:r>
    </w:p>
    <w:p>
      <w:pPr>
        <w:pStyle w:val="ListBullet"/>
      </w:pPr>
      <w:r>
        <w:t>Freeze Acorn-dprime, the existing epsilon-selection rule and evaluator; avoid any retuning on these 10 sessions.</w:t>
      </w:r>
    </w:p>
    <w:p>
      <w:pPr>
        <w:pStyle w:val="ListBullet"/>
      </w:pPr>
      <w:r>
        <w:t>For a new dataset, preregister predictions and both robust and clean decoding endpoints before fitting; use one genuinely external recording family.</w:t>
      </w:r>
    </w:p>
    <w:p>
      <w:pPr>
        <w:pStyle w:val="ListBullet"/>
      </w:pPr>
      <w:r>
        <w:t>Retain GAUSS, CLEAN and RAND8 as complementary controls, while describing the natural-noise-scale budget and fixed-radius sampling accurately.</w:t>
      </w:r>
    </w:p>
    <w:p>
      <w:pPr>
        <w:pStyle w:val="ListBullet"/>
      </w:pPr>
      <w:r>
        <w:t>Report paired reference and isotropic robustness, clean R², per-session outcomes, and uncertainty over recordings rather than over seeds.</w:t>
      </w:r>
    </w:p>
    <w:p>
      <w:pPr>
        <w:pStyle w:val="ListBullet"/>
      </w:pPr>
      <w:r>
        <w:t>Treat a decoder-collapse theorem as separate theoretical work: current experiments establish performance and vulnerability criteria, not a necessary mathematical collapse condition.</w:t>
      </w:r>
    </w:p>
    <w:p>
      <w:pPr>
        <w:pStyle w:val="Heading1"/>
      </w:pPr>
      <w:r>
        <w:t>9. Reproducibility and files</w:t>
      </w:r>
    </w:p>
    <w:p>
      <w:r>
        <w:t>Source inputs: the user-provided complete Exp13 terminal results (all 120 detailed lines, official summary and paired comparisons), the prior Exp12 all-420 model CSV, and the supplied Exp13_bundle.zip runner/training source for control-design verification. Exp13 ran on four H200 GPUs, with 10 sessions and seeds 42-44. All comparisons were recomputed from per-run rows rather than inferred from rounded summary tables.</w:t>
      </w:r>
    </w:p>
    <w:p>
      <w:r>
        <w:t>Companion outputs: Exp13_All_120_Models_Detailed_Results.csv (23 terminal-export fields); Exp11_to_Exp13_All_540_Models_Detailed_Results.csv (consistent 29-column integrated schema, with provenance); Exp13_Paired_Comparisons_with_Session_Bootstrap.csv (10 matched contrasts, effect sizes and session-cluster confidence bounds).</w:t>
      </w:r>
    </w:p>
    <w:p>
      <w:r>
        <w:t>Overall conclusion: natural-noise-scale covariance-aware random perturbations meaningfully strengthen both supervised and time-only CEBRA compared with clean training; however, optimized adversarial training with the original fixed or automatic budgets generally provides superior reference-metric robustness. The hard supervised T-RT2 session is a meaningful exception requiring explicit sensitivity analysis, not an inconvenient point to remove.</w:t>
      </w:r>
    </w:p>
    <w:sectPr w:rsidR="00FC693F" w:rsidRPr="0006063C" w:rsidSect="00034616">
      <w:headerReference w:type="default" r:id="rId9"/>
      <w:footerReference w:type="default" r:id="rId10"/>
      <w:pgSz w:w="12240" w:h="15840"/>
      <w:pgMar w:top="109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A8B"/>
        <w:sz w:val="16"/>
      </w:rPr>
      <w:t xml:space="preserve">Research analysis  |  24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B7588"/>
        <w:sz w:val="15"/>
      </w:rPr>
      <w:t>CEBRA ROBUSTNESS  /  EXP13 - INTERNAL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Display" w:hAnsi="Aptos Display"/>
      <w:b/>
      <w:bCs/>
      <w:color w:val="18314F"/>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8314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1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w:hAnsi="Aptos"/>
      <w:b w:val="0"/>
      <w:i/>
      <w:iCs/>
      <w:color w:val="18314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Exp13 | Noise-scale controls for robust CEBRA</dc:title>
  <dc:subject>Exp13 / Exp12 paired robustness and clean decoding analysis</dc:subject>
  <dc:creator>Research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