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Exp12 | Refined Robustness &amp; Random-Direction Controls</w:t>
      </w:r>
    </w:p>
    <w:p>
      <w:pPr>
        <w:pStyle w:val="Subtitle"/>
      </w:pPr>
      <w:r>
        <w:rPr>
          <w:b w:val="0"/>
        </w:rPr>
        <w:t>Full research report • Ten held-out Perich sessions • 420 successful jobs</w:t>
      </w:r>
    </w:p>
    <w:p>
      <w:pPr>
        <w:pStyle w:val="Smallnote"/>
      </w:pPr>
      <w:r>
        <w:rPr>
          <w:b w:val="0"/>
        </w:rPr>
        <w:t>Prepared for supervisor review   |   Analysis date: 24 October 2026</w:t>
      </w:r>
    </w:p>
    <w:p>
      <w:pPr>
        <w:pStyle w:val="Heading1"/>
      </w:pPr>
      <w:r>
        <w:t>Executive summary</w:t>
      </w:r>
    </w:p>
    <w:p>
      <w:r>
        <w:rPr>
          <w:b w:val="0"/>
        </w:rPr>
        <w:t>Exp12 reassessed the 360 frozen CEBRA models from Exp11 with a refined white-box robustness threshold estimator and trained 60 matched random-direction controls (30 supervised, 30 time-only). All 420 jobs completed successfully across ten previously held-out Perich sessions and three seeds (42, 43, 44). The original checkpoint weights were reused for re-evaluation; the only newly trained models were the random-direction controls.</w:t>
      </w:r>
    </w:p>
    <w:p>
      <w:r>
        <w:rPr>
          <w:b w:val="0"/>
        </w:rPr>
        <w:t>Primary result: behaviour-calibrated d-prime training (DIFF/AUTO_BEH) remains close to a strong fixed-budget baseline (DIFF8). The refined paired geometric robustness ratio is 1.133 (95% session-bootstrap interval 0.951–1.539); without the difficult T-RT2 session, the ratio is 0.980. Hence, the results support near-baseline performance without per-session epsilon tuning, not a general claim of statistical superiority. The refined measurement also resolves three DIFF8 thresholds below the previous 0.5 floor on T-RT2, while DIFF/AUTO_BEH remains above 0.5 on all seeds.</w:t>
      </w:r>
    </w:p>
    <w:p>
      <w:r>
        <w:rPr>
          <w:b w:val="0"/>
        </w:rPr>
        <w:t>Independent control result: replacing adversarial directions with random directions on the same d-prime sphere markedly degrades reference robustness. RAND/DIFF8 is 0.632 (supervised) and 0.289 (time-only), with very small measured attack-loss gains in the random controls. This supports the importance of directional adversarial optimization over matched random-direction perturbations.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Validation scope</w:t>
            </w:r>
          </w:p>
        </w:tc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Completed</w:t>
            </w:r>
          </w:p>
        </w:tc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Errors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Exp11 supervised checkpoints re-evaluated</w:t>
            </w:r>
          </w:p>
        </w:tc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210 / 210</w:t>
            </w:r>
          </w:p>
        </w:tc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Exp11 time-only checkpoints re-evaluated</w:t>
            </w:r>
          </w:p>
        </w:tc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150 / 150</w:t>
            </w:r>
          </w:p>
        </w:tc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New supervised random controls</w:t>
            </w:r>
          </w:p>
        </w:tc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30 / 30</w:t>
            </w:r>
          </w:p>
        </w:tc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New time-only random controls</w:t>
            </w:r>
          </w:p>
        </w:tc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30 / 30</w:t>
            </w:r>
          </w:p>
        </w:tc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TOTAL</w:t>
            </w:r>
          </w:p>
        </w:tc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420 / 420</w:t>
            </w:r>
          </w:p>
        </w:tc>
        <w:tc>
          <w:tcPr>
            <w:tcW w:type="dxa" w:w="3293"/>
            <w:vAlign w:val="center"/>
          </w:tcPr>
          <w:p>
            <w:pPr>
              <w:spacing w:after="28" w:before="28"/>
            </w:pPr>
            <w:r>
              <w:rPr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b w:val="0"/>
        </w:rPr>
        <w:t>Main interpretive caution: only ten sessions are independent clusters; three seeds per session should not be treated as 30 independent biological samples. Bootstrap intervals below resample sessions.</w:t>
      </w:r>
    </w:p>
    <w:p>
      <w:pPr>
        <w:pStyle w:val="Heading1"/>
      </w:pPr>
      <w:r>
        <w:t>1. Motivation and research questions</w:t>
      </w:r>
    </w:p>
    <w:p>
      <w:r>
        <w:rPr>
          <w:b w:val="0"/>
        </w:rPr>
        <w:t>The Exp11 hypothesis was that epsilon can be calibrated from training data before model fitting, approximating a strong manually selected epsilon without a fresh per-session search. Exp12 tests two possible weaknesses in that inference: (i) epsilon-at-half-clean-R² may be distorted by the coarse evaluation grid and the lower bound 0.5; and (ii) robustness might arise from covariance-shaped augmentation rather than gradient-directed adversarial optimization.</w:t>
      </w:r>
    </w:p>
    <w:p>
      <w:pPr>
        <w:pStyle w:val="ListBullet"/>
      </w:pPr>
      <w:r>
        <w:t>RQ1: Does a refined measurement of reference epsilon at half-clean R² preserve the comparison between automatic and fixed epsilon policies?</w:t>
      </w:r>
    </w:p>
    <w:p>
      <w:pPr>
        <w:pStyle w:val="ListBullet"/>
      </w:pPr>
      <w:r>
        <w:t>RQ2: Does adaptive epsilon remain competitive after recovering thresholds below the old evaluation floor?</w:t>
      </w:r>
    </w:p>
    <w:p>
      <w:pPr>
        <w:pStyle w:val="ListBullet"/>
      </w:pPr>
      <w:r>
        <w:t>RQ3: Does adversarial direction outperform a matched random-direction perturbation under the same d-prime geometry and nominal epsilon?</w:t>
      </w:r>
    </w:p>
    <w:p>
      <w:pPr>
        <w:pStyle w:val="ListBullet"/>
      </w:pPr>
      <w:r>
        <w:t>RQ4: How stable is kappa = refined reference epsilon at half-clean R² / reference behaviour distance across methods and sessions?</w:t>
      </w:r>
    </w:p>
    <w:p>
      <w:pPr>
        <w:pStyle w:val="Heading1"/>
      </w:pPr>
      <w:r>
        <w:t>2. Data and experimental design</w:t>
      </w:r>
    </w:p>
    <w:p>
      <w:r>
        <w:rPr>
          <w:b w:val="0"/>
        </w:rPr>
        <w:t>Ten Perich sessions selected prospectively from a frozen candidate list (selection seed 2026) after excluding nine previously studied sessions: C-CO25, C-CO26, T-RT2, C-CO2, T-CO1, C-CO39, C-CO21, J-CO1, M-CO7, C-RT12. Each uses seeds 42, 43 and 44. The full dataset remains within the Perich family; this is out-of-session rather than out-of-dataset validation.</w:t>
      </w:r>
    </w:p>
    <w:p>
      <w:r>
        <w:rPr>
          <w:b w:val="0"/>
        </w:rPr>
        <w:t>Supervised: seven Exp11 strategies × 10 sessions × 3 seeds = 210 existing models. Time-only: five strategies × 10 × 3 = 150 existing models. Exp12 additionally trains one DIFF8_RAND control for each session and seed in each mode (60 new models).</w:t>
      </w:r>
    </w:p>
    <w:p>
      <w:r>
        <w:rPr>
          <w:b w:val="0"/>
        </w:rPr>
        <w:t>The documented CEBRA configuration uses offset36-model-more-dropout, latent dimension 64, hidden dimension 64, temperature 0.4, batch size 2048 and 3,000 encoder iterations, followed by a 2,500-epoch decoder; adversarial training uses ten attack steps. The covariance-aware Madry/APGD variants use a Ledoit-Wolf spatial estimate and white temporal model; the DIFF variants use difference residuals. The control changes the perturbation optimizer to random while retaining nominal d-prime budget 8 and the same geometry. The CPU/headnode extraction itself is non-training.</w:t>
      </w:r>
    </w:p>
    <w:p>
      <w:r>
        <w:rPr>
          <w:b w:val="0"/>
        </w:rPr>
        <w:t>Exp12-v2 evaluates the original checkpoints with the same base epsilon grid {0.5, 1, 2, 4, 8, 16}, white-box 20-step attacks, and refinement level four around the half-clean threshold, including values below 0.5. Both reference noise-shaped and isotropic metrics are evaluated. Kappa is computed using training-split behavioural labels as a diagnostic; time-only representation training does not use those labels.</w:t>
      </w:r>
    </w:p>
    <w:p>
      <w:r>
        <w:rPr>
          <w:b w:val="0"/>
        </w:rPr>
        <w:t>Definitions: Clean R² is the held-out decoder score without adversarial perturbation. Reference (or isotropic) epsilon at half-clean R² denotes the attack budget where robust R² reaches half the clean R². Larger is better. A “sub-0.5 failure” below means a refined reference threshold &lt; 0.5; it is a measurement criterion, not a training failure. Kappa = epsilon_(1/2),refined / epsilon_beh,ref.</w:t>
      </w:r>
    </w:p>
    <w:p>
      <w:pPr>
        <w:pStyle w:val="Heading1"/>
      </w:pPr>
      <w:r>
        <w:t>3. Final results by strategy</w:t>
      </w:r>
    </w:p>
    <w:p>
      <w:pPr>
        <w:pStyle w:val="Heading2"/>
      </w:pPr>
      <w:r>
        <w:t>3.1 Supervised CEBRA (240 jobs including control)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/>
        </w:trP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Method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n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Mean clean R²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Median ref ε½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Median iso ε½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Ref &lt;0.5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Mean κ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PGD6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0.701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1.555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3.265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0.119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DIFF8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0.703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2.049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2.363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0.136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DIFF/AUTO_BEH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0.701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2.058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2.379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0.138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SP/AUTO_SIG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0.700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1.870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1.774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0.129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SP/AUTO_BEH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0.688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1.822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1.574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0.125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POOL/AUTO_BEH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0.695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1.931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2.739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0.133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SP8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0.686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1.228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0.879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0.072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DIFF8_RAND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0.703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1.093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1.287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0.078</w:t>
            </w:r>
          </w:p>
        </w:tc>
      </w:tr>
    </w:tbl>
    <w:p>
      <w:pPr>
        <w:spacing w:after="20"/>
      </w:pPr>
    </w:p>
    <w:p>
      <w:r>
        <w:rPr>
          <w:b w:val="0"/>
        </w:rPr>
        <w:t>DIFF/AUTO_BEH has mean clean R² 0.7012 and median refined reference epsilon 2.0577, close to DIFF8 (0.7028 and 2.0487). All 30 DIFF/AUTO_BEH runs have reference epsilon &gt; 0.5; DIFF8 has three sub-0.5 thresholds, all in T-RT2. SP8 has ten sub-0.5 results, while SP/AUTO_SIG and pooled AUTO_BEH each have none. The isotropic outcome differs: ordinary PGD6 retains a much larger median isotropic threshold (3.265) than the DIFF variants (~2.36–2.38), demonstrating a geometry-dependent robustness trade-off.</w:t>
      </w:r>
    </w:p>
    <w:p>
      <w:pPr>
        <w:pStyle w:val="Heading2"/>
      </w:pPr>
      <w:r>
        <w:t>3.2 Time-only CEBRA (180 jobs including control)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/>
        </w:trP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Method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n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Mean clean R²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Median ref ε½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Median iso ε½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Ref &lt;0.5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Mean κ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PGD6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0.603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1.414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3.488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0.115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DIFF8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0.604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1.880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2.405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0.129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DIFF/AUTO_SIG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0.601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1.919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2.415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0.127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SP/AUTO_SIG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0.585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1.957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1.806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0.127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POOL/AUTO_SIG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0.606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1.725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3.078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0.127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DIFF8_RAND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0.444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0.516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0.674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15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0.038</w:t>
            </w:r>
          </w:p>
        </w:tc>
      </w:tr>
    </w:tbl>
    <w:p>
      <w:pPr>
        <w:spacing w:after="20"/>
      </w:pPr>
    </w:p>
    <w:p>
      <w:r>
        <w:rPr>
          <w:b w:val="0"/>
        </w:rPr>
        <w:t>The label-free AUTO_SIG budget is competitive in time-only learning: DIFF/AUTO_SIG achieves median refined reference epsilon 1.919 compared with 1.880 for DIFF8, while clean R² is lower by 0.00324 on paired observations. No Exp11 time-only arm drops below reference epsilon 0.5; the new random control does so in 15/30 runs and also shows lower mean clean R² (0.444 vs 0.604 for DIFF8).</w:t>
      </w:r>
    </w:p>
    <w:p>
      <w:pPr>
        <w:pStyle w:val="Heading1"/>
      </w:pPr>
      <w:r>
        <w:t>4. Paired inference and sensitivity</w:t>
      </w:r>
    </w:p>
    <w:p>
      <w:r>
        <w:rPr>
          <w:b w:val="0"/>
        </w:rPr>
        <w:t>All paired comparisons match Session and Seed. The reported ratio is exp(mean(log[ε½(A)/ε½(B)])) across 30 pairs. Uncertainty is a percentile 95% bootstrap interval from 30,000 resamples of the ten session-level average log-ratios (fixed seed 2026). These intervals do not establish equivalence without a pre-specified equivalence margin.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/>
        </w:trP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Mode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Comparison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Ref ratio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95% session CI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Wins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Iso ratio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Δ Clean R²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SUP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DIFF/AUTO_BEH / DIFF8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1.133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[0.951, 1.539]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16/30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1.160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-0.0017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SUP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DIFF/AUTO_BEH / PGD6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1.213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[1.073, 1.393]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25/30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0.751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+0.0002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SUP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DIFF8 / PGD6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1.070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[0.849, 1.269]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25/30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0.647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+0.0019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SUP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DIFF8_RAND / DIFF8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0.632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[0.508, 0.871]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3/30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0.689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+0.0003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TIME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DIFF/AUTO_SIG / DIFF8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0.987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[0.973, 1.002]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10/30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0.997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-0.0032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TIME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DIFF/AUTO_SIG / PGD6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1.125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[1.025, 1.243]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22/30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0.700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-0.0021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TIME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DIFF8 / PGD6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1.140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[1.043, 1.257]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24/30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0.702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+0.0011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TIME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DIFF8_RAND / DIFF8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0.289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[0.246, 0.331]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0/30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0.304</w:t>
            </w:r>
          </w:p>
        </w:tc>
        <w:tc>
          <w:tcPr>
            <w:tcW w:type="dxa" w:w="1411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-0.1604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744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fo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4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1. Session-bootstrap uncertainty for the primary within-session and within-seed comparisons.</w:t>
      </w:r>
    </w:p>
    <w:p>
      <w:r>
        <w:rPr>
          <w:b w:val="0"/>
        </w:rPr>
        <w:t>The central supervised result is not robustly “AUTO_BEH outperforms DIFF8”: the all-session ratio is 1.133 but its interval includes 1; the median paired ratio is near unity. T-RT2 accounts for most of the increase because the refined threshold exposes values far below 0.5 in the fixed DIFF8 arm. Removing T-RT2 as a post-hoc sensitivity check yields ratio 0.980 (27 pairs), whereas T-RT2 alone yields 4.211 (three pairs). Accordingly, we interpret the automated rule as matching DIFF8 on most sessions while protecting one difficult session, rather than as uniformly dominating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521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2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2. Most supervised sessions show similar robustness under AUTO_BEH and DIFF8; T-RT2 drives the large average difference.</w:t>
      </w:r>
    </w:p>
    <w:p>
      <w:r>
        <w:br w:type="page"/>
      </w:r>
    </w:p>
    <w:p>
      <w:pPr>
        <w:pStyle w:val="Heading1"/>
      </w:pPr>
      <w:r>
        <w:t>5. Refined threshold estimation and the 0.5 floor</w:t>
      </w:r>
    </w:p>
    <w:p>
      <w:r>
        <w:rPr>
          <w:b w:val="0"/>
        </w:rPr>
        <w:t>The original Exp11 grid began at epsilon 0.5. Under v1 reporting, models whose half-clean threshold was below the first grid point were recorded at 0.5. The v2 local refinement can recover sub-0.5 values, yielding valid “ok” statuses even for thresholds below 0.5. Thus the all-zero “below_floor” status count in the extraction is not a count of actual low-threshold models; use the numeric criterion refined epsilon &lt; 0.5 instead.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/>
        </w:trPr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Supervised model, T-RT2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Median v1/grid ε½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Median refined ε½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Refined &lt;0.5 count (of 3)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PGD6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0.500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0.311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DIFF8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0.500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0.138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DIFF/AUTO_BEH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0.541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0.563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SP8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0.500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0.092</w:t>
            </w:r>
          </w:p>
        </w:tc>
        <w:tc>
          <w:tcPr>
            <w:tcW w:type="dxa" w:w="2469"/>
            <w:vAlign w:val="center"/>
          </w:tcPr>
          <w:p>
            <w:pPr>
              <w:spacing w:after="28" w:before="28"/>
            </w:pPr>
            <w:r>
              <w:rPr>
                <w:sz w:val="16"/>
              </w:rPr>
              <w:t>3</w:t>
            </w:r>
          </w:p>
        </w:tc>
      </w:tr>
    </w:tbl>
    <w:p>
      <w:pPr>
        <w:spacing w:after="20"/>
      </w:pPr>
    </w:p>
    <w:p>
      <w:r>
        <w:rPr>
          <w:b w:val="0"/>
        </w:rPr>
        <w:t>Across the 210 supervised original models, exactly 18 refined reference thresholds are &lt;0.5, matching the number of v1 floor failures, but now with meaningful sub-floor magnitudes. This reinforces rather than overturns the session-level pathology. A better threshold estimator is not a stronger attack by itself; additional adaptive attacks and convergence tests would still be required to make a stronger robustness claim.</w:t>
      </w:r>
    </w:p>
    <w:p>
      <w:pPr>
        <w:pStyle w:val="Heading1"/>
      </w:pPr>
      <w:r>
        <w:t>6. Matched random-direction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17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contr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1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3. Median refined reference robustness: matched random-direction training has substantially lower robustness, particularly in time-only CEBRA.</w:t>
      </w:r>
    </w:p>
    <w:p>
      <w:r>
        <w:rPr>
          <w:b w:val="0"/>
        </w:rPr>
        <w:t>With identical nominal d-prime epsilon = 8 and a matched noise-aware geometry, the RAND control replaces the adversarial direction with a random direction on the d-prime sphere. Supervised RAND/DIFF8 reference ratio = 0.632 (95% session-bootstrap CI 0.508–0.871; only 3/30 seed pairs and 1/10 sessions exceed DIFF8). Clean R² remains similar (mean paired change +0.00027). Thus the robustness reduction cannot be explained by a substantial loss of clean decoding in this mode.</w:t>
      </w:r>
    </w:p>
    <w:p>
      <w:r>
        <w:rPr>
          <w:b w:val="0"/>
        </w:rPr>
        <w:t>Time-only RAND/DIFF8 reference ratio = 0.289 (95% interval 0.246–0.331; 0/30 seed pairs and 0/10 sessions exceed DIFF8). Clean R² falls by 0.1604 in the random control, so its robustness deficit coexists with major deterioration in representation quality. Median training attack-loss gains printed by the summary are approximately 0.568 vs 0.001 (supervised DIFF8 vs RAND) and 0.453 vs 0.005 (time-only). This supports that the control does not produce comparably adverse training perturbations.</w:t>
      </w:r>
    </w:p>
    <w:p>
      <w:r>
        <w:rPr>
          <w:b w:val="0"/>
        </w:rPr>
        <w:t>The random-direction control rules out the narrower explanation that matched random perturbations on the same d-prime sphere suffice to reproduce the observed performance. It is not the same experiment as Gaussian augmentation with matched mean/covariance, nor does it prove that every noise-augmentation baseline is inferior.</w:t>
      </w:r>
    </w:p>
    <w:p>
      <w:pPr>
        <w:pStyle w:val="Heading1"/>
      </w:pPr>
      <w:r>
        <w:t>7. Behaviour-distance normalization (κ)</w:t>
      </w:r>
    </w:p>
    <w:p>
      <w:r>
        <w:rPr>
          <w:b w:val="0"/>
        </w:rPr>
        <w:t>The reference-scale quantity κ = refined ε½ / ε_beh,ref uses a behavioural distance computed from training labels in the evaluation metric. Mean κ for supervised DIFF8 is 0.1358 and DIFF/AUTO_BEH is 0.1378; corresponding time-only DIFF8 and DIFF/AUTO_SIG means are 0.1287 and 0.1272. The supervised DIFF8 κ coefficient of variation is approximately 0.334 and the time-only DIFF8 coefficient of variation is approximately 0.152 using the printed per-run values. The comparison is compatible with a shared characteristic robustness scale, with substantial session/model deviations.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/>
        </w:trPr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Session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ε_beh,ref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SUP DIFF8 κ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SUP AUTO_BEH κ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TIME DIFF8 κ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TIME AUTO_SIG κ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C-CO2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16.19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0.113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0.118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0.106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0.105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C-CO21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15.23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0.164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0.163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0.144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0.140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C-CO25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15.98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0.156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0.156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0.140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0.138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C-CO26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15.39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0.145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0.146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0.137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0.136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C-CO39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18.33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0.128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0.120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0.125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0.131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C-RT12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12.82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0.131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0.135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0.084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0.082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J-CO1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7.59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0.179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0.153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0.142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0.132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M-CO7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12.08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0.166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0.161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0.141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0.135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T-CO1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13.23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0.157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0.156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0.153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0.152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T-RT2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8.11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0.017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0.069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0.118</w:t>
            </w:r>
          </w:p>
        </w:tc>
        <w:tc>
          <w:tcPr>
            <w:tcW w:type="dxa" w:w="1646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0.115</w:t>
            </w:r>
          </w:p>
        </w:tc>
      </w:tr>
    </w:tbl>
    <w:p>
      <w:pPr>
        <w:spacing w:after="20"/>
      </w:pPr>
    </w:p>
    <w:p>
      <w:r>
        <w:rPr>
          <w:b w:val="0"/>
        </w:rPr>
        <w:t>An important interpretive limitation is that κ divides one distance in the reference geometry by another distance defined in the same geometry. Part of the stability may reflect shared metric scaling. Additionally, the κ values here are evaluated from measured robustness; to establish prospective prediction of robustness on a wholly new dataset, the factor itself must be frozen on a separate training cohort and evaluated without post-hoc recalibration.</w:t>
      </w:r>
    </w:p>
    <w:p>
      <w:pPr>
        <w:pStyle w:val="Heading1"/>
      </w:pPr>
      <w:r>
        <w:t>8. Automated budget calibration: what is and is not demonstrated</w:t>
      </w:r>
    </w:p>
    <w:p>
      <w:r>
        <w:rPr>
          <w:b w:val="0"/>
        </w:rPr>
        <w:t>DIFF/AUTO_BEH chooses a session-dependent budget using training behaviour with the previously frozen 0.363 coefficient and an upper cap (2D)^(1/4). In Exp11, seven of ten session budgets were cap-limited, making them close to an effectively dimension-dependent constant. Three sessions (T-RT2, J-CO1, C-RT12) were directly reduced by the behavioural term. Exp12 leaves these trained checkpoints and budgets unchanged. The strongest supported contribution is therefore a deployable, training-data-derived epsilon policy that tracks a strong fixed-budget reference, with material protection against an especially brittle session; the incremental contribution of the behavioural term beyond the cap needs additional ablation.</w:t>
      </w:r>
    </w:p>
    <w:p>
      <w:r>
        <w:rPr>
          <w:b w:val="0"/>
        </w:rPr>
        <w:t>DIFF8 is a strong fixed manual baseline, not a demonstrated per-session epsilon oracle. Exp12 therefore does not establish equivalence to the best possible manually tuned epsilon for every session. Nor do the 95% cluster-bootstrap intervals constitute a formal equivalence test. The independent value of automated calibration is the absence of a fresh per-session epsilon sweep, rather than a guaranteed increase over every fixed setting.</w:t>
      </w:r>
    </w:p>
    <w:p>
      <w:pPr>
        <w:pStyle w:val="Heading1"/>
      </w:pPr>
      <w:r>
        <w:t>9. Limitations, checks and recommended next experiments</w:t>
      </w:r>
    </w:p>
    <w:p>
      <w:pPr>
        <w:pStyle w:val="ListBullet"/>
      </w:pPr>
      <w:r>
        <w:t>Measurement: although all 420 reference/isotropic refined status fields are “ok”, thresholds for 18 original supervised models lie below 0.5. Always evaluate failure counts from numeric refined thresholds, not the “below_floor” status label.</w:t>
      </w:r>
    </w:p>
    <w:p>
      <w:pPr>
        <w:pStyle w:val="ListBullet"/>
      </w:pPr>
      <w:r>
        <w:t>Statistical power: 10 sessions (not 30 biologically independent samples) underlie the cluster-level intervals. Additional animal- or dataset-level holdouts are required.</w:t>
      </w:r>
    </w:p>
    <w:p>
      <w:pPr>
        <w:pStyle w:val="ListBullet"/>
      </w:pPr>
      <w:r>
        <w:t>Attack strength: the v2 summaries document 20 white-box evaluation steps; stronger multi-restart or adaptive attack audits remain a separate check.</w:t>
      </w:r>
    </w:p>
    <w:p>
      <w:pPr>
        <w:pStyle w:val="ListBullet"/>
      </w:pPr>
      <w:r>
        <w:t>Matched control: random-direction perturbations are weaker than adversarial perturbations, but a direct Gaussian/covariance-matched noise-augmentation arm has not yet been run.</w:t>
      </w:r>
    </w:p>
    <w:p>
      <w:pPr>
        <w:pStyle w:val="ListBullet"/>
      </w:pPr>
      <w:r>
        <w:t>Generalization: the 10 new sessions are still Perich data. Transfer to a different species, brain region and behavioural task is untested.</w:t>
      </w:r>
    </w:p>
    <w:p>
      <w:pPr>
        <w:pStyle w:val="ListBullet"/>
      </w:pPr>
      <w:r>
        <w:t>Kappa: the reported mean ratios are promising but insufficient to establish a universal neural robustness bound; session-level outliers, especially T-RT2, deserve investigation.</w:t>
      </w:r>
    </w:p>
    <w:p>
      <w:r>
        <w:rPr>
          <w:b w:val="0"/>
        </w:rPr>
        <w:t>Recommended next steps: (i) freeze evaluation and method hyperparameters before using an external dataset; (ii) test an independently selected dataset with both budget-selection and κ predictions pre-registered; (iii) add a properly matched Gaussian-noise control if required by reviewers; (iv) establish equivalence margins in advance for automatic-vs-fixed epsilon comparisons; and (v) archive the source JSONs, checkpoint hashes and environment manifest with the final results.</w:t>
      </w:r>
    </w:p>
    <w:p>
      <w:pPr>
        <w:pStyle w:val="Heading1"/>
      </w:pPr>
      <w:r>
        <w:t>10. Bottom line</w:t>
      </w:r>
    </w:p>
    <w:p>
      <w:r>
        <w:rPr>
          <w:b w:val="0"/>
        </w:rPr>
        <w:t>Exp12 materially strengthens Exp11. A refined measurement reveals the depth of floor failures and sharpens the T-RT2 contrast while preserving near-fixed-baseline performance on most sessions. The random-direction control provides a second, distinct result: geometry alone without adversarial direction does not reproduce the robustness observed under DIFF8 training. The data support automatic epsilon calibration as a practical alternative to repeated manual tuning and support the importance of optimizing the adversarial direction. They do not establish universal superiority, a complete causal exclusion of all augmentation baselines, or an external-dataset generalization guarantee.</w:t>
      </w:r>
    </w:p>
    <w:p>
      <w:r>
        <w:br w:type="page"/>
      </w:r>
    </w:p>
    <w:p>
      <w:pPr>
        <w:pStyle w:val="Heading1"/>
      </w:pPr>
      <w:r>
        <w:t>Appendix A — Session-level refined reference thresholds</w:t>
      </w:r>
    </w:p>
    <w:p>
      <w:pPr>
        <w:pStyle w:val="Smallnote"/>
      </w:pPr>
      <w:r>
        <w:rPr>
          <w:b w:val="0"/>
        </w:rPr>
        <w:t>For each session the table reports the median over three seeds. Full 420-run values, both geometries, kappa, original thresholds and training metrics are in the accompanying CSV.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/>
        </w:trPr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Session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SUP PGD6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SUP DIFF8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SUP BEH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SUP RAND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TIME DIFF8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TIME SIG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TIME RAND</w:t>
            </w:r>
          </w:p>
        </w:tc>
      </w:tr>
      <w:tr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C-CO2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1.173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1.822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1.910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1.191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1.712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1.694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0.598</w:t>
            </w:r>
          </w:p>
        </w:tc>
      </w:tr>
      <w:tr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C-CO21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2.432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2.492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2.487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1.543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2.199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2.130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0.618</w:t>
            </w:r>
          </w:p>
        </w:tc>
      </w:tr>
      <w:tr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C-CO25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2.202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2.496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2.494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1.505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2.240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2.205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0.541</w:t>
            </w:r>
          </w:p>
        </w:tc>
      </w:tr>
      <w:tr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C-CO26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2.096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2.231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2.254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1.433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2.110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2.098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0.570</w:t>
            </w:r>
          </w:p>
        </w:tc>
      </w:tr>
      <w:tr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C-CO39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2.081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2.337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2.201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1.097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2.290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2.407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0.391</w:t>
            </w:r>
          </w:p>
        </w:tc>
      </w:tr>
      <w:tr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C-RT12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1.479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1.678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1.727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0.915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1.081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1.056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0.383</w:t>
            </w:r>
          </w:p>
        </w:tc>
      </w:tr>
      <w:tr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J-CO1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1.292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1.363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1.160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0.707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1.077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0.999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0.354</w:t>
            </w:r>
          </w:p>
        </w:tc>
      </w:tr>
      <w:tr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M-CO7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1.612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2.004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1.945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1.089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1.708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1.631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0.697</w:t>
            </w:r>
          </w:p>
        </w:tc>
      </w:tr>
      <w:tr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T-CO1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1.513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2.076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2.065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0.781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2.026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2.013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0.638</w:t>
            </w:r>
          </w:p>
        </w:tc>
      </w:tr>
      <w:tr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T-RT2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0.311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0.138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0.563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0.300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0.958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0.930</w:t>
            </w:r>
          </w:p>
        </w:tc>
        <w:tc>
          <w:tcPr>
            <w:tcW w:type="dxa" w:w="1235"/>
            <w:vAlign w:val="center"/>
          </w:tcPr>
          <w:p>
            <w:pPr>
              <w:spacing w:after="28" w:before="28"/>
            </w:pPr>
            <w:r>
              <w:rPr>
                <w:sz w:val="15"/>
              </w:rPr>
              <w:t>0.284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 — Provenance and reproducibility notes</w:t>
      </w:r>
    </w:p>
    <w:p>
      <w:r>
        <w:rPr>
          <w:b w:val="0"/>
        </w:rPr>
        <w:t>Source: the terminal export of Exp12 complete final results supplied by the researcher (420 per-model rows; four suite integrity checks; official exp12_summary.py text). The accompanying CSV was reconstructed from those printed per-model records, not guessed from aggregate tables. The analysis verified all 420 unique (suite, session, seed, experiment) records, zero error statuses, numerical consistency of κ with refined ε½ / ε_beh,ref, and expected group sizes (210 + 150 + 30 + 30).</w:t>
      </w:r>
    </w:p>
    <w:p>
      <w:r>
        <w:rPr>
          <w:b w:val="0"/>
        </w:rPr>
        <w:t>Output CSV: Exp12_All_420_Models_Detailed_Results.csv. Its first 22 columns reproduce all fields from the individual-model terminal table; derived fields provide mode, run kind, numeric sub-0.5 flags, and recomputed κ for auditing. The CSV does not include raw intermediate points from every v2 refinement or checkpoints, which were not part of the terminal export.</w:t>
      </w:r>
    </w:p>
    <w:p>
      <w:r>
        <w:rPr>
          <w:b w:val="0"/>
        </w:rPr>
        <w:t>This report uses descriptive summaries and cluster-bootstrap comparisons computed from the 420 extracted records. The research team should retain the original machine-generated summary_v2.csv, robust_eval_v2 JSON files, code version and checkpoint hashes for any formal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75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i/>
      </w:rPr>
      <w:t xml:space="preserve">Exp12 validation  |  Perich sessions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RESEARCH RESULTS  /  EXP12  / 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633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654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65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F365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F6F7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