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155cc"/>
          <w:sz w:val="24"/>
          <w:szCs w:val="24"/>
          <w:u w:val="single"/>
        </w:rPr>
      </w:pPr>
      <w:r w:rsidDel="00000000" w:rsidR="00000000" w:rsidRPr="00000000">
        <w:rPr>
          <w:sz w:val="24"/>
          <w:szCs w:val="24"/>
          <w:rtl w:val="0"/>
        </w:rPr>
        <w:t xml:space="preserve">Hendriks, Jan, &amp; Blume, Stuart. (2013). Measles Vaccination Before the Measles-Mumps-Rubella Vaccine. American Journal of Public Health, 103(8), 1393–1401.</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https://doi.org/10.2105/AJPH.2012.301075</w:t>
        </w:r>
      </w:hyperlink>
      <w:r w:rsidDel="00000000" w:rsidR="00000000" w:rsidRPr="00000000">
        <w:rPr>
          <w:rtl w:val="0"/>
        </w:rPr>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sz w:val="24"/>
          <w:szCs w:val="24"/>
          <w:rtl w:val="0"/>
        </w:rPr>
        <w:t xml:space="preserve">before vaccine, measles mortality was declining in industrialized countries because of antibiotics and improvements in living conditions</w:t>
      </w:r>
    </w:p>
    <w:p w:rsidR="00000000" w:rsidDel="00000000" w:rsidP="00000000" w:rsidRDefault="00000000" w:rsidRPr="00000000" w14:paraId="0000000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March 1963: first two measles vaccines approved for use in the US (live vaccine and formalin-inactivated)</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September 1963: the live vaccine has been given to some 25,000 people in the US</w:t>
      </w:r>
    </w:p>
    <w:p w:rsidR="00000000" w:rsidDel="00000000" w:rsidP="00000000" w:rsidRDefault="00000000" w:rsidRPr="00000000" w14:paraId="00000005">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single dose produced an effective antibody response in more than 95% of susceptible children</w:t>
      </w:r>
    </w:p>
    <w:p w:rsidR="00000000" w:rsidDel="00000000" w:rsidP="00000000" w:rsidRDefault="00000000" w:rsidRPr="00000000" w14:paraId="0000000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sz w:val="24"/>
          <w:szCs w:val="24"/>
          <w:rtl w:val="0"/>
        </w:rPr>
        <w:t xml:space="preserve">30% to 40% of children showed signs of temporary high fever and a rash after vaccination which was reduced by coadministration of y globulin</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recommendations were that children without a history of measles be immunized at approximately aged nine months, no mass immunization program, decision to immunize could be let to individual medical practicioners and parents</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Vaccine Assistance Act: passed in 1962, provided financial aassistance to states for vaccination programs against polio, diphtheria, whooping cough, and tetanus</w:t>
      </w:r>
    </w:p>
    <w:p w:rsidR="00000000" w:rsidDel="00000000" w:rsidP="00000000" w:rsidRDefault="00000000" w:rsidRPr="00000000" w14:paraId="0000000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Vaccine Assistance Act Renewed (1965): added measles to the diseases available for financial assistance</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15 million children were given measles vaccine from 1963 until mid 1966</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Campaign to eliminate measles from the US (1967)</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4"/>
          <w:szCs w:val="24"/>
          <w:rtl w:val="0"/>
        </w:rPr>
        <w:t xml:space="preserve">11.7 million doses of measles vaccine distributed in 1967-1968</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1155cc"/>
          <w:sz w:val="24"/>
          <w:szCs w:val="24"/>
          <w:u w:val="single"/>
        </w:rPr>
      </w:pPr>
      <w:r w:rsidDel="00000000" w:rsidR="00000000" w:rsidRPr="00000000">
        <w:rPr>
          <w:sz w:val="24"/>
          <w:szCs w:val="24"/>
          <w:rtl w:val="0"/>
        </w:rPr>
        <w:t xml:space="preserve">Conis, Elena. (2019). Measles and the Modern History of Vaccination. Public Health Reports (1974), 134(2), 118–125.</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https://doi.org/10.1177/0033354919826558</w:t>
        </w:r>
      </w:hyperlink>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sz w:val="24"/>
          <w:szCs w:val="24"/>
          <w:rtl w:val="0"/>
        </w:rPr>
        <w:t xml:space="preserve">6 months into 1967 campaign: weekly cases of measles fell to 200 from an average of 1000 cases per week in prevaccine era</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1968 saw 22000 cases compared with an average of 450000 cases per year in vaccine era</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measles cases increased back up in 1969 to 1971</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vaccines primarily administered by private practice</w:t>
      </w:r>
    </w:p>
    <w:p w:rsidR="00000000" w:rsidDel="00000000" w:rsidP="00000000" w:rsidRDefault="00000000" w:rsidRPr="00000000" w14:paraId="0000001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measles became "a disease of the Negro population and the population with Spanish surnames" - written by Suzanne Dandoy, epdimiologist at UCLA</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cases begun to concentrate among younger children</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unpredicted challenges discovered from late 1960s to late 1970s:</w:t>
      </w:r>
    </w:p>
    <w:p w:rsidR="00000000" w:rsidDel="00000000" w:rsidP="00000000" w:rsidRDefault="00000000" w:rsidRPr="00000000" w14:paraId="0000001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members of the middle class and upper class were easily pursuaded the measles was worth preventing</w:t>
      </w:r>
    </w:p>
    <w:p w:rsidR="00000000" w:rsidDel="00000000" w:rsidP="00000000" w:rsidRDefault="00000000" w:rsidRPr="00000000" w14:paraId="00000018">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sz w:val="24"/>
          <w:szCs w:val="24"/>
          <w:rtl w:val="0"/>
        </w:rPr>
        <w:t xml:space="preserve">long lines and short hours at out of reach public health clinics</w:t>
      </w:r>
    </w:p>
    <w:p w:rsidR="00000000" w:rsidDel="00000000" w:rsidP="00000000" w:rsidRDefault="00000000" w:rsidRPr="00000000" w14:paraId="00000019">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sz w:val="24"/>
          <w:szCs w:val="24"/>
          <w:rtl w:val="0"/>
        </w:rPr>
        <w:t xml:space="preserve">improper vaccine storage</w:t>
      </w:r>
    </w:p>
    <w:p w:rsidR="00000000" w:rsidDel="00000000" w:rsidP="00000000" w:rsidRDefault="00000000" w:rsidRPr="00000000" w14:paraId="0000001A">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sz w:val="24"/>
          <w:szCs w:val="24"/>
          <w:rtl w:val="0"/>
        </w:rPr>
        <w:t xml:space="preserve">poor record keeping</w:t>
      </w:r>
    </w:p>
    <w:p w:rsidR="00000000" w:rsidDel="00000000" w:rsidP="00000000" w:rsidRDefault="00000000" w:rsidRPr="00000000" w14:paraId="0000001B">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sz w:val="24"/>
          <w:szCs w:val="24"/>
          <w:rtl w:val="0"/>
        </w:rPr>
        <w:t xml:space="preserve">failure to vaccinate at the recommended age</w:t>
      </w:r>
    </w:p>
    <w:p w:rsidR="00000000" w:rsidDel="00000000" w:rsidP="00000000" w:rsidRDefault="00000000" w:rsidRPr="00000000" w14:paraId="0000001C">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sz w:val="24"/>
          <w:szCs w:val="24"/>
          <w:rtl w:val="0"/>
        </w:rPr>
        <w:t xml:space="preserve">vaccination ratee higher than 55% needed to achieve herd immunity</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Solution:</w:t>
      </w:r>
      <w:r w:rsidDel="00000000" w:rsidR="00000000" w:rsidRPr="00000000">
        <w:rPr>
          <w:rtl w:val="0"/>
        </w:rPr>
        <w:t xml:space="preserve"> </w:t>
      </w:r>
    </w:p>
    <w:p w:rsidR="00000000" w:rsidDel="00000000" w:rsidP="00000000" w:rsidRDefault="00000000" w:rsidRPr="00000000" w14:paraId="0000001E">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combined vaccine</w:t>
      </w:r>
    </w:p>
    <w:p w:rsidR="00000000" w:rsidDel="00000000" w:rsidP="00000000" w:rsidRDefault="00000000" w:rsidRPr="00000000" w14:paraId="0000001F">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sz w:val="24"/>
          <w:szCs w:val="24"/>
          <w:rtl w:val="0"/>
        </w:rPr>
        <w:t xml:space="preserve">laws to force parents to provide proof of vaccination before school enrollment</w:t>
      </w:r>
    </w:p>
    <w:p w:rsidR="00000000" w:rsidDel="00000000" w:rsidP="00000000" w:rsidRDefault="00000000" w:rsidRPr="00000000" w14:paraId="00000020">
      <w:pPr>
        <w:numPr>
          <w:ilvl w:val="3"/>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sz w:val="24"/>
          <w:szCs w:val="24"/>
          <w:rtl w:val="0"/>
        </w:rPr>
        <w:t xml:space="preserve">laws were controversial because of enforcement challenges and ideological disagreements with constitutionally protected religious rights and personal freedom</w:t>
      </w:r>
    </w:p>
    <w:p w:rsidR="00000000" w:rsidDel="00000000" w:rsidP="00000000" w:rsidRDefault="00000000" w:rsidRPr="00000000" w14:paraId="00000021">
      <w:pPr>
        <w:numPr>
          <w:ilvl w:val="4"/>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3600" w:hanging="360"/>
      </w:pPr>
      <w:r w:rsidDel="00000000" w:rsidR="00000000" w:rsidRPr="00000000">
        <w:rPr>
          <w:sz w:val="24"/>
          <w:szCs w:val="24"/>
          <w:rtl w:val="0"/>
        </w:rPr>
        <w:t xml:space="preserve">Public health officials argued laws were necessary to ensure immunization of the "hard to reach"</w:t>
      </w:r>
    </w:p>
    <w:p w:rsidR="00000000" w:rsidDel="00000000" w:rsidP="00000000" w:rsidRDefault="00000000" w:rsidRPr="00000000" w14:paraId="00000022">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Immunization laws supported by a measles outbreak in Texarkana (divided by the Texas-Arkansas state line) where arkansas required measles immunization while texas did not and case rate among children in Texas was 12 times higher than among children across the border</w:t>
      </w:r>
    </w:p>
    <w:p w:rsidR="00000000" w:rsidDel="00000000" w:rsidP="00000000" w:rsidRDefault="00000000" w:rsidRPr="00000000" w14:paraId="00000023">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National Childhood Immunization Initiative (1977) funneled federal resources to states to encourage mass immunization and asked governors to ensure immunization laws covered all recommended vaccines (polio, diphtheria, pertussis, tetanus, mumps, rubella, and measles)</w:t>
      </w:r>
    </w:p>
    <w:p w:rsidR="00000000" w:rsidDel="00000000" w:rsidP="00000000" w:rsidRDefault="00000000" w:rsidRPr="00000000" w14:paraId="00000024">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sz w:val="24"/>
          <w:szCs w:val="24"/>
          <w:rtl w:val="0"/>
        </w:rPr>
        <w:t xml:space="preserve">immunization rates among children was close to 90%, and 96% by 1981</w:t>
      </w:r>
    </w:p>
    <w:p w:rsidR="00000000" w:rsidDel="00000000" w:rsidP="00000000" w:rsidRDefault="00000000" w:rsidRPr="00000000" w14:paraId="00000025">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Vaccine hesitancy had been present since first vaccine against smallpox (1790s)</w:t>
      </w:r>
    </w:p>
    <w:p w:rsidR="00000000" w:rsidDel="00000000" w:rsidP="00000000" w:rsidRDefault="00000000" w:rsidRPr="00000000" w14:paraId="00000026">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fear of vaccine as a potential cause of rising number of developmental and learning disabilities in children</w:t>
      </w:r>
    </w:p>
    <w:p w:rsidR="00000000" w:rsidDel="00000000" w:rsidP="00000000" w:rsidRDefault="00000000" w:rsidRPr="00000000" w14:paraId="00000027">
      <w:pPr>
        <w:numPr>
          <w:ilvl w:val="1"/>
          <w:numId w:val="4"/>
        </w:numPr>
        <w:pBdr>
          <w:top w:color="auto" w:space="0" w:sz="0" w:val="none"/>
          <w:bottom w:color="auto" w:space="0" w:sz="0" w:val="none"/>
          <w:right w:color="auto" w:space="0" w:sz="0" w:val="none"/>
          <w:between w:color="auto" w:space="0" w:sz="0" w:val="none"/>
        </w:pBdr>
        <w:spacing w:after="60" w:before="0" w:beforeAutospacing="0" w:lineRule="auto"/>
        <w:ind w:left="1440" w:hanging="360"/>
      </w:pPr>
      <w:r w:rsidDel="00000000" w:rsidR="00000000" w:rsidRPr="00000000">
        <w:rPr>
          <w:sz w:val="24"/>
          <w:szCs w:val="24"/>
          <w:rtl w:val="0"/>
        </w:rPr>
        <w:t xml:space="preserve">1968 National Childhood Vaccine Injury Act: required the federal government to inform parents of vaccine benefits and risks required vaccine providers to report vaccine injuries to federal authorities, and established the National Vaccine Injury Compensation Program -vaccine-hesitant persons had been articulating a long list of fears for 2 decades: about sudden infant death syndrome, immune dysfunction, neurodevelopmental disorders (including autism), neurological damage (related to the vaccines against influenza and hepatitis B), and cancer (and its connection to polio vaccination). -In 2011, the nation had more than 200 cases of measles, up from an annual average of about 60 in previous years. -outbreak spread from a case at Disneyland in 2014, and the number of measles cases for the year jumped to 667 -California lawmakers responded to the outbreak and ensuing media storm by eliminating the state’s personal-beliefs exemption (which covered both philosophical and religious exemptions)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color w:val="1155cc"/>
          <w:sz w:val="24"/>
          <w:szCs w:val="24"/>
          <w:u w:val="single"/>
        </w:rPr>
      </w:pPr>
      <w:r w:rsidDel="00000000" w:rsidR="00000000" w:rsidRPr="00000000">
        <w:rPr>
          <w:sz w:val="24"/>
          <w:szCs w:val="24"/>
          <w:rtl w:val="0"/>
        </w:rPr>
        <w:t xml:space="preserve">Hinman, A. R., Orenstein, W. A., &amp; Schuchat, A. (2011). Vaccine-preventable diseases, immunizations, and MMWR—1961–2011. MMWR Supplements, 60(4), 49–57.</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https://www.cdc.gov/mmwr/preview/mmwrhtml/su6004a9.htm</w:t>
        </w:r>
      </w:hyperlink>
      <w:r w:rsidDel="00000000" w:rsidR="00000000" w:rsidRPr="00000000">
        <w:rPr>
          <w:rtl w:val="0"/>
        </w:rPr>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pacing w:after="60" w:before="60" w:lineRule="auto"/>
        <w:ind w:left="720" w:hanging="360"/>
      </w:pPr>
      <w:r w:rsidDel="00000000" w:rsidR="00000000" w:rsidRPr="00000000">
        <w:rPr>
          <w:sz w:val="24"/>
          <w:szCs w:val="24"/>
          <w:rtl w:val="0"/>
        </w:rPr>
        <w:t xml:space="preserve">information on the establishment of Nationwide immunization program</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rFonts w:ascii="Arial" w:cs="Arial" w:eastAsia="Arial" w:hAnsi="Arial"/>
        <w:b w:val="0"/>
        <w:bCs w:val="0"/>
        <w:i w:val="0"/>
        <w:iCs w:val="0"/>
        <w:smallCaps w:val="0"/>
        <w:sz w:val="24"/>
        <w:szCs w:val="24"/>
        <w:u w:val="none"/>
      </w:rPr>
    </w:lvl>
    <w:lvl w:ilvl="2">
      <w:start w:val="1"/>
      <w:numFmt w:val="bullet"/>
      <w:lvlText w:val="○"/>
      <w:lvlJc w:val="left"/>
      <w:pPr>
        <w:ind w:left="2160" w:hanging="360"/>
      </w:pPr>
      <w:rPr>
        <w:rFonts w:ascii="Arial" w:cs="Arial" w:eastAsia="Arial" w:hAnsi="Arial"/>
        <w:b w:val="0"/>
        <w:bCs w:val="0"/>
        <w:i w:val="0"/>
        <w:iCs w:val="0"/>
        <w:smallCaps w:val="0"/>
        <w:sz w:val="24"/>
        <w:szCs w:val="24"/>
        <w:u w:val="none"/>
      </w:rPr>
    </w:lvl>
    <w:lvl w:ilvl="3">
      <w:start w:val="1"/>
      <w:numFmt w:val="bullet"/>
      <w:lvlText w:val="○"/>
      <w:lvlJc w:val="left"/>
      <w:pPr>
        <w:ind w:left="2880" w:hanging="360"/>
      </w:pPr>
      <w:rPr>
        <w:rFonts w:ascii="Arial" w:cs="Arial" w:eastAsia="Arial" w:hAnsi="Arial"/>
        <w:b w:val="0"/>
        <w:bCs w:val="0"/>
        <w:i w:val="0"/>
        <w:iCs w:val="0"/>
        <w:smallCaps w:val="0"/>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rFonts w:ascii="Arial" w:cs="Arial" w:eastAsia="Arial" w:hAnsi="Arial"/>
        <w:b w:val="0"/>
        <w:bCs w:val="0"/>
        <w:i w:val="0"/>
        <w:iCs w:val="0"/>
        <w:smallCaps w:val="0"/>
        <w:sz w:val="24"/>
        <w:szCs w:val="24"/>
        <w:u w:val="none"/>
      </w:rPr>
    </w:lvl>
    <w:lvl w:ilvl="2">
      <w:start w:val="1"/>
      <w:numFmt w:val="bullet"/>
      <w:lvlText w:val="○"/>
      <w:lvlJc w:val="left"/>
      <w:pPr>
        <w:ind w:left="2160" w:hanging="360"/>
      </w:pPr>
      <w:rPr>
        <w:rFonts w:ascii="Arial" w:cs="Arial" w:eastAsia="Arial" w:hAnsi="Arial"/>
        <w:b w:val="0"/>
        <w:bCs w:val="0"/>
        <w:i w:val="0"/>
        <w:iCs w:val="0"/>
        <w:smallCaps w:val="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rFonts w:ascii="Arial" w:cs="Arial" w:eastAsia="Arial" w:hAnsi="Arial"/>
        <w:b w:val="0"/>
        <w:bCs w:val="0"/>
        <w:i w:val="0"/>
        <w:iCs w:val="0"/>
        <w:smallCaps w:val="0"/>
        <w:sz w:val="24"/>
        <w:szCs w:val="24"/>
        <w:u w:val="none"/>
      </w:rPr>
    </w:lvl>
    <w:lvl w:ilvl="2">
      <w:start w:val="1"/>
      <w:numFmt w:val="bullet"/>
      <w:lvlText w:val="○"/>
      <w:lvlJc w:val="left"/>
      <w:pPr>
        <w:ind w:left="2160" w:hanging="360"/>
      </w:pPr>
      <w:rPr>
        <w:rFonts w:ascii="Arial" w:cs="Arial" w:eastAsia="Arial" w:hAnsi="Arial"/>
        <w:b w:val="0"/>
        <w:bCs w:val="0"/>
        <w:i w:val="0"/>
        <w:iCs w:val="0"/>
        <w:smallCaps w:val="0"/>
        <w:sz w:val="24"/>
        <w:szCs w:val="24"/>
        <w:u w:val="none"/>
      </w:rPr>
    </w:lvl>
    <w:lvl w:ilvl="3">
      <w:start w:val="1"/>
      <w:numFmt w:val="bullet"/>
      <w:lvlText w:val="○"/>
      <w:lvlJc w:val="left"/>
      <w:pPr>
        <w:ind w:left="2880" w:hanging="360"/>
      </w:pPr>
      <w:rPr>
        <w:rFonts w:ascii="Arial" w:cs="Arial" w:eastAsia="Arial" w:hAnsi="Arial"/>
        <w:b w:val="0"/>
        <w:bCs w:val="0"/>
        <w:i w:val="0"/>
        <w:iCs w:val="0"/>
        <w:smallCaps w:val="0"/>
        <w:sz w:val="24"/>
        <w:szCs w:val="24"/>
        <w:u w:val="none"/>
      </w:rPr>
    </w:lvl>
    <w:lvl w:ilvl="4">
      <w:start w:val="1"/>
      <w:numFmt w:val="bullet"/>
      <w:lvlText w:val="○"/>
      <w:lvlJc w:val="left"/>
      <w:pPr>
        <w:ind w:left="3600" w:hanging="360"/>
      </w:pPr>
      <w:rPr>
        <w:rFonts w:ascii="Arial" w:cs="Arial" w:eastAsia="Arial" w:hAnsi="Arial"/>
        <w:b w:val="0"/>
        <w:bCs w:val="0"/>
        <w:i w:val="0"/>
        <w:iCs w:val="0"/>
        <w:smallCaps w:val="0"/>
        <w:sz w:val="24"/>
        <w:szCs w:val="24"/>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dc.gov/mmwr/preview/mmwrhtml/su6004a9.htm" TargetMode="External"/><Relationship Id="rId10" Type="http://schemas.openxmlformats.org/officeDocument/2006/relationships/hyperlink" Target="https://www.cdc.gov/mmwr/preview/mmwrhtml/su6004a9.htm" TargetMode="External"/><Relationship Id="rId9" Type="http://schemas.openxmlformats.org/officeDocument/2006/relationships/hyperlink" Target="https://doi.org/10.1177/0033354919826558" TargetMode="External"/><Relationship Id="rId5" Type="http://schemas.openxmlformats.org/officeDocument/2006/relationships/styles" Target="styles.xml"/><Relationship Id="rId6" Type="http://schemas.openxmlformats.org/officeDocument/2006/relationships/hyperlink" Target="https://doi.org/10.2105/AJPH.2012.301075" TargetMode="External"/><Relationship Id="rId7" Type="http://schemas.openxmlformats.org/officeDocument/2006/relationships/hyperlink" Target="https://doi.org/10.2105/AJPH.2012.301075" TargetMode="External"/><Relationship Id="rId8" Type="http://schemas.openxmlformats.org/officeDocument/2006/relationships/hyperlink" Target="https://doi.org/10.1177/0033354919826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