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IR Fixes and Suggestions</w:t>
      </w:r>
    </w:p>
    <w:p>
      <w:pPr>
        <w:jc w:val="center"/>
      </w:pPr>
      <w:r>
        <w:rPr>
          <w:i/>
        </w:rPr>
        <w:t>Prepared for: Amir Zuhaily Bin Zaily - Investigation Report review copy</w:t>
      </w:r>
    </w:p>
    <w:p>
      <w:pPr>
        <w:jc w:val="left"/>
      </w:pPr>
      <w:r>
        <w:rPr>
          <w:b/>
          <w:highlight w:val="yellow"/>
        </w:rPr>
        <w:t>Note: All highlighted text in this document is suggested wording that you can adapt into the original IR.</w:t>
      </w:r>
    </w:p>
    <w:p/>
    <w:p>
      <w:pPr>
        <w:pStyle w:val="Heading1"/>
      </w:pPr>
      <w:r>
        <w:t>1. Main review points</w:t>
      </w:r>
    </w:p>
    <w:p>
      <w:pPr>
        <w:pStyle w:val="ListBullet"/>
        <w:spacing w:after="40"/>
      </w:pPr>
      <w:r>
        <w:t>Clarify the methodology in the Abstract, especially how NASA POWER and Malaysia-specific data are used.</w:t>
      </w:r>
    </w:p>
    <w:p>
      <w:pPr>
        <w:pStyle w:val="ListBullet"/>
        <w:spacing w:after="40"/>
      </w:pPr>
      <w:r>
        <w:t>Separate regression evaluation from classification evaluation. Solar irradiance forecasting should not rely only on confusion matrix or ROC-style measures.</w:t>
      </w:r>
    </w:p>
    <w:p>
      <w:pPr>
        <w:pStyle w:val="ListBullet"/>
        <w:spacing w:after="40"/>
      </w:pPr>
      <w:r>
        <w:t>Standardise heading levels and convert important list-style labels into real headings where needed.</w:t>
      </w:r>
    </w:p>
    <w:p>
      <w:pPr>
        <w:pStyle w:val="ListBullet"/>
        <w:spacing w:after="40"/>
      </w:pPr>
      <w:r>
        <w:t>Tighten wording in the Aim, Objectives, Constraints, and Conclusion so the report sounds precise and academically consistent.</w:t>
      </w:r>
    </w:p>
    <w:p>
      <w:pPr>
        <w:pStyle w:val="ListBullet"/>
        <w:spacing w:after="40"/>
      </w:pPr>
      <w:r>
        <w:t>Run a final references consistency check because some in-text years do not match the reference list.</w:t>
      </w:r>
    </w:p>
    <w:p>
      <w:pPr>
        <w:pStyle w:val="Heading1"/>
      </w:pPr>
      <w:r>
        <w:t>2. Suggested replacement text</w:t>
      </w:r>
    </w:p>
    <w:p>
      <w:pPr>
        <w:pStyle w:val="Heading2"/>
      </w:pPr>
      <w:r>
        <w:t>Abstract</w:t>
      </w:r>
    </w:p>
    <w:p>
      <w:pPr>
        <w:spacing w:before="80" w:after="160" w:line="276" w:lineRule="auto"/>
        <w:ind w:left="216" w:right="216"/>
        <w:shd w:fill="FFF2CC"/>
      </w:pPr>
      <w:r>
        <w:rPr>
          <w:rFonts w:ascii="Times New Roman" w:hAnsi="Times New Roman"/>
          <w:sz w:val="22"/>
          <w:highlight w:val="yellow"/>
        </w:rPr>
        <w:t>Malaysia's transition toward renewable energy requires a more reliable method for identifying suitable solar farm locations. This investigation report proposes a data-driven approach that combines machine learning (ML), geographical information systems (GIS), and multi-criteria decision-making (MCDM) to support preliminary solar farm site selection in Malaysia. Weather, spatial, and solar irradiance data sourced from NASA POWER and the Malaysian Meteorological Department are used to analyse factors that influence solar energy potential, while CRISP-DM guides the phases of data understanding, preprocessing, modelling, and evaluation. The study focuses on forecasting solar irradiance components, particularly Global Horizontal Irradiance (GHI) and Direct Normal Irradiance (DNI), and integrating the forecast results into a GIS dashboard for location ranking and visual analysis. By addressing the limitations of conventional GIS-MCDM approaches, the proposed framework aims to improve the efficiency and consistency of early-stage solar farm planning in Malaysia.</w:t>
      </w:r>
    </w:p>
    <w:p>
      <w:pPr>
        <w:pStyle w:val="Heading2"/>
      </w:pPr>
      <w:r>
        <w:t>Keywords</w:t>
      </w:r>
    </w:p>
    <w:p>
      <w:pPr>
        <w:spacing w:before="80" w:after="160" w:line="276" w:lineRule="auto"/>
        <w:ind w:left="216" w:right="216"/>
        <w:shd w:fill="FFF2CC"/>
      </w:pPr>
      <w:r>
        <w:rPr>
          <w:rFonts w:ascii="Times New Roman" w:hAnsi="Times New Roman"/>
          <w:sz w:val="22"/>
          <w:highlight w:val="yellow"/>
        </w:rPr>
        <w:t>Keywords: solar energy, solar irradiance forecasting, machine learning, Global Horizontal Irradiance (GHI), Direct Normal Irradiance (DNI), Geographical Information System (GIS), multi-criteria decision-making (MCDM), Malaysia, CRISP-DM.</w:t>
      </w:r>
    </w:p>
    <w:p>
      <w:pPr>
        <w:pStyle w:val="Heading2"/>
      </w:pPr>
      <w:r>
        <w:t>Project Aim</w:t>
      </w:r>
    </w:p>
    <w:p>
      <w:pPr>
        <w:spacing w:before="80" w:after="160" w:line="276" w:lineRule="auto"/>
        <w:ind w:left="216" w:right="216"/>
        <w:shd w:fill="FFF2CC"/>
      </w:pPr>
      <w:r>
        <w:rPr>
          <w:rFonts w:ascii="Times New Roman" w:hAnsi="Times New Roman"/>
          <w:sz w:val="22"/>
          <w:highlight w:val="yellow"/>
        </w:rPr>
        <w:t>To develop a GIS-based decision-support framework that forecasts solar irradiance and identifies suitable solar farm locations in Malaysia.</w:t>
      </w:r>
    </w:p>
    <w:p>
      <w:pPr>
        <w:pStyle w:val="Heading2"/>
      </w:pPr>
      <w:r>
        <w:t>Objectives</w:t>
      </w:r>
    </w:p>
    <w:p>
      <w:pPr>
        <w:pStyle w:val="ListNumber"/>
        <w:spacing w:after="80"/>
      </w:pPr>
      <w:r>
        <w:rPr>
          <w:highlight w:val="yellow"/>
        </w:rPr>
        <w:t>To collect, preprocess, and integrate weather, spatial, and solar irradiance datasets relevant to solar farm siting.</w:t>
      </w:r>
    </w:p>
    <w:p>
      <w:pPr>
        <w:pStyle w:val="ListNumber"/>
        <w:spacing w:after="80"/>
      </w:pPr>
      <w:r>
        <w:rPr>
          <w:highlight w:val="yellow"/>
        </w:rPr>
        <w:t>To develop and evaluate machine learning models for forecasting solar irradiance components.</w:t>
      </w:r>
    </w:p>
    <w:p>
      <w:pPr>
        <w:pStyle w:val="ListNumber"/>
        <w:spacing w:after="80"/>
      </w:pPr>
      <w:r>
        <w:rPr>
          <w:highlight w:val="yellow"/>
        </w:rPr>
        <w:t>To apply MCDM criteria to rank candidate solar farm locations based on forecasted and spatial factors.</w:t>
      </w:r>
    </w:p>
    <w:p>
      <w:pPr>
        <w:pStyle w:val="ListNumber"/>
        <w:spacing w:after="80"/>
      </w:pPr>
      <w:r>
        <w:rPr>
          <w:highlight w:val="yellow"/>
        </w:rPr>
        <w:t>To visualise the ranked locations in a GIS dashboard for preliminary decision support.</w:t>
      </w:r>
    </w:p>
    <w:p>
      <w:pPr>
        <w:pStyle w:val="Heading2"/>
      </w:pPr>
      <w:r>
        <w:t>Evaluation section</w:t>
      </w:r>
    </w:p>
    <w:p>
      <w:pPr>
        <w:spacing w:before="80" w:after="160" w:line="276" w:lineRule="auto"/>
        <w:ind w:left="216" w:right="216"/>
        <w:shd w:fill="FFF2CC"/>
      </w:pPr>
      <w:r>
        <w:rPr>
          <w:rFonts w:ascii="Times New Roman" w:hAnsi="Times New Roman"/>
          <w:sz w:val="22"/>
          <w:highlight w:val="yellow"/>
        </w:rPr>
        <w:t>The performance of the solar irradiance forecasting model should be evaluated using regression metrics such as Mean Absolute Error (MAE), Root Mean Square Error (RMSE), Mean Absolute Percentage Error (MAPE), and the coefficient of determination (R2). If the project also includes a site classification or suitability ranking stage, additional classification metrics such as confusion matrix, precision, recall, F1-score, and ROC-AUC may be used where appropriate. This separation ensures that each model is assessed using metrics that match its prediction task.</w:t>
      </w:r>
    </w:p>
    <w:p>
      <w:pPr>
        <w:pStyle w:val="Heading2"/>
      </w:pPr>
      <w:r>
        <w:t>Heading and section wording</w:t>
      </w:r>
    </w:p>
    <w:p>
      <w:pPr>
        <w:pStyle w:val="ListNumber"/>
        <w:spacing w:after="80"/>
      </w:pPr>
      <w:r>
        <w:rPr>
          <w:highlight w:val="yellow"/>
        </w:rPr>
        <w:t>Constraints and Project Boundaries</w:t>
      </w:r>
    </w:p>
    <w:p>
      <w:pPr>
        <w:pStyle w:val="ListNumber"/>
        <w:spacing w:after="80"/>
      </w:pPr>
      <w:r>
        <w:rPr>
          <w:highlight w:val="yellow"/>
        </w:rPr>
        <w:t>Diminishing available fossil fuel resources</w:t>
      </w:r>
    </w:p>
    <w:p>
      <w:pPr>
        <w:pStyle w:val="ListNumber"/>
        <w:spacing w:after="80"/>
      </w:pPr>
      <w:r>
        <w:rPr>
          <w:highlight w:val="yellow"/>
        </w:rPr>
        <w:t>Variability of solar-generated energy</w:t>
      </w:r>
    </w:p>
    <w:p>
      <w:pPr>
        <w:pStyle w:val="ListNumber"/>
        <w:spacing w:after="80"/>
      </w:pPr>
      <w:r>
        <w:rPr>
          <w:highlight w:val="yellow"/>
        </w:rPr>
        <w:t>Underutilisation of machine learning in solar farm development</w:t>
      </w:r>
    </w:p>
    <w:p>
      <w:pPr>
        <w:pStyle w:val="Heading2"/>
      </w:pPr>
      <w:r>
        <w:t>Conclusion tone</w:t>
      </w:r>
    </w:p>
    <w:p>
      <w:pPr>
        <w:spacing w:before="80" w:after="160" w:line="276" w:lineRule="auto"/>
        <w:ind w:left="216" w:right="216"/>
        <w:shd w:fill="FFF2CC"/>
      </w:pPr>
      <w:r>
        <w:rPr>
          <w:rFonts w:ascii="Times New Roman" w:hAnsi="Times New Roman"/>
          <w:sz w:val="22"/>
          <w:highlight w:val="yellow"/>
        </w:rPr>
        <w:t>If this document is still at the IR stage, consider softening the conclusion so it reflects progress without overstating completion. For example: 'This study establishes a structured data preparation pipeline for regional solar irradiance forecasting and provides a foundation for subsequent model development and location analysis. The prepared datasets support future work in forecasting, suitability ranking, and GIS-based visualisation for solar farm planning in Malaysia.'</w:t>
      </w:r>
    </w:p>
    <w:p>
      <w:pPr>
        <w:pStyle w:val="Heading1"/>
      </w:pPr>
      <w:r>
        <w:t>3. Quick line edits</w:t>
      </w:r>
    </w:p>
    <w:tbl>
      <w:tblPr>
        <w:tblStyle w:val="TableGrid"/>
        <w:tblW w:type="auto" w:w="0"/>
        <w:tblLayout w:type="fixed"/>
        <w:tblLook w:firstColumn="1" w:firstRow="1" w:lastColumn="0" w:lastRow="0" w:noHBand="0" w:noVBand="1" w:val="04A0"/>
      </w:tblPr>
      <w:tblGrid>
        <w:gridCol w:w="3240"/>
        <w:gridCol w:w="3672"/>
        <w:gridCol w:w="2232"/>
      </w:tblGrid>
      <w:tr>
        <w:tc>
          <w:tcPr>
            <w:tcW w:type="dxa" w:w="3216"/>
          </w:tcPr>
          <w:p>
            <w:pPr>
              <w:spacing w:after="40"/>
            </w:pPr>
            <w:r>
              <w:rPr>
                <w:b/>
              </w:rPr>
            </w:r>
            <w:r>
              <w:rPr>
                <w:rFonts w:ascii="Times New Roman" w:hAnsi="Times New Roman"/>
                <w:sz w:val="21"/>
              </w:rPr>
              <w:t>Original wording</w:t>
            </w:r>
          </w:p>
        </w:tc>
        <w:tc>
          <w:tcPr>
            <w:tcW w:type="dxa" w:w="3216"/>
          </w:tcPr>
          <w:p>
            <w:pPr>
              <w:spacing w:after="40"/>
            </w:pPr>
            <w:r>
              <w:rPr>
                <w:b/>
              </w:rPr>
            </w:r>
            <w:r>
              <w:rPr>
                <w:rFonts w:ascii="Times New Roman" w:hAnsi="Times New Roman"/>
                <w:sz w:val="21"/>
              </w:rPr>
              <w:t>Suggested wording</w:t>
            </w:r>
          </w:p>
        </w:tc>
        <w:tc>
          <w:tcPr>
            <w:tcW w:type="dxa" w:w="3216"/>
          </w:tcPr>
          <w:p>
            <w:pPr>
              <w:spacing w:after="40"/>
            </w:pPr>
            <w:r>
              <w:rPr>
                <w:b/>
              </w:rPr>
            </w:r>
            <w:r>
              <w:rPr>
                <w:rFonts w:ascii="Times New Roman" w:hAnsi="Times New Roman"/>
                <w:sz w:val="21"/>
              </w:rPr>
              <w:t>Section</w:t>
            </w:r>
          </w:p>
        </w:tc>
      </w:tr>
      <w:tr>
        <w:tc>
          <w:tcPr>
            <w:tcW w:type="dxa" w:w="3240"/>
          </w:tcPr>
          <w:p>
            <w:pPr>
              <w:spacing w:after="40"/>
            </w:pPr>
            <w:r/>
            <w:r>
              <w:rPr>
                <w:rFonts w:ascii="Times New Roman" w:hAnsi="Times New Roman"/>
                <w:sz w:val="21"/>
              </w:rPr>
              <w:t>providing ample amount of energy</w:t>
            </w:r>
          </w:p>
        </w:tc>
        <w:tc>
          <w:tcPr>
            <w:tcW w:type="dxa" w:w="3672"/>
          </w:tcPr>
          <w:p>
            <w:pPr>
              <w:spacing w:after="40"/>
            </w:pPr>
            <w:r/>
            <w:r>
              <w:rPr>
                <w:rFonts w:ascii="Times New Roman" w:hAnsi="Times New Roman"/>
                <w:sz w:val="21"/>
                <w:highlight w:val="yellow"/>
              </w:rPr>
              <w:t>providing an ample amount of energy</w:t>
            </w:r>
          </w:p>
        </w:tc>
        <w:tc>
          <w:tcPr>
            <w:tcW w:type="dxa" w:w="2232"/>
          </w:tcPr>
          <w:p>
            <w:pPr>
              <w:spacing w:after="40"/>
            </w:pPr>
            <w:r/>
            <w:r>
              <w:rPr>
                <w:rFonts w:ascii="Times New Roman" w:hAnsi="Times New Roman"/>
                <w:sz w:val="21"/>
              </w:rPr>
              <w:t>Abstract</w:t>
            </w:r>
          </w:p>
        </w:tc>
      </w:tr>
      <w:tr>
        <w:tc>
          <w:tcPr>
            <w:tcW w:type="dxa" w:w="3240"/>
          </w:tcPr>
          <w:p>
            <w:pPr>
              <w:spacing w:after="40"/>
            </w:pPr>
            <w:r/>
            <w:r>
              <w:rPr>
                <w:rFonts w:ascii="Times New Roman" w:hAnsi="Times New Roman"/>
                <w:sz w:val="21"/>
              </w:rPr>
              <w:t>reliance in non-renewable energy sources</w:t>
            </w:r>
          </w:p>
        </w:tc>
        <w:tc>
          <w:tcPr>
            <w:tcW w:type="dxa" w:w="3672"/>
          </w:tcPr>
          <w:p>
            <w:pPr>
              <w:spacing w:after="40"/>
            </w:pPr>
            <w:r/>
            <w:r>
              <w:rPr>
                <w:rFonts w:ascii="Times New Roman" w:hAnsi="Times New Roman"/>
                <w:sz w:val="21"/>
                <w:highlight w:val="yellow"/>
              </w:rPr>
              <w:t>reliance on non-renewable energy sources</w:t>
            </w:r>
          </w:p>
        </w:tc>
        <w:tc>
          <w:tcPr>
            <w:tcW w:type="dxa" w:w="2232"/>
          </w:tcPr>
          <w:p>
            <w:pPr>
              <w:spacing w:after="40"/>
            </w:pPr>
            <w:r/>
            <w:r>
              <w:rPr>
                <w:rFonts w:ascii="Times New Roman" w:hAnsi="Times New Roman"/>
                <w:sz w:val="21"/>
              </w:rPr>
              <w:t>Introduction</w:t>
            </w:r>
          </w:p>
        </w:tc>
      </w:tr>
      <w:tr>
        <w:tc>
          <w:tcPr>
            <w:tcW w:type="dxa" w:w="3240"/>
          </w:tcPr>
          <w:p>
            <w:pPr>
              <w:spacing w:after="40"/>
            </w:pPr>
            <w:r/>
            <w:r>
              <w:rPr>
                <w:rFonts w:ascii="Times New Roman" w:hAnsi="Times New Roman"/>
                <w:sz w:val="21"/>
              </w:rPr>
              <w:t>the application of converted energy defers from each other</w:t>
            </w:r>
          </w:p>
        </w:tc>
        <w:tc>
          <w:tcPr>
            <w:tcW w:type="dxa" w:w="3672"/>
          </w:tcPr>
          <w:p>
            <w:pPr>
              <w:spacing w:after="40"/>
            </w:pPr>
            <w:r/>
            <w:r>
              <w:rPr>
                <w:rFonts w:ascii="Times New Roman" w:hAnsi="Times New Roman"/>
                <w:sz w:val="21"/>
                <w:highlight w:val="yellow"/>
              </w:rPr>
              <w:t>the applications of the converted energy differ from each other</w:t>
            </w:r>
          </w:p>
        </w:tc>
        <w:tc>
          <w:tcPr>
            <w:tcW w:type="dxa" w:w="2232"/>
          </w:tcPr>
          <w:p>
            <w:pPr>
              <w:spacing w:after="40"/>
            </w:pPr>
            <w:r/>
            <w:r>
              <w:rPr>
                <w:rFonts w:ascii="Times New Roman" w:hAnsi="Times New Roman"/>
                <w:sz w:val="21"/>
              </w:rPr>
              <w:t>Problem Background</w:t>
            </w:r>
          </w:p>
        </w:tc>
      </w:tr>
      <w:tr>
        <w:tc>
          <w:tcPr>
            <w:tcW w:type="dxa" w:w="3240"/>
          </w:tcPr>
          <w:p>
            <w:pPr>
              <w:spacing w:after="40"/>
            </w:pPr>
            <w:r/>
            <w:r>
              <w:rPr>
                <w:rFonts w:ascii="Times New Roman" w:hAnsi="Times New Roman"/>
                <w:sz w:val="21"/>
              </w:rPr>
              <w:t>post-sitting / Pre-Sitting</w:t>
            </w:r>
          </w:p>
        </w:tc>
        <w:tc>
          <w:tcPr>
            <w:tcW w:type="dxa" w:w="3672"/>
          </w:tcPr>
          <w:p>
            <w:pPr>
              <w:spacing w:after="40"/>
            </w:pPr>
            <w:r/>
            <w:r>
              <w:rPr>
                <w:rFonts w:ascii="Times New Roman" w:hAnsi="Times New Roman"/>
                <w:sz w:val="21"/>
                <w:highlight w:val="yellow"/>
              </w:rPr>
              <w:t>output forecasting / pre-site selection</w:t>
            </w:r>
          </w:p>
        </w:tc>
        <w:tc>
          <w:tcPr>
            <w:tcW w:type="dxa" w:w="2232"/>
          </w:tcPr>
          <w:p>
            <w:pPr>
              <w:spacing w:after="40"/>
            </w:pPr>
            <w:r/>
            <w:r>
              <w:rPr>
                <w:rFonts w:ascii="Times New Roman" w:hAnsi="Times New Roman"/>
                <w:sz w:val="21"/>
              </w:rPr>
              <w:t>ML usage gap</w:t>
            </w:r>
          </w:p>
        </w:tc>
      </w:tr>
      <w:tr>
        <w:tc>
          <w:tcPr>
            <w:tcW w:type="dxa" w:w="3240"/>
          </w:tcPr>
          <w:p>
            <w:pPr>
              <w:spacing w:after="40"/>
            </w:pPr>
            <w:r/>
            <w:r>
              <w:rPr>
                <w:rFonts w:ascii="Times New Roman" w:hAnsi="Times New Roman"/>
                <w:sz w:val="21"/>
              </w:rPr>
              <w:t>Constrains and Project Boundaries</w:t>
            </w:r>
          </w:p>
        </w:tc>
        <w:tc>
          <w:tcPr>
            <w:tcW w:type="dxa" w:w="3672"/>
          </w:tcPr>
          <w:p>
            <w:pPr>
              <w:spacing w:after="40"/>
            </w:pPr>
            <w:r/>
            <w:r>
              <w:rPr>
                <w:rFonts w:ascii="Times New Roman" w:hAnsi="Times New Roman"/>
                <w:sz w:val="21"/>
                <w:highlight w:val="yellow"/>
              </w:rPr>
              <w:t>Constraints and Project Boundaries</w:t>
            </w:r>
          </w:p>
        </w:tc>
        <w:tc>
          <w:tcPr>
            <w:tcW w:type="dxa" w:w="2232"/>
          </w:tcPr>
          <w:p>
            <w:pPr>
              <w:spacing w:after="40"/>
            </w:pPr>
            <w:r/>
            <w:r>
              <w:rPr>
                <w:rFonts w:ascii="Times New Roman" w:hAnsi="Times New Roman"/>
                <w:sz w:val="21"/>
              </w:rPr>
              <w:t>Scope</w:t>
            </w:r>
          </w:p>
        </w:tc>
      </w:tr>
      <w:tr>
        <w:tc>
          <w:tcPr>
            <w:tcW w:type="dxa" w:w="3240"/>
          </w:tcPr>
          <w:p>
            <w:pPr>
              <w:spacing w:after="40"/>
            </w:pPr>
            <w:r/>
            <w:r>
              <w:rPr>
                <w:rFonts w:ascii="Times New Roman" w:hAnsi="Times New Roman"/>
                <w:sz w:val="21"/>
              </w:rPr>
              <w:t>around 95% of Malaysia's energy are being supplied</w:t>
            </w:r>
          </w:p>
        </w:tc>
        <w:tc>
          <w:tcPr>
            <w:tcW w:type="dxa" w:w="3672"/>
          </w:tcPr>
          <w:p>
            <w:pPr>
              <w:spacing w:after="40"/>
            </w:pPr>
            <w:r/>
            <w:r>
              <w:rPr>
                <w:rFonts w:ascii="Times New Roman" w:hAnsi="Times New Roman"/>
                <w:sz w:val="21"/>
                <w:highlight w:val="yellow"/>
              </w:rPr>
              <w:t>around 95% of Malaysia's energy is supplied</w:t>
            </w:r>
          </w:p>
        </w:tc>
        <w:tc>
          <w:tcPr>
            <w:tcW w:type="dxa" w:w="2232"/>
          </w:tcPr>
          <w:p>
            <w:pPr>
              <w:spacing w:after="40"/>
            </w:pPr>
            <w:r/>
            <w:r>
              <w:rPr>
                <w:rFonts w:ascii="Times New Roman" w:hAnsi="Times New Roman"/>
                <w:sz w:val="21"/>
              </w:rPr>
              <w:t>Problem Background</w:t>
            </w:r>
          </w:p>
        </w:tc>
      </w:tr>
      <w:tr>
        <w:tc>
          <w:tcPr>
            <w:tcW w:type="dxa" w:w="3240"/>
          </w:tcPr>
          <w:p>
            <w:pPr>
              <w:spacing w:after="40"/>
            </w:pPr>
            <w:r/>
            <w:r>
              <w:rPr>
                <w:rFonts w:ascii="Times New Roman" w:hAnsi="Times New Roman"/>
                <w:sz w:val="21"/>
              </w:rPr>
              <w:t>most optimal location</w:t>
            </w:r>
          </w:p>
        </w:tc>
        <w:tc>
          <w:tcPr>
            <w:tcW w:type="dxa" w:w="3672"/>
          </w:tcPr>
          <w:p>
            <w:pPr>
              <w:spacing w:after="40"/>
            </w:pPr>
            <w:r/>
            <w:r>
              <w:rPr>
                <w:rFonts w:ascii="Times New Roman" w:hAnsi="Times New Roman"/>
                <w:sz w:val="21"/>
                <w:highlight w:val="yellow"/>
              </w:rPr>
              <w:t>most suitable location</w:t>
            </w:r>
          </w:p>
        </w:tc>
        <w:tc>
          <w:tcPr>
            <w:tcW w:type="dxa" w:w="2232"/>
          </w:tcPr>
          <w:p>
            <w:pPr>
              <w:spacing w:after="40"/>
            </w:pPr>
            <w:r/>
            <w:r>
              <w:rPr>
                <w:rFonts w:ascii="Times New Roman" w:hAnsi="Times New Roman"/>
                <w:sz w:val="21"/>
              </w:rPr>
              <w:t>Abstract</w:t>
            </w:r>
          </w:p>
        </w:tc>
      </w:tr>
      <w:tr>
        <w:tc>
          <w:tcPr>
            <w:tcW w:type="dxa" w:w="3240"/>
          </w:tcPr>
          <w:p>
            <w:pPr>
              <w:spacing w:after="40"/>
            </w:pPr>
            <w:r/>
            <w:r>
              <w:rPr>
                <w:rFonts w:ascii="Times New Roman" w:hAnsi="Times New Roman"/>
                <w:sz w:val="21"/>
              </w:rPr>
              <w:t>I.e. combining codes</w:t>
            </w:r>
          </w:p>
        </w:tc>
        <w:tc>
          <w:tcPr>
            <w:tcW w:type="dxa" w:w="3672"/>
          </w:tcPr>
          <w:p>
            <w:pPr>
              <w:spacing w:after="40"/>
            </w:pPr>
            <w:r/>
            <w:r>
              <w:rPr>
                <w:rFonts w:ascii="Times New Roman" w:hAnsi="Times New Roman"/>
                <w:sz w:val="21"/>
                <w:highlight w:val="yellow"/>
              </w:rPr>
              <w:t>i.e., combining code sections</w:t>
            </w:r>
          </w:p>
        </w:tc>
        <w:tc>
          <w:tcPr>
            <w:tcW w:type="dxa" w:w="2232"/>
          </w:tcPr>
          <w:p>
            <w:pPr>
              <w:spacing w:after="40"/>
            </w:pPr>
            <w:r/>
            <w:r>
              <w:rPr>
                <w:rFonts w:ascii="Times New Roman" w:hAnsi="Times New Roman"/>
                <w:sz w:val="21"/>
              </w:rPr>
              <w:t>Technical Research</w:t>
            </w:r>
          </w:p>
        </w:tc>
      </w:tr>
    </w:tbl>
    <w:p/>
    <w:p>
      <w:pPr>
        <w:pStyle w:val="Heading1"/>
      </w:pPr>
      <w:r>
        <w:t>4. Reference consistency checks</w:t>
      </w:r>
    </w:p>
    <w:p>
      <w:pPr>
        <w:pStyle w:val="ListBullet"/>
        <w:spacing w:after="40"/>
      </w:pPr>
      <w:r>
        <w:t>Check the year and edition for Glover and Sarma. The in-text citation shows 2022, but the reference entry currently shows 2007.</w:t>
      </w:r>
    </w:p>
    <w:p>
      <w:pPr>
        <w:pStyle w:val="ListBullet"/>
        <w:spacing w:after="40"/>
      </w:pPr>
      <w:r>
        <w:t>Check Pimentel et al. because the in-text citation uses 2021 while the reference list shows 2019.</w:t>
      </w:r>
    </w:p>
    <w:p>
      <w:pPr>
        <w:pStyle w:val="ListBullet"/>
        <w:spacing w:after="40"/>
      </w:pPr>
      <w:r>
        <w:t>Clean the Geron reference entry and make sure the cited year matches the final edition used in the report.</w:t>
      </w:r>
    </w:p>
    <w:p>
      <w:pPr>
        <w:pStyle w:val="Heading1"/>
      </w:pPr>
      <w:r>
        <w:t>5. Formatting and submission checks</w:t>
      </w:r>
    </w:p>
    <w:p>
      <w:pPr>
        <w:pStyle w:val="ListNumber"/>
        <w:spacing w:after="80"/>
      </w:pPr>
      <w:r>
        <w:rPr>
          <w:highlight w:val="yellow"/>
        </w:rPr>
        <w:t>Convert important list labels into Heading styles where they function as real subsections.</w:t>
      </w:r>
    </w:p>
    <w:p>
      <w:pPr>
        <w:pStyle w:val="ListNumber"/>
        <w:spacing w:after="80"/>
      </w:pPr>
      <w:r>
        <w:rPr>
          <w:highlight w:val="yellow"/>
        </w:rPr>
        <w:t>Resize or split the 'Similar System' table because it currently overflows and collides with the footer area.</w:t>
      </w:r>
    </w:p>
    <w:p>
      <w:pPr>
        <w:pStyle w:val="ListNumber"/>
        <w:spacing w:after="80"/>
      </w:pPr>
      <w:r>
        <w:rPr>
          <w:highlight w:val="yellow"/>
        </w:rPr>
        <w:t>Remove unnecessary manual page breaks that create nearly empty pages between sections and appendices.</w:t>
      </w:r>
    </w:p>
    <w:p>
      <w:pPr>
        <w:pStyle w:val="ListNumber"/>
        <w:spacing w:after="80"/>
      </w:pPr>
      <w:r>
        <w:rPr>
          <w:highlight w:val="yellow"/>
        </w:rPr>
        <w:t>Update all Word fields before final submission so the table of contents, list of figures, list of tables, and page numbers refresh correctly.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