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7"/>
        <w:gridCol w:w="6696"/>
      </w:tblGrid>
      <w:tr w:rsidR="00C009BE" w:rsidRPr="00B72354" w:rsidTr="00533088">
        <w:trPr>
          <w:trHeight w:val="370"/>
        </w:trPr>
        <w:tc>
          <w:tcPr>
            <w:tcW w:w="2897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692" w:type="dxa"/>
            <w:vAlign w:val="center"/>
          </w:tcPr>
          <w:p w:rsidR="00C009BE" w:rsidRPr="00B72354" w:rsidRDefault="00E930B4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Michel Aguilar</w:t>
            </w:r>
            <w:r w:rsidR="009E0317"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 xml:space="preserve"> - </w:t>
            </w:r>
            <w:r w:rsidR="009E0317"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Analista de Calidad</w:t>
            </w:r>
          </w:p>
        </w:tc>
      </w:tr>
      <w:tr w:rsidR="00C009BE" w:rsidRPr="00B72354" w:rsidTr="00533088">
        <w:trPr>
          <w:trHeight w:val="384"/>
        </w:trPr>
        <w:tc>
          <w:tcPr>
            <w:tcW w:w="2897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692" w:type="dxa"/>
            <w:vAlign w:val="center"/>
          </w:tcPr>
          <w:p w:rsidR="00C009BE" w:rsidRPr="00B72354" w:rsidRDefault="00E930B4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Gestion de Calidad de Procesos y Producto</w:t>
            </w:r>
            <w:r w:rsidR="00147AC8"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 xml:space="preserve"> (PPQA)</w:t>
            </w:r>
          </w:p>
        </w:tc>
      </w:tr>
      <w:tr w:rsidR="00B95961" w:rsidRPr="00A12B5A" w:rsidTr="00533088">
        <w:trPr>
          <w:trHeight w:val="149"/>
        </w:trPr>
        <w:tc>
          <w:tcPr>
            <w:tcW w:w="2897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6" w:type="dxa"/>
            <w:vAlign w:val="center"/>
          </w:tcPr>
          <w:p w:rsidR="00B95961" w:rsidRPr="00A12B5A" w:rsidRDefault="0015715D" w:rsidP="00147AC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15D">
              <w:rPr>
                <w:b/>
                <w:sz w:val="28"/>
                <w:szCs w:val="28"/>
              </w:rPr>
              <w:t>IFTC.PPQA.RE04_Num de NConformidades QA</w:t>
            </w:r>
          </w:p>
        </w:tc>
      </w:tr>
      <w:tr w:rsidR="00D15C1C" w:rsidRPr="00A12B5A" w:rsidTr="00533088">
        <w:trPr>
          <w:trHeight w:val="149"/>
        </w:trPr>
        <w:tc>
          <w:tcPr>
            <w:tcW w:w="2897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6" w:type="dxa"/>
          </w:tcPr>
          <w:p w:rsidR="0015715D" w:rsidRDefault="0015715D" w:rsidP="0015715D">
            <w:pPr>
              <w:jc w:val="both"/>
              <w:rPr>
                <w:color w:val="000000"/>
              </w:rPr>
            </w:pPr>
          </w:p>
          <w:p w:rsidR="0015715D" w:rsidRPr="00153A43" w:rsidRDefault="0015715D" w:rsidP="0015715D">
            <w:pPr>
              <w:jc w:val="both"/>
              <w:rPr>
                <w:color w:val="000000"/>
              </w:rPr>
            </w:pPr>
            <w:r w:rsidRPr="00153A43">
              <w:rPr>
                <w:color w:val="000000"/>
              </w:rPr>
              <w:t>Obtener el</w:t>
            </w:r>
            <w:r>
              <w:rPr>
                <w:color w:val="000000"/>
              </w:rPr>
              <w:t xml:space="preserve"> </w:t>
            </w:r>
            <w:r w:rsidRPr="0015715D">
              <w:t>porcentaje</w:t>
            </w:r>
            <w:r>
              <w:t xml:space="preserve"> de</w:t>
            </w:r>
            <w:r w:rsidRPr="00153A43">
              <w:rPr>
                <w:color w:val="000000"/>
              </w:rPr>
              <w:t xml:space="preserve"> número de n</w:t>
            </w:r>
            <w:bookmarkStart w:id="0" w:name="_GoBack"/>
            <w:bookmarkEnd w:id="0"/>
            <w:r w:rsidRPr="00153A43">
              <w:rPr>
                <w:color w:val="000000"/>
              </w:rPr>
              <w:t xml:space="preserve">o conformidades encontradas como resultados de una revisión de QA del producto. 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533088">
        <w:trPr>
          <w:trHeight w:val="448"/>
        </w:trPr>
        <w:tc>
          <w:tcPr>
            <w:tcW w:w="2897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6" w:type="dxa"/>
            <w:vAlign w:val="center"/>
          </w:tcPr>
          <w:p w:rsidR="00D15C1C" w:rsidRPr="00A12B5A" w:rsidRDefault="00147AC8" w:rsidP="00147AC8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Gestion de Calidad de Procesos y Producto (PPQA)</w:t>
            </w:r>
          </w:p>
        </w:tc>
      </w:tr>
      <w:tr w:rsidR="00D15C1C" w:rsidRPr="00A12B5A" w:rsidTr="00533088">
        <w:trPr>
          <w:trHeight w:val="693"/>
        </w:trPr>
        <w:tc>
          <w:tcPr>
            <w:tcW w:w="2897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6" w:type="dxa"/>
            <w:vAlign w:val="center"/>
          </w:tcPr>
          <w:p w:rsidR="00147AC8" w:rsidRPr="00147AC8" w:rsidRDefault="00147AC8" w:rsidP="00147AC8">
            <w:pPr>
              <w:rPr>
                <w:color w:val="000000"/>
              </w:rPr>
            </w:pPr>
            <w:r w:rsidRPr="00153A43">
              <w:rPr>
                <w:color w:val="000000"/>
              </w:rPr>
              <w:t>Revisión  de conformidad de los documentos presentados en las diferentes área como “PP_PMC” “REQM” “PPQA” “MA”</w:t>
            </w:r>
          </w:p>
        </w:tc>
      </w:tr>
      <w:tr w:rsidR="00D15C1C" w:rsidRPr="00A12B5A" w:rsidTr="00533088">
        <w:trPr>
          <w:trHeight w:val="502"/>
        </w:trPr>
        <w:tc>
          <w:tcPr>
            <w:tcW w:w="2897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6" w:type="dxa"/>
            <w:vAlign w:val="center"/>
          </w:tcPr>
          <w:p w:rsidR="00D15C1C" w:rsidRPr="00A12B5A" w:rsidRDefault="00D15C1C" w:rsidP="000E502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</w:t>
            </w:r>
            <w:r w:rsidR="000E502F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</w:tr>
      <w:tr w:rsidR="00D15C1C" w:rsidRPr="00A12B5A" w:rsidTr="00533088">
        <w:trPr>
          <w:trHeight w:val="464"/>
        </w:trPr>
        <w:tc>
          <w:tcPr>
            <w:tcW w:w="2897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6" w:type="dxa"/>
            <w:vAlign w:val="center"/>
          </w:tcPr>
          <w:p w:rsidR="00D15C1C" w:rsidRPr="00A12B5A" w:rsidRDefault="00147AC8" w:rsidP="004D2D5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Gestion de Calidad de Procesos y Producto (PPQA)</w:t>
            </w:r>
          </w:p>
        </w:tc>
      </w:tr>
      <w:tr w:rsidR="009E0384" w:rsidRPr="00A12B5A" w:rsidTr="00533088">
        <w:trPr>
          <w:trHeight w:val="149"/>
        </w:trPr>
        <w:tc>
          <w:tcPr>
            <w:tcW w:w="2897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6" w:type="dxa"/>
          </w:tcPr>
          <w:p w:rsidR="003A38A5" w:rsidRPr="00B879CA" w:rsidRDefault="003A38A5" w:rsidP="003A38A5"/>
          <w:p w:rsidR="0015715D" w:rsidRPr="00153A43" w:rsidRDefault="0015715D" w:rsidP="0015715D">
            <w:pPr>
              <w:rPr>
                <w:color w:val="000000"/>
              </w:rPr>
            </w:pPr>
            <w:r>
              <w:rPr>
                <w:noProof/>
                <w:color w:val="00000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B7AE3FF" wp14:editId="548962E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3896360" cy="708025"/>
                      <wp:effectExtent l="0" t="0" r="27940" b="15875"/>
                      <wp:wrapTight wrapText="bothSides">
                        <wp:wrapPolygon edited="0">
                          <wp:start x="0" y="0"/>
                          <wp:lineTo x="0" y="21503"/>
                          <wp:lineTo x="21649" y="21503"/>
                          <wp:lineTo x="21649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6360" cy="708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715D" w:rsidRDefault="0015715D" w:rsidP="0015715D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5715D" w:rsidRDefault="0015715D" w:rsidP="0015715D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 xml:space="preserve">N = 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964273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úmero_</w:t>
                                  </w:r>
                                  <w:r w:rsidRPr="00964273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_No_Conformidades_encontradas/Z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15715D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5.85pt;margin-top:5.7pt;width:306.8pt;height:5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">
                      <v:textbox>
                        <w:txbxContent>
                          <w:p w:rsidR="0015715D" w:rsidRDefault="0015715D" w:rsidP="0015715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15715D" w:rsidRDefault="0015715D" w:rsidP="0015715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 w:rsidRPr="00964273">
                              <w:rPr>
                                <w:i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úmero_</w:t>
                            </w:r>
                            <w:r w:rsidRPr="00964273">
                              <w:rPr>
                                <w:i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_No_Conformidades_encontradas/Z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  <w:r w:rsidRPr="0015715D">
                              <w:rPr>
                                <w:i/>
                                <w:sz w:val="24"/>
                                <w:szCs w:val="24"/>
                              </w:rPr>
                              <w:t>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Pr="00153A43">
              <w:rPr>
                <w:color w:val="000000"/>
              </w:rPr>
              <w:t>donde: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15715D" w:rsidRPr="00F46DCD" w:rsidTr="0063408A">
              <w:tc>
                <w:tcPr>
                  <w:tcW w:w="3132" w:type="dxa"/>
                </w:tcPr>
                <w:p w:rsidR="0015715D" w:rsidRPr="00F46DCD" w:rsidRDefault="0015715D" w:rsidP="0063408A">
                  <w:r w:rsidRPr="00F46DCD">
                    <w:t>Número_de_</w:t>
                  </w:r>
                  <w:r>
                    <w:t>No_Conformidades _encontradas</w:t>
                  </w:r>
                </w:p>
              </w:tc>
              <w:tc>
                <w:tcPr>
                  <w:tcW w:w="3060" w:type="dxa"/>
                </w:tcPr>
                <w:p w:rsidR="0015715D" w:rsidRPr="00F46DCD" w:rsidRDefault="0015715D" w:rsidP="0063408A">
                  <w:pPr>
                    <w:tabs>
                      <w:tab w:val="left" w:leader="dot" w:pos="0"/>
                    </w:tabs>
                    <w:ind w:left="14"/>
                  </w:pPr>
                  <w:r>
                    <w:t>Número de no conformidades encon</w:t>
                  </w:r>
                  <w:r>
                    <w:softHyphen/>
                    <w:t>tradas en la revisión.</w:t>
                  </w:r>
                </w:p>
              </w:tc>
            </w:tr>
            <w:tr w:rsidR="0015715D" w:rsidRPr="00F46DCD" w:rsidTr="0063408A">
              <w:tc>
                <w:tcPr>
                  <w:tcW w:w="3132" w:type="dxa"/>
                  <w:vAlign w:val="center"/>
                </w:tcPr>
                <w:p w:rsidR="0015715D" w:rsidRPr="00F46DCD" w:rsidRDefault="0015715D" w:rsidP="0063408A">
                  <w:pPr>
                    <w:jc w:val="center"/>
                  </w:pPr>
                  <w:r>
                    <w:t>Z</w:t>
                  </w:r>
                </w:p>
              </w:tc>
              <w:tc>
                <w:tcPr>
                  <w:tcW w:w="3060" w:type="dxa"/>
                </w:tcPr>
                <w:p w:rsidR="0015715D" w:rsidRDefault="0015715D" w:rsidP="0063408A">
                  <w:pPr>
                    <w:tabs>
                      <w:tab w:val="left" w:leader="dot" w:pos="0"/>
                    </w:tabs>
                    <w:ind w:left="14"/>
                  </w:pPr>
                </w:p>
                <w:p w:rsidR="0015715D" w:rsidRDefault="0015715D" w:rsidP="0063408A">
                  <w:pPr>
                    <w:tabs>
                      <w:tab w:val="left" w:leader="dot" w:pos="0"/>
                    </w:tabs>
                    <w:ind w:left="14"/>
                  </w:pPr>
                  <w:r>
                    <w:t>Donde Z es el número de entregables revisados.</w:t>
                  </w:r>
                </w:p>
                <w:p w:rsidR="0015715D" w:rsidRPr="00F46DCD" w:rsidRDefault="0015715D" w:rsidP="0063408A">
                  <w:pPr>
                    <w:tabs>
                      <w:tab w:val="left" w:leader="dot" w:pos="0"/>
                    </w:tabs>
                    <w:ind w:left="14"/>
                  </w:pPr>
                </w:p>
              </w:tc>
            </w:tr>
          </w:tbl>
          <w:p w:rsidR="009E0384" w:rsidRDefault="009E0384" w:rsidP="0015715D">
            <w:pPr>
              <w:tabs>
                <w:tab w:val="left" w:leader="dot" w:pos="2161"/>
              </w:tabs>
              <w:ind w:left="2176" w:hanging="2176"/>
              <w:rPr>
                <w:color w:val="000000"/>
              </w:rPr>
            </w:pPr>
          </w:p>
        </w:tc>
      </w:tr>
      <w:tr w:rsidR="009E0384" w:rsidRPr="00A12B5A" w:rsidTr="00533088">
        <w:trPr>
          <w:trHeight w:val="149"/>
        </w:trPr>
        <w:tc>
          <w:tcPr>
            <w:tcW w:w="2897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6" w:type="dxa"/>
          </w:tcPr>
          <w:p w:rsidR="0015715D" w:rsidRPr="00153A43" w:rsidRDefault="0015715D" w:rsidP="0015715D">
            <w:pPr>
              <w:tabs>
                <w:tab w:val="left" w:leader="dot" w:pos="16"/>
              </w:tabs>
              <w:ind w:left="16"/>
              <w:rPr>
                <w:color w:val="000000"/>
              </w:rPr>
            </w:pPr>
          </w:p>
          <w:p w:rsidR="0015715D" w:rsidRPr="00153A43" w:rsidRDefault="0015715D" w:rsidP="0015715D">
            <w:pPr>
              <w:tabs>
                <w:tab w:val="left" w:leader="dot" w:pos="16"/>
              </w:tabs>
              <w:ind w:left="16"/>
              <w:rPr>
                <w:color w:val="000000"/>
              </w:rPr>
            </w:pPr>
            <w:r w:rsidRPr="00153A43">
              <w:rPr>
                <w:color w:val="000000"/>
              </w:rPr>
              <w:t>Lo más cercano a 0 es lo mejor.</w:t>
            </w:r>
          </w:p>
          <w:p w:rsidR="0015715D" w:rsidRPr="00153A43" w:rsidRDefault="0015715D" w:rsidP="0015715D">
            <w:pPr>
              <w:tabs>
                <w:tab w:val="left" w:leader="dot" w:pos="2161"/>
              </w:tabs>
              <w:ind w:left="2176" w:hanging="2176"/>
              <w:jc w:val="center"/>
              <w:rPr>
                <w:color w:val="000000"/>
              </w:rPr>
            </w:pPr>
          </w:p>
          <w:p w:rsidR="0015715D" w:rsidRPr="00153A43" w:rsidRDefault="0015715D" w:rsidP="0015715D">
            <w:pPr>
              <w:tabs>
                <w:tab w:val="left" w:leader="dot" w:pos="16"/>
              </w:tabs>
              <w:ind w:left="16"/>
              <w:rPr>
                <w:color w:val="000000"/>
              </w:rPr>
            </w:pPr>
            <w:r w:rsidRPr="00153A43">
              <w:rPr>
                <w:color w:val="000000"/>
              </w:rPr>
              <w:t>Se presentan los siguientes valores:</w:t>
            </w:r>
          </w:p>
          <w:p w:rsidR="0015715D" w:rsidRPr="00153A43" w:rsidRDefault="0015715D" w:rsidP="0015715D">
            <w:pPr>
              <w:tabs>
                <w:tab w:val="left" w:leader="dot" w:pos="16"/>
              </w:tabs>
              <w:ind w:left="16"/>
              <w:rPr>
                <w:color w:val="000000"/>
              </w:rPr>
            </w:pPr>
          </w:p>
          <w:tbl>
            <w:tblPr>
              <w:tblW w:w="5163" w:type="dxa"/>
              <w:jc w:val="center"/>
              <w:tblInd w:w="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70"/>
              <w:gridCol w:w="1893"/>
              <w:gridCol w:w="1800"/>
            </w:tblGrid>
            <w:tr w:rsidR="0015715D" w:rsidRPr="00B73A5D" w:rsidTr="00884E1C">
              <w:trPr>
                <w:trHeight w:val="153"/>
                <w:jc w:val="center"/>
              </w:trPr>
              <w:tc>
                <w:tcPr>
                  <w:tcW w:w="1470" w:type="dxa"/>
                  <w:tcBorders>
                    <w:bottom w:val="single" w:sz="4" w:space="0" w:color="auto"/>
                  </w:tcBorders>
                  <w:shd w:val="clear" w:color="auto" w:fill="003366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MARGEN MÁXIMO</w:t>
                  </w:r>
                </w:p>
              </w:tc>
            </w:tr>
            <w:tr w:rsidR="0015715D" w:rsidRPr="00B73A5D" w:rsidTr="00884E1C">
              <w:trPr>
                <w:trHeight w:val="332"/>
                <w:jc w:val="center"/>
              </w:trPr>
              <w:tc>
                <w:tcPr>
                  <w:tcW w:w="1470" w:type="dxa"/>
                  <w:shd w:val="clear" w:color="auto" w:fill="00FF00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15715D" w:rsidRPr="0016687B" w:rsidRDefault="0015715D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15715D" w:rsidRPr="0016687B" w:rsidRDefault="0015715D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&lt;2</w:t>
                  </w:r>
                  <w:r w:rsidR="00884E1C">
                    <w:rPr>
                      <w:sz w:val="16"/>
                      <w:szCs w:val="16"/>
                    </w:rPr>
                    <w:t>0%</w:t>
                  </w:r>
                </w:p>
              </w:tc>
            </w:tr>
            <w:tr w:rsidR="0015715D" w:rsidRPr="00B73A5D" w:rsidTr="00884E1C">
              <w:trPr>
                <w:trHeight w:val="280"/>
                <w:jc w:val="center"/>
              </w:trPr>
              <w:tc>
                <w:tcPr>
                  <w:tcW w:w="1470" w:type="dxa"/>
                  <w:shd w:val="clear" w:color="auto" w:fill="FFFF00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15715D" w:rsidRPr="0016687B" w:rsidRDefault="0015715D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884E1C">
                    <w:rPr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center"/>
                </w:tcPr>
                <w:p w:rsidR="0015715D" w:rsidRPr="0016687B" w:rsidRDefault="00884E1C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</w:t>
                  </w:r>
                  <w:r w:rsidR="0015715D" w:rsidRPr="0016687B">
                    <w:rPr>
                      <w:sz w:val="16"/>
                      <w:szCs w:val="16"/>
                    </w:rPr>
                    <w:t>4</w:t>
                  </w:r>
                  <w:r>
                    <w:rPr>
                      <w:sz w:val="16"/>
                      <w:szCs w:val="16"/>
                    </w:rPr>
                    <w:t>0%</w:t>
                  </w:r>
                </w:p>
              </w:tc>
            </w:tr>
            <w:tr w:rsidR="0015715D" w:rsidRPr="00B73A5D" w:rsidTr="00884E1C">
              <w:trPr>
                <w:trHeight w:val="270"/>
                <w:jc w:val="center"/>
              </w:trPr>
              <w:tc>
                <w:tcPr>
                  <w:tcW w:w="1470" w:type="dxa"/>
                  <w:shd w:val="clear" w:color="auto" w:fill="FF0000"/>
                  <w:vAlign w:val="center"/>
                </w:tcPr>
                <w:p w:rsidR="0015715D" w:rsidRPr="00884E1C" w:rsidRDefault="00884E1C" w:rsidP="00884E1C">
                  <w:pPr>
                    <w:jc w:val="center"/>
                    <w:rPr>
                      <w:rFonts w:ascii="Formata Regular" w:hAnsi="Formata Regular"/>
                      <w:b/>
                      <w:color w:val="FFFFFF"/>
                    </w:rPr>
                  </w:pPr>
                  <w:r w:rsidRPr="00884E1C">
                    <w:rPr>
                      <w:rFonts w:ascii="Formata Regular" w:hAnsi="Formata Regular"/>
                      <w:b/>
                      <w:color w:val="FFFFFF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15715D" w:rsidRPr="0016687B" w:rsidRDefault="0015715D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4</w:t>
                  </w:r>
                  <w:r w:rsidR="00884E1C">
                    <w:rPr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center"/>
                </w:tcPr>
                <w:p w:rsidR="0015715D" w:rsidRPr="0016687B" w:rsidRDefault="0015715D" w:rsidP="00884E1C">
                  <w:pPr>
                    <w:jc w:val="center"/>
                    <w:rPr>
                      <w:sz w:val="16"/>
                      <w:szCs w:val="16"/>
                    </w:rPr>
                  </w:pPr>
                  <w:r w:rsidRPr="0016687B">
                    <w:rPr>
                      <w:sz w:val="16"/>
                      <w:szCs w:val="16"/>
                    </w:rPr>
                    <w:t>&gt;4</w:t>
                  </w:r>
                  <w:r w:rsidR="00884E1C">
                    <w:rPr>
                      <w:sz w:val="16"/>
                      <w:szCs w:val="16"/>
                    </w:rPr>
                    <w:t>0%</w:t>
                  </w:r>
                </w:p>
              </w:tc>
            </w:tr>
          </w:tbl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533088">
        <w:trPr>
          <w:trHeight w:val="1278"/>
        </w:trPr>
        <w:tc>
          <w:tcPr>
            <w:tcW w:w="2897" w:type="dxa"/>
            <w:shd w:val="clear" w:color="auto" w:fill="B8CCE4"/>
            <w:vAlign w:val="center"/>
          </w:tcPr>
          <w:p w:rsidR="009E0384" w:rsidRPr="0015715D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</w:tc>
        <w:tc>
          <w:tcPr>
            <w:tcW w:w="6696" w:type="dxa"/>
            <w:vAlign w:val="center"/>
          </w:tcPr>
          <w:p w:rsidR="0015715D" w:rsidRPr="00153A43" w:rsidRDefault="0015715D" w:rsidP="0015715D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153A43">
              <w:rPr>
                <w:color w:val="000000"/>
              </w:rPr>
              <w:t>Los datos se obtienen de:</w:t>
            </w:r>
          </w:p>
          <w:p w:rsidR="0015715D" w:rsidRPr="00153A43" w:rsidRDefault="0015715D" w:rsidP="0015715D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153A43">
              <w:rPr>
                <w:color w:val="000000"/>
              </w:rPr>
              <w:t>“IFTC.PPQA.R01 - Herramienta de Gestión QA-Producto (Hoja de Informe de Revisión) del Producto”:</w:t>
            </w:r>
          </w:p>
          <w:p w:rsidR="009E0384" w:rsidRPr="0048777B" w:rsidRDefault="009E0384" w:rsidP="008855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533088">
        <w:trPr>
          <w:trHeight w:val="1053"/>
        </w:trPr>
        <w:tc>
          <w:tcPr>
            <w:tcW w:w="2897" w:type="dxa"/>
            <w:shd w:val="clear" w:color="auto" w:fill="B8CCE4"/>
            <w:vAlign w:val="center"/>
          </w:tcPr>
          <w:p w:rsidR="00CF7222" w:rsidRPr="00A12B5A" w:rsidRDefault="00CF7222" w:rsidP="0015715D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PROCEDIMIENTO DE </w:t>
            </w:r>
            <w:r w:rsidR="0015715D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CALCULO</w:t>
            </w: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 Y REGISTRO</w:t>
            </w:r>
          </w:p>
        </w:tc>
        <w:tc>
          <w:tcPr>
            <w:tcW w:w="6696" w:type="dxa"/>
            <w:vAlign w:val="center"/>
          </w:tcPr>
          <w:p w:rsidR="00CF7222" w:rsidRDefault="0015715D" w:rsidP="0015715D">
            <w:pPr>
              <w:tabs>
                <w:tab w:val="left" w:leader="dot" w:pos="0"/>
                <w:tab w:val="num" w:pos="1080"/>
              </w:tabs>
              <w:ind w:left="64"/>
              <w:rPr>
                <w:color w:val="000000"/>
              </w:rPr>
            </w:pPr>
            <w:r w:rsidRPr="00153A43">
              <w:rPr>
                <w:color w:val="000000"/>
              </w:rPr>
              <w:t>El Gestor de Calidad recolecta los datos necesarios desde la hoja “Informe de Revisión” de la “IFTC.PPQA.R01 - Herramienta de Gestión QA-Producto” que tiene la fábrica para el mes.</w:t>
            </w:r>
          </w:p>
          <w:p w:rsidR="00884E1C" w:rsidRDefault="00884E1C" w:rsidP="00884E1C">
            <w:pPr>
              <w:tabs>
                <w:tab w:val="left" w:leader="dot" w:pos="0"/>
                <w:tab w:val="num" w:pos="1080"/>
              </w:tabs>
              <w:ind w:left="64"/>
              <w:jc w:val="center"/>
              <w:rPr>
                <w:color w:val="00000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4B91699" wp14:editId="6BA4A98C">
                  <wp:extent cx="3336290" cy="2799080"/>
                  <wp:effectExtent l="0" t="0" r="16510" b="20320"/>
                  <wp:docPr id="3" name="Gráfic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84E1C" w:rsidRPr="0015715D" w:rsidRDefault="00884E1C" w:rsidP="0015715D">
            <w:pPr>
              <w:tabs>
                <w:tab w:val="left" w:leader="dot" w:pos="0"/>
                <w:tab w:val="num" w:pos="1080"/>
              </w:tabs>
              <w:ind w:left="64"/>
              <w:rPr>
                <w:color w:val="000000"/>
              </w:rPr>
            </w:pPr>
          </w:p>
        </w:tc>
      </w:tr>
      <w:tr w:rsidR="00CF7222" w:rsidRPr="00A12B5A" w:rsidTr="00533088">
        <w:trPr>
          <w:trHeight w:val="633"/>
        </w:trPr>
        <w:tc>
          <w:tcPr>
            <w:tcW w:w="2897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ALMACENAMIENTO</w:t>
            </w:r>
          </w:p>
        </w:tc>
        <w:tc>
          <w:tcPr>
            <w:tcW w:w="6696" w:type="dxa"/>
          </w:tcPr>
          <w:p w:rsidR="00884E1C" w:rsidRPr="00153A43" w:rsidRDefault="00884E1C" w:rsidP="00884E1C">
            <w:pPr>
              <w:tabs>
                <w:tab w:val="left" w:leader="dot" w:pos="2161"/>
              </w:tabs>
              <w:spacing w:before="60" w:after="60"/>
              <w:rPr>
                <w:color w:val="000000"/>
              </w:rPr>
            </w:pPr>
            <w:r w:rsidRPr="00153A43">
              <w:rPr>
                <w:color w:val="000000"/>
              </w:rPr>
              <w:t xml:space="preserve">Los resultados de la métrica se registrarán y presentarán en los siguientes artefactos: </w:t>
            </w:r>
          </w:p>
          <w:tbl>
            <w:tblPr>
              <w:tblW w:w="640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90"/>
              <w:gridCol w:w="1701"/>
              <w:gridCol w:w="2712"/>
            </w:tblGrid>
            <w:tr w:rsidR="00884E1C" w:rsidRPr="005452FC" w:rsidTr="00764680">
              <w:trPr>
                <w:trHeight w:val="223"/>
              </w:trPr>
              <w:tc>
                <w:tcPr>
                  <w:tcW w:w="1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8CCE4" w:themeFill="accent1" w:themeFillTint="66"/>
                  <w:noWrap/>
                  <w:vAlign w:val="center"/>
                </w:tcPr>
                <w:p w:rsidR="00884E1C" w:rsidRPr="00884E1C" w:rsidRDefault="00884E1C" w:rsidP="00884E1C">
                  <w:pPr>
                    <w:ind w:left="-65"/>
                    <w:jc w:val="center"/>
                    <w:rPr>
                      <w:rFonts w:ascii="Arial" w:hAnsi="Arial" w:cs="Arial"/>
                    </w:rPr>
                  </w:pPr>
                  <w:r w:rsidRPr="00884E1C">
                    <w:rPr>
                      <w:rFonts w:ascii="Arial" w:hAnsi="Arial" w:cs="Arial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8CCE4" w:themeFill="accent1" w:themeFillTint="66"/>
                  <w:noWrap/>
                  <w:vAlign w:val="center"/>
                </w:tcPr>
                <w:p w:rsidR="00884E1C" w:rsidRPr="00884E1C" w:rsidRDefault="00884E1C" w:rsidP="00884E1C">
                  <w:pPr>
                    <w:ind w:left="360"/>
                    <w:jc w:val="center"/>
                    <w:rPr>
                      <w:rFonts w:ascii="Arial" w:hAnsi="Arial" w:cs="Arial"/>
                    </w:rPr>
                  </w:pPr>
                  <w:r w:rsidRPr="00884E1C">
                    <w:rPr>
                      <w:rFonts w:ascii="Arial" w:hAnsi="Arial" w:cs="Arial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884E1C" w:rsidRPr="00884E1C" w:rsidRDefault="00884E1C" w:rsidP="00884E1C">
                  <w:pPr>
                    <w:ind w:left="360"/>
                    <w:jc w:val="center"/>
                    <w:rPr>
                      <w:rFonts w:ascii="Arial" w:hAnsi="Arial" w:cs="Arial"/>
                    </w:rPr>
                  </w:pPr>
                  <w:r w:rsidRPr="00884E1C">
                    <w:rPr>
                      <w:rFonts w:ascii="Arial" w:hAnsi="Arial" w:cs="Arial"/>
                      <w:b/>
                      <w:bCs/>
                    </w:rPr>
                    <w:t>Descripción</w:t>
                  </w:r>
                </w:p>
              </w:tc>
            </w:tr>
            <w:tr w:rsidR="00884E1C" w:rsidRPr="005452FC" w:rsidTr="00764680">
              <w:trPr>
                <w:trHeight w:val="223"/>
              </w:trPr>
              <w:tc>
                <w:tcPr>
                  <w:tcW w:w="1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84E1C" w:rsidRPr="005452FC" w:rsidRDefault="00764680" w:rsidP="00764680">
                  <w:pPr>
                    <w:ind w:left="-65"/>
                  </w:pPr>
                  <w:r w:rsidRPr="00764680">
                    <w:rPr>
                      <w:color w:val="000000"/>
                    </w:rPr>
                    <w:t>IFTC.PPQA.RE03_Registr</w:t>
                  </w:r>
                  <w:r>
                    <w:rPr>
                      <w:color w:val="000000"/>
                    </w:rPr>
                    <w:t>o de resultados de metricas_(v</w:t>
                  </w:r>
                  <w:r w:rsidRPr="00764680"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4680" w:rsidRPr="005452FC" w:rsidRDefault="00764680" w:rsidP="00764680">
                  <w:pPr>
                    <w:ind w:left="-13"/>
                  </w:pPr>
                  <w:r w:rsidRPr="00764680">
                    <w:t>ITFC.PPQA.RE0</w:t>
                  </w:r>
                  <w:r>
                    <w:t>Y</w:t>
                  </w:r>
                  <w:r w:rsidRPr="00764680">
                    <w:t>_XXXXX(VZ.Z)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84E1C" w:rsidRPr="005452FC" w:rsidRDefault="00884E1C" w:rsidP="00764680">
                  <w:r w:rsidRPr="005452FC">
                    <w:t>Plantilla para el registro de los valores de las métricas y otros artefactos.</w:t>
                  </w:r>
                </w:p>
              </w:tc>
            </w:tr>
          </w:tbl>
          <w:p w:rsidR="00884E1C" w:rsidRDefault="00884E1C" w:rsidP="009E0384">
            <w:pPr>
              <w:tabs>
                <w:tab w:val="left" w:leader="dot" w:pos="2161"/>
              </w:tabs>
              <w:rPr>
                <w:color w:val="000000"/>
              </w:rPr>
            </w:pPr>
          </w:p>
          <w:p w:rsidR="00CF7222" w:rsidRDefault="00884E1C" w:rsidP="009E0384">
            <w:pPr>
              <w:tabs>
                <w:tab w:val="left" w:leader="dot" w:pos="2161"/>
              </w:tabs>
              <w:rPr>
                <w:color w:val="000000"/>
              </w:rPr>
            </w:pPr>
            <w:r w:rsidRPr="00153A43">
              <w:rPr>
                <w:color w:val="000000"/>
              </w:rPr>
              <w:t>Cada actualización deberá ser Actualizada en el repositorio online GitHub.</w:t>
            </w:r>
          </w:p>
          <w:p w:rsidR="00884E1C" w:rsidRPr="00A12B5A" w:rsidRDefault="00884E1C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533088">
        <w:trPr>
          <w:trHeight w:val="1226"/>
        </w:trPr>
        <w:tc>
          <w:tcPr>
            <w:tcW w:w="2897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6" w:type="dxa"/>
            <w:vAlign w:val="center"/>
          </w:tcPr>
          <w:p w:rsidR="00AE63AE" w:rsidRPr="00764680" w:rsidRDefault="00AE63AE" w:rsidP="00764680">
            <w:pPr>
              <w:rPr>
                <w:rFonts w:asciiTheme="majorHAnsi" w:hAnsiTheme="majorHAnsi"/>
              </w:rPr>
            </w:pPr>
            <w:r w:rsidRPr="00764680">
              <w:rPr>
                <w:rFonts w:asciiTheme="majorHAnsi" w:hAnsiTheme="majorHAnsi"/>
              </w:rPr>
              <w:t>Gerente de la Empresa</w:t>
            </w:r>
          </w:p>
          <w:p w:rsidR="00AE63AE" w:rsidRPr="00764680" w:rsidRDefault="00AE63AE" w:rsidP="00764680">
            <w:pPr>
              <w:rPr>
                <w:rFonts w:asciiTheme="majorHAnsi" w:hAnsiTheme="majorHAnsi"/>
              </w:rPr>
            </w:pPr>
            <w:r w:rsidRPr="00764680">
              <w:rPr>
                <w:rFonts w:asciiTheme="majorHAnsi" w:hAnsiTheme="majorHAnsi"/>
              </w:rPr>
              <w:t>Jefe del Proyecto</w:t>
            </w:r>
          </w:p>
          <w:p w:rsidR="00764680" w:rsidRPr="00764680" w:rsidRDefault="00AE63AE" w:rsidP="00764680">
            <w:pPr>
              <w:rPr>
                <w:rFonts w:asciiTheme="majorHAnsi" w:hAnsiTheme="majorHAnsi" w:cs="Arial"/>
                <w:color w:val="000000"/>
                <w:lang w:val="es-MX"/>
              </w:rPr>
            </w:pPr>
            <w:r w:rsidRPr="00764680">
              <w:rPr>
                <w:rFonts w:asciiTheme="majorHAnsi" w:hAnsiTheme="majorHAnsi"/>
              </w:rPr>
              <w:t>Analista de Calidad</w:t>
            </w:r>
            <w:r w:rsidRPr="00764680">
              <w:rPr>
                <w:rFonts w:asciiTheme="majorHAnsi" w:hAnsiTheme="majorHAnsi" w:cs="Arial"/>
                <w:color w:val="000000"/>
                <w:lang w:val="es-MX"/>
              </w:rPr>
              <w:t xml:space="preserve"> </w:t>
            </w:r>
          </w:p>
          <w:p w:rsidR="00AE63AE" w:rsidRPr="00764680" w:rsidRDefault="00AE63AE" w:rsidP="00764680">
            <w:pPr>
              <w:rPr>
                <w:rFonts w:asciiTheme="majorHAnsi" w:hAnsiTheme="majorHAnsi" w:cs="Arial"/>
                <w:color w:val="000000"/>
                <w:sz w:val="18"/>
                <w:szCs w:val="18"/>
                <w:lang w:val="es-MX"/>
              </w:rPr>
            </w:pPr>
            <w:r w:rsidRPr="00764680">
              <w:rPr>
                <w:rFonts w:asciiTheme="majorHAnsi" w:hAnsiTheme="majorHAnsi" w:cs="Arial"/>
                <w:color w:val="000000"/>
                <w:lang w:val="es-MX"/>
              </w:rPr>
              <w:t>Analista Programador</w:t>
            </w:r>
          </w:p>
        </w:tc>
      </w:tr>
      <w:tr w:rsidR="00CF7222" w:rsidRPr="00A12B5A" w:rsidTr="00533088">
        <w:trPr>
          <w:trHeight w:val="962"/>
        </w:trPr>
        <w:tc>
          <w:tcPr>
            <w:tcW w:w="2897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6" w:type="dxa"/>
            <w:vAlign w:val="center"/>
          </w:tcPr>
          <w:p w:rsidR="00CF7222" w:rsidRPr="00A12B5A" w:rsidRDefault="003A38A5" w:rsidP="00764680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38379A">
        <w:trPr>
          <w:trHeight w:val="2717"/>
        </w:trPr>
        <w:tc>
          <w:tcPr>
            <w:tcW w:w="2897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6" w:type="dxa"/>
            <w:vAlign w:val="center"/>
          </w:tcPr>
          <w:p w:rsidR="00533088" w:rsidRDefault="00533088" w:rsidP="0038379A">
            <w:r>
              <w:t xml:space="preserve">El semáforo en </w:t>
            </w:r>
            <w:r w:rsidRPr="00EE12F8">
              <w:rPr>
                <w:b/>
              </w:rPr>
              <w:t>Verde</w:t>
            </w:r>
            <w:r>
              <w:t xml:space="preserve"> indica </w:t>
            </w:r>
            <w:r w:rsidR="00EE12F8">
              <w:t>que el número de No conformidad (NC) se encuentran entre los parámetros permitidos, que vendrían hacer correcciones menores y que no afectan perjudicialmente el proyecto</w:t>
            </w:r>
          </w:p>
          <w:p w:rsidR="00533088" w:rsidRDefault="00533088" w:rsidP="0038379A"/>
          <w:p w:rsidR="00EE12F8" w:rsidRDefault="00764680" w:rsidP="0038379A">
            <w:r>
              <w:t xml:space="preserve">El semáforo en </w:t>
            </w:r>
            <w:r w:rsidR="00533088" w:rsidRPr="00EE12F8">
              <w:rPr>
                <w:b/>
              </w:rPr>
              <w:t>Amarillo</w:t>
            </w:r>
            <w:r w:rsidR="00533088">
              <w:t xml:space="preserve"> </w:t>
            </w:r>
            <w:r>
              <w:t xml:space="preserve">indicaría que se está elevando el número de NC de QA de productos y debe realizarse </w:t>
            </w:r>
            <w:r w:rsidR="00EE12F8">
              <w:t xml:space="preserve">una </w:t>
            </w:r>
            <w:r>
              <w:t>mejora para facilitar la reducción</w:t>
            </w:r>
            <w:r w:rsidR="00EE12F8">
              <w:t xml:space="preserve"> de los defectos en el producto.</w:t>
            </w:r>
          </w:p>
          <w:p w:rsidR="00EE12F8" w:rsidRDefault="00EE12F8" w:rsidP="0038379A"/>
          <w:p w:rsidR="00CF7222" w:rsidRPr="0038379A" w:rsidRDefault="00EE12F8" w:rsidP="0038379A">
            <w:r>
              <w:t xml:space="preserve"> </w:t>
            </w:r>
            <w:r w:rsidR="00764680">
              <w:t xml:space="preserve">Para el caso en el que el semáforo esté en </w:t>
            </w:r>
            <w:r w:rsidR="00533088" w:rsidRPr="00EE12F8">
              <w:rPr>
                <w:b/>
              </w:rPr>
              <w:t>Rojo</w:t>
            </w:r>
            <w:r w:rsidR="00764680">
              <w:t>, el número de NC es severo y se requiere una mejora de carácter urgente que puede implicar cambios en alguno de los procesos involucrados.</w:t>
            </w: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16" w:rsidRDefault="00E01616" w:rsidP="00C009BE">
      <w:r>
        <w:separator/>
      </w:r>
    </w:p>
  </w:endnote>
  <w:endnote w:type="continuationSeparator" w:id="0">
    <w:p w:rsidR="00E01616" w:rsidRDefault="00E01616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Regula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16" w:rsidRDefault="00E01616" w:rsidP="00C009BE">
      <w:r>
        <w:separator/>
      </w:r>
    </w:p>
  </w:footnote>
  <w:footnote w:type="continuationSeparator" w:id="0">
    <w:p w:rsidR="00E01616" w:rsidRDefault="00E01616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5"/>
      <w:gridCol w:w="6237"/>
    </w:tblGrid>
    <w:tr w:rsidR="00BD554D" w:rsidRPr="00BD554D" w:rsidTr="00A43173">
      <w:trPr>
        <w:trHeight w:val="883"/>
      </w:trPr>
      <w:tc>
        <w:tcPr>
          <w:tcW w:w="2835" w:type="dxa"/>
          <w:vAlign w:val="center"/>
        </w:tcPr>
        <w:p w:rsidR="00BD554D" w:rsidRPr="00BD554D" w:rsidRDefault="00BD554D" w:rsidP="00BD554D">
          <w:pPr>
            <w:jc w:val="center"/>
            <w:rPr>
              <w:rFonts w:ascii="Arial" w:hAnsi="Arial" w:cs="Arial"/>
              <w:lang w:val="es-PE" w:eastAsia="en-US"/>
            </w:rPr>
          </w:pPr>
          <w:r>
            <w:rPr>
              <w:rFonts w:ascii="Arial" w:hAnsi="Arial" w:cs="Arial"/>
              <w:noProof/>
              <w:lang w:val="es-PE" w:eastAsia="es-PE"/>
            </w:rPr>
            <w:drawing>
              <wp:inline distT="0" distB="0" distL="0" distR="0">
                <wp:extent cx="1520825" cy="316865"/>
                <wp:effectExtent l="0" t="0" r="3175" b="6985"/>
                <wp:docPr id="1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533088" w:rsidRDefault="00533088" w:rsidP="00BD554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16"/>
              <w:szCs w:val="16"/>
              <w:lang w:val="es-PE" w:eastAsia="en-US"/>
            </w:rPr>
          </w:pPr>
          <w:r>
            <w:rPr>
              <w:rFonts w:ascii="Arial" w:hAnsi="Arial" w:cs="Arial"/>
              <w:b/>
              <w:sz w:val="16"/>
              <w:szCs w:val="16"/>
              <w:lang w:val="es-PE" w:eastAsia="en-US"/>
            </w:rPr>
            <w:t>IFTC.PPQA.RE04</w:t>
          </w:r>
        </w:p>
        <w:p w:rsidR="00BD554D" w:rsidRPr="00BD554D" w:rsidRDefault="00533088" w:rsidP="00BD554D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lang w:val="es-PE" w:eastAsia="en-US"/>
            </w:rPr>
          </w:pPr>
          <w:r w:rsidRPr="00533088">
            <w:rPr>
              <w:rFonts w:ascii="Arial" w:hAnsi="Arial" w:cs="Arial"/>
              <w:b/>
              <w:sz w:val="16"/>
              <w:szCs w:val="16"/>
              <w:lang w:val="es-PE" w:eastAsia="en-US"/>
            </w:rPr>
            <w:t>Num</w:t>
          </w:r>
          <w:r>
            <w:rPr>
              <w:rFonts w:ascii="Arial" w:hAnsi="Arial" w:cs="Arial"/>
              <w:b/>
              <w:sz w:val="16"/>
              <w:szCs w:val="16"/>
              <w:lang w:val="es-PE" w:eastAsia="en-US"/>
            </w:rPr>
            <w:t>ero</w:t>
          </w:r>
          <w:r w:rsidR="00EE12F8">
            <w:rPr>
              <w:rFonts w:ascii="Arial" w:hAnsi="Arial" w:cs="Arial"/>
              <w:b/>
              <w:sz w:val="16"/>
              <w:szCs w:val="16"/>
              <w:lang w:val="es-PE" w:eastAsia="en-US"/>
            </w:rPr>
            <w:t xml:space="preserve"> de no </w:t>
          </w:r>
          <w:r w:rsidRPr="00533088">
            <w:rPr>
              <w:rFonts w:ascii="Arial" w:hAnsi="Arial" w:cs="Arial"/>
              <w:b/>
              <w:sz w:val="16"/>
              <w:szCs w:val="16"/>
              <w:lang w:val="es-PE" w:eastAsia="en-US"/>
            </w:rPr>
            <w:t>Conformidades</w:t>
          </w:r>
          <w:r w:rsidR="00EE12F8">
            <w:rPr>
              <w:rFonts w:ascii="Arial" w:hAnsi="Arial" w:cs="Arial"/>
              <w:b/>
              <w:sz w:val="16"/>
              <w:szCs w:val="16"/>
              <w:lang w:val="es-PE" w:eastAsia="en-US"/>
            </w:rPr>
            <w:t xml:space="preserve"> del</w:t>
          </w:r>
          <w:r w:rsidRPr="00533088">
            <w:rPr>
              <w:rFonts w:ascii="Arial" w:hAnsi="Arial" w:cs="Arial"/>
              <w:b/>
              <w:sz w:val="16"/>
              <w:szCs w:val="16"/>
              <w:lang w:val="es-PE" w:eastAsia="en-US"/>
            </w:rPr>
            <w:t xml:space="preserve"> QA</w:t>
          </w:r>
        </w:p>
      </w:tc>
    </w:tr>
  </w:tbl>
  <w:p w:rsidR="00A4298D" w:rsidRPr="00BD554D" w:rsidRDefault="00A4298D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0691514"/>
    <w:multiLevelType w:val="hybridMultilevel"/>
    <w:tmpl w:val="9DAE8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1"/>
  </w:num>
  <w:num w:numId="5">
    <w:abstractNumId w:val="17"/>
  </w:num>
  <w:num w:numId="6">
    <w:abstractNumId w:val="11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6"/>
  </w:num>
  <w:num w:numId="12">
    <w:abstractNumId w:val="21"/>
  </w:num>
  <w:num w:numId="13">
    <w:abstractNumId w:val="12"/>
  </w:num>
  <w:num w:numId="14">
    <w:abstractNumId w:val="19"/>
  </w:num>
  <w:num w:numId="15">
    <w:abstractNumId w:val="0"/>
  </w:num>
  <w:num w:numId="16">
    <w:abstractNumId w:val="2"/>
  </w:num>
  <w:num w:numId="17">
    <w:abstractNumId w:val="5"/>
  </w:num>
  <w:num w:numId="18">
    <w:abstractNumId w:val="3"/>
  </w:num>
  <w:num w:numId="19">
    <w:abstractNumId w:val="8"/>
  </w:num>
  <w:num w:numId="20">
    <w:abstractNumId w:val="1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3F"/>
    <w:rsid w:val="00063E26"/>
    <w:rsid w:val="0008335D"/>
    <w:rsid w:val="000E502F"/>
    <w:rsid w:val="00147AC8"/>
    <w:rsid w:val="0015715D"/>
    <w:rsid w:val="001660AB"/>
    <w:rsid w:val="00221B8F"/>
    <w:rsid w:val="002C39C4"/>
    <w:rsid w:val="0038379A"/>
    <w:rsid w:val="003A38A5"/>
    <w:rsid w:val="00416540"/>
    <w:rsid w:val="0048777B"/>
    <w:rsid w:val="004D2D5B"/>
    <w:rsid w:val="00533088"/>
    <w:rsid w:val="00536775"/>
    <w:rsid w:val="00537F22"/>
    <w:rsid w:val="005A4E76"/>
    <w:rsid w:val="005B65DC"/>
    <w:rsid w:val="005F77F1"/>
    <w:rsid w:val="006351EA"/>
    <w:rsid w:val="006A60AB"/>
    <w:rsid w:val="00706ECE"/>
    <w:rsid w:val="00764680"/>
    <w:rsid w:val="00820B09"/>
    <w:rsid w:val="00857803"/>
    <w:rsid w:val="00860C6E"/>
    <w:rsid w:val="00884E1C"/>
    <w:rsid w:val="00885554"/>
    <w:rsid w:val="008856F0"/>
    <w:rsid w:val="00992C3F"/>
    <w:rsid w:val="009E0317"/>
    <w:rsid w:val="009E0384"/>
    <w:rsid w:val="00A12B5A"/>
    <w:rsid w:val="00A4298D"/>
    <w:rsid w:val="00AE63AE"/>
    <w:rsid w:val="00B055BB"/>
    <w:rsid w:val="00B517D1"/>
    <w:rsid w:val="00B71864"/>
    <w:rsid w:val="00B819F5"/>
    <w:rsid w:val="00B95961"/>
    <w:rsid w:val="00B96EFF"/>
    <w:rsid w:val="00BD554D"/>
    <w:rsid w:val="00C009BE"/>
    <w:rsid w:val="00CA4E6B"/>
    <w:rsid w:val="00CF7222"/>
    <w:rsid w:val="00D007FA"/>
    <w:rsid w:val="00D15C1C"/>
    <w:rsid w:val="00D5410D"/>
    <w:rsid w:val="00DD77A2"/>
    <w:rsid w:val="00DF4E7B"/>
    <w:rsid w:val="00DF54D2"/>
    <w:rsid w:val="00DF5690"/>
    <w:rsid w:val="00E01616"/>
    <w:rsid w:val="00E930B4"/>
    <w:rsid w:val="00EC267A"/>
    <w:rsid w:val="00EE12F8"/>
    <w:rsid w:val="00F803BD"/>
    <w:rsid w:val="00F83956"/>
    <w:rsid w:val="00F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85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8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DS\Area_PPQA\IFTC.PPQA.RE04_Grafico%20de%20Metrica_(1.0)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810811260966784"/>
          <c:y val="5.1714514686407871E-2"/>
          <c:w val="0.82490286168195004"/>
          <c:h val="0.62310001063903153"/>
        </c:manualLayout>
      </c:layout>
      <c:areaChart>
        <c:grouping val="standard"/>
        <c:varyColors val="0"/>
        <c:ser>
          <c:idx val="2"/>
          <c:order val="1"/>
          <c:tx>
            <c:strRef>
              <c:f>'Grafico de Metricas'!$L$18</c:f>
              <c:strCache>
                <c:ptCount val="1"/>
              </c:strCache>
            </c:strRef>
          </c:tx>
          <c:spPr>
            <a:solidFill>
              <a:srgbClr val="FFCC00"/>
            </a:solidFill>
            <a:ln w="12700">
              <a:solidFill>
                <a:srgbClr val="000000"/>
              </a:solidFill>
              <a:prstDash val="solid"/>
            </a:ln>
          </c:spPr>
          <c:cat>
            <c:numRef>
              <c:f>'Grafico de Metricas'!$I$19:$I$36</c:f>
              <c:numCache>
                <c:formatCode>mmmm</c:formatCode>
                <c:ptCount val="18"/>
                <c:pt idx="1">
                  <c:v>41310</c:v>
                </c:pt>
                <c:pt idx="2">
                  <c:v>41338</c:v>
                </c:pt>
                <c:pt idx="3">
                  <c:v>41369</c:v>
                </c:pt>
                <c:pt idx="4">
                  <c:v>41399</c:v>
                </c:pt>
              </c:numCache>
            </c:numRef>
          </c:cat>
          <c:val>
            <c:numRef>
              <c:f>'Grafico de Metricas'!$L$19:$L$36</c:f>
              <c:numCache>
                <c:formatCode>_(* #,##0.0_);_(* \(#,##0.0\);_(* "-"??_);_(@_)</c:formatCode>
                <c:ptCount val="18"/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val>
        </c:ser>
        <c:ser>
          <c:idx val="3"/>
          <c:order val="2"/>
          <c:tx>
            <c:strRef>
              <c:f>'Grafico de Metricas'!$M$18</c:f>
              <c:strCache>
                <c:ptCount val="1"/>
                <c:pt idx="0">
                  <c:v>VERDE</c:v>
                </c:pt>
              </c:strCache>
            </c:strRef>
          </c:tx>
          <c:spPr>
            <a:solidFill>
              <a:srgbClr val="00FF00"/>
            </a:solidFill>
            <a:ln w="12700">
              <a:solidFill>
                <a:srgbClr val="000000"/>
              </a:solidFill>
              <a:prstDash val="solid"/>
            </a:ln>
          </c:spPr>
          <c:cat>
            <c:numRef>
              <c:f>'Grafico de Metricas'!$I$19:$I$36</c:f>
              <c:numCache>
                <c:formatCode>mmmm</c:formatCode>
                <c:ptCount val="18"/>
                <c:pt idx="1">
                  <c:v>41310</c:v>
                </c:pt>
                <c:pt idx="2">
                  <c:v>41338</c:v>
                </c:pt>
                <c:pt idx="3">
                  <c:v>41369</c:v>
                </c:pt>
                <c:pt idx="4">
                  <c:v>41399</c:v>
                </c:pt>
              </c:numCache>
            </c:numRef>
          </c:cat>
          <c:val>
            <c:numRef>
              <c:f>'Grafico de Metricas'!$M$19:$M$36</c:f>
              <c:numCache>
                <c:formatCode>_(* #,##0.0_);_(* \(#,##0.0\);_(* "-"??_);_(@_)</c:formatCode>
                <c:ptCount val="18"/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382720"/>
        <c:axId val="180590784"/>
      </c:areaChart>
      <c:lineChart>
        <c:grouping val="standard"/>
        <c:varyColors val="0"/>
        <c:ser>
          <c:idx val="0"/>
          <c:order val="0"/>
          <c:tx>
            <c:strRef>
              <c:f>'Grafico de Metricas'!$J$18</c:f>
              <c:strCache>
                <c:ptCount val="1"/>
                <c:pt idx="0">
                  <c:v>PROGRESOS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numRef>
              <c:f>'Grafico de Metricas'!$I$19:$I$36</c:f>
              <c:numCache>
                <c:formatCode>mmmm</c:formatCode>
                <c:ptCount val="18"/>
                <c:pt idx="1">
                  <c:v>41310</c:v>
                </c:pt>
                <c:pt idx="2">
                  <c:v>41338</c:v>
                </c:pt>
                <c:pt idx="3">
                  <c:v>41369</c:v>
                </c:pt>
                <c:pt idx="4">
                  <c:v>41399</c:v>
                </c:pt>
              </c:numCache>
            </c:numRef>
          </c:cat>
          <c:val>
            <c:numRef>
              <c:f>'Grafico de Metricas'!$J$19:$J$36</c:f>
              <c:numCache>
                <c:formatCode>_(* #,##0.00_);_(* \(#,##0.00\);_(* "-"??_);_(@_)</c:formatCode>
                <c:ptCount val="18"/>
                <c:pt idx="1">
                  <c:v>28.571428571428569</c:v>
                </c:pt>
                <c:pt idx="2">
                  <c:v>16.666666666666664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382720"/>
        <c:axId val="180590784"/>
      </c:lineChart>
      <c:dateAx>
        <c:axId val="268382720"/>
        <c:scaling>
          <c:orientation val="minMax"/>
        </c:scaling>
        <c:delete val="0"/>
        <c:axPos val="b"/>
        <c:majorGridlines/>
        <c:numFmt formatCode="mmmm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PE"/>
          </a:p>
        </c:txPr>
        <c:crossAx val="180590784"/>
        <c:crosses val="autoZero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1805907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PE"/>
          </a:p>
        </c:txPr>
        <c:crossAx val="268382720"/>
        <c:crosses val="autoZero"/>
        <c:crossBetween val="midCat"/>
      </c:valAx>
      <c:spPr>
        <a:solidFill>
          <a:srgbClr val="FF000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25068117939514567"/>
          <c:y val="0.84989997090417713"/>
          <c:w val="0.41684979267055922"/>
          <c:h val="5.5699333668424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PE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E55D-1229-416B-9637-D7F39A5A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</vt:lpstr>
      <vt:lpstr> </vt:lpstr>
    </vt:vector>
  </TitlesOfParts>
  <Company>GMD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AnDerSon</cp:lastModifiedBy>
  <cp:revision>12</cp:revision>
  <dcterms:created xsi:type="dcterms:W3CDTF">2013-05-05T20:27:00Z</dcterms:created>
  <dcterms:modified xsi:type="dcterms:W3CDTF">2013-05-07T19:27:00Z</dcterms:modified>
</cp:coreProperties>
</file>