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FF"/>
          <w:sz w:val="22"/>
        </w:rPr>
        <w:t>FAQ — Work Without Fear Reform</w:t>
      </w:r>
    </w:p>
    <w:p>
      <w:pPr>
        <w:jc w:val="center"/>
      </w:pPr>
      <w:r>
        <w:rPr>
          <w:color w:val="0000FF"/>
          <w:sz w:val="22"/>
        </w:rPr>
        <w:t>Submitted by: Amir Mohammad Ehtiatkar Soumehsaraei • 07 November 2025</w:t>
        <w:br/>
        <w:t>Gmail: Mohammad.ek700@gmail.com</w:t>
      </w:r>
    </w:p>
    <w:p>
      <w:pPr>
        <w:jc w:val="center"/>
      </w:pPr>
      <w:r>
        <w:rPr>
          <w:sz w:val="22"/>
        </w:rPr>
        <w:br/>
        <w:t>FAQ — Work Without Fear Reform</w:t>
        <w:br/>
        <w:br/>
        <w:t>Q1 — How does the system prevent abuse? Is data checked?</w:t>
        <w:br/>
        <w:t>Before any data check (HMRC income or employment records), explicit consent is required.</w:t>
        <w:br/>
        <w:t>The individual is informed that HMRC data may be reviewed. If risk signs appear, the person</w:t>
        <w:br/>
        <w:t>is notified and allowed to explain. This maintains oversight without punishing employment.</w:t>
        <w:br/>
        <w:br/>
        <w:t>Q2 — What if someone earns a high income?</w:t>
        <w:br/>
        <w:t>PIP and LCWRA are medical-based benefits. Income alone does not remove entitlement.</w:t>
        <w:br/>
        <w:t>Only medical evidence and scheduled review cycles decide entitlement.</w:t>
        <w:br/>
        <w:br/>
        <w:t>Q3 — How is this different from Universal Credit rules?</w:t>
        <w:br/>
        <w:t>The reform activates only after PIP or LCWRA is awarded. Universal Credit rules do not change.</w:t>
        <w:br/>
        <w:br/>
        <w:t>Q4 — Can DWP request a GP assessment? What is the GP role?</w:t>
        <w:br/>
        <w:t>Yes. DWP can request that the GP conduct a short assessment and send a factual opinion.</w:t>
        <w:br/>
        <w:t>If the GP’s report is clear, a face-to-face assessment may not be needed — but this does not</w:t>
        <w:br/>
        <w:t>eliminate that option entirely.</w:t>
        <w:br/>
        <w:br/>
        <w:t>Q5 — Does this increase workload for GPs?</w:t>
        <w:br/>
        <w:t>No. GPs provide factual information, not decisions. DWP remains the decision-maker.</w:t>
        <w:br/>
        <w:br/>
        <w:t>Q6 — What is the financial impact?</w:t>
        <w:br/>
        <w:t>This is not a cost — it is an investment. Even with a 3–6% employment uptake rate, the state</w:t>
        <w:br/>
        <w:t>receives increased tax and NIC revenue (tens to hundreds of millions annually).</w:t>
        <w:br/>
        <w:br/>
        <w:t>Q7 — What happens if someone becomes unwell again after working?</w:t>
        <w:br/>
        <w:t>Support remains. Employment alone cannot remove entitlement.</w:t>
        <w:br/>
        <w:br/>
        <w:t>Q8 — What does not change?</w:t>
        <w:br/>
        <w:t>• Eligibility rules</w:t>
        <w:br/>
        <w:t>• Medical evidence requirement</w:t>
        <w:br/>
        <w:t>• DWP authority</w:t>
        <w:br/>
        <w:br/>
        <w:t>Q9 — Why should the government adopt this reform?</w:t>
        <w:br/>
        <w:t>Currently the government pays benefits without return. Under this reform, benefits continue,</w:t>
        <w:br/>
        <w:t>but work becomes safe — allowing claimants to enter employment and generate tax revenue.</w:t>
        <w:br/>
        <w:t>Indirect benefits: improved credit scores, higher economic participation, increased mortgage/</w:t>
        <w:br/>
        <w:t>loan eligibility, and a healthier economic cycle.</w:t>
        <w:br/>
        <w:br/>
        <w:t>Q10 — How does the reform reduce unnecessary reassessment?</w:t>
        <w:br/>
        <w:t>Clear consent, risk-based checks, and GP factual reports reduce unnecessary assessments.</w:t>
        <w:br/>
        <w:br/>
        <w:t>Q11 — Human message of the reform:</w:t>
        <w:br/>
        <w:t>“Work when you can. Support when you can’t.”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