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FF"/>
          <w:sz w:val="22"/>
        </w:rPr>
        <w:t>ROADMAP — Work Without Fear Reform</w:t>
      </w:r>
    </w:p>
    <w:p>
      <w:pPr>
        <w:jc w:val="center"/>
      </w:pPr>
      <w:r>
        <w:rPr>
          <w:color w:val="0000FF"/>
          <w:sz w:val="22"/>
        </w:rPr>
        <w:t>Submitted by: Amir Mohammad Ehtiatkar Soumehsaraei • 07 November 2025</w:t>
        <w:br/>
        <w:t>Gmail: Mohammad.ek700@gmail.com</w:t>
      </w:r>
    </w:p>
    <w:p>
      <w:pPr>
        <w:jc w:val="center"/>
      </w:pPr>
      <w:r>
        <w:rPr>
          <w:sz w:val="22"/>
        </w:rPr>
        <w:br/>
        <w:t>ROADMAP — Pilot Execution &amp; Implementation Assurance</w:t>
        <w:br/>
        <w:br/>
        <w:t>Objective:</w:t>
        <w:br/>
        <w:t>Ensure that the reform is not just approved, but actually executed and tested through a controlled pilot.</w:t>
        <w:br/>
        <w:br/>
        <w:t>1) Pilot Implementation (12–24 months)</w:t>
        <w:br/>
        <w:t>Pilot location: Merseyside / Liverpool (highest PIP applicant concentration).</w:t>
        <w:br/>
        <w:t>- Applies only to individuals already awarded PIP or LCWRA.</w:t>
        <w:br/>
        <w:t>- Working will NOT trigger loss of support.</w:t>
        <w:br/>
        <w:t>- GP provides a factual report when needed. If sufficient → DWP does not require a face-to-face assessment.</w:t>
        <w:br/>
        <w:br/>
        <w:t>2) Responsibility &amp; Authority</w:t>
        <w:br/>
        <w:t>Primary authority: DWP — Department for Work &amp; Pensions.</w:t>
        <w:br/>
        <w:t>- DWP: Executes the reform, adds insert sheet to Award Letter, sends notifications via UC Journal.</w:t>
        <w:br/>
        <w:t>- HMRC: Access to earnings data ONLY with explicit consent.</w:t>
        <w:br/>
        <w:t>- NHS/GP: Provides factual report, NO decision-making authority.</w:t>
        <w:br/>
        <w:br/>
        <w:t>3) Information Delivery (How people are informed)</w:t>
        <w:br/>
        <w:t>New claimants:</w:t>
        <w:br/>
        <w:t>- Insert sheet included in PIP / LCWRA Award Letter explaining the new rule clearly.</w:t>
        <w:br/>
        <w:br/>
        <w:t>Existing claimants:</w:t>
        <w:br/>
        <w:t>- Message inside GOV.UK PIP account.</w:t>
        <w:br/>
        <w:t>- UC Journal update for LCWRA claimants.</w:t>
        <w:br/>
        <w:t>- Email / SMS / optional physical letter with link to GOV page explaining the reform.</w:t>
        <w:br/>
        <w:br/>
        <w:t>Public message:</w:t>
        <w:br/>
        <w:t>“Working will not stop your support.”</w:t>
        <w:br/>
        <w:br/>
        <w:t>4) Safeguards</w:t>
        <w:br/>
        <w:t>- Explicit consent required before any HMRC data check.</w:t>
        <w:br/>
        <w:t>- Risk-based data monitoring only when indicators appear.</w:t>
        <w:br/>
        <w:t>- Right to challenge: claimant is notified and can explain before action.</w:t>
        <w:br/>
        <w:br/>
        <w:t>5) Data Collection &amp; KPIs</w:t>
        <w:br/>
        <w:t>Data sources: DWP + HMRC + UC Portal.</w:t>
        <w:br/>
        <w:t>KPIs:</w:t>
        <w:br/>
        <w:t>- Work disclosure rate (how many people report work without fear)</w:t>
        <w:br/>
        <w:t>- Tax/NIC uplift (increase in revenue)</w:t>
        <w:br/>
        <w:t>- Reduction in DWP assessments</w:t>
        <w:br/>
        <w:t>- Wellbeing / anxiety reduction</w:t>
        <w:br/>
        <w:br/>
        <w:t>6) Negative Outcomes / Fail-safe</w:t>
        <w:br/>
        <w:t>If results are negative but fixable → adjust and improve the model.</w:t>
        <w:br/>
        <w:t>If results are severely negative → pilot stops.</w:t>
        <w:br/>
        <w:t>The reform continues only if data demonstrates benefit.</w:t>
        <w:br/>
        <w:br/>
        <w:t>End of Pilot:</w:t>
        <w:br/>
        <w:t>After 12–24 months, analysis will determine whether nationwide rollout begins.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