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حمایت باقی می‌مانَد، کار کن — پیوست فنی/اجرایی (Annex)</w:t>
      </w:r>
    </w:p>
    <w:p>
      <w:pPr>
        <w:jc w:val="center"/>
      </w:pPr>
      <w:r>
        <w:rPr>
          <w:b/>
          <w:sz w:val="22"/>
        </w:rPr>
        <w:t>Submitted by: Amir Mohammad Ehtiatkar Soumehsaraei • 07 November 2025 • Email: Mohammad.ek700@gmail.com</w:t>
      </w:r>
    </w:p>
    <w:p>
      <w:r>
        <w:rPr>
          <w:sz w:val="22"/>
        </w:rPr>
        <w:t>الف) نقش GP و استاندارد شواهد</w:t>
        <w:br/>
        <w:t>• فرم استاندارد گزارش فکت‌محور (بدون تفسیر سیاستی) شامل: تشخیص، دوره‌های نوسانی، محدودیت عملکردی، درمان‌های جاری، چشم‌انداز پایداری.</w:t>
        <w:br/>
        <w:t>• وزن شواهد GP بالا است؛ مسیر Fast-Track ممکن است؛ اما تصمیم نهایی نزد DWP می‌ماند.</w:t>
      </w:r>
    </w:p>
    <w:p>
      <w:r>
        <w:rPr>
          <w:sz w:val="22"/>
        </w:rPr>
        <w:t>ب) چرخه بازبینی پله‌ای</w:t>
        <w:br/>
        <w:t>• بازبینی ۱: ۲ سال پس از Award</w:t>
        <w:br/>
        <w:t>• بازبینی ۲: در صورت ثبات، ۳ سال بعد</w:t>
        <w:br/>
        <w:t>• بازبینی ۳: در صورت ثبات، ۵ سال بعد</w:t>
        <w:br/>
        <w:t>• هرگونه تغییر معنادار پزشکی می‌تواند بازبینی را تسریع کند؛ اشتغال به‌تنهایی مداخله ایجاد نمی‌کند.</w:t>
      </w:r>
    </w:p>
    <w:p>
      <w:r>
        <w:rPr>
          <w:sz w:val="22"/>
        </w:rPr>
        <w:t>ج) صیانت داده و HMRC</w:t>
        <w:br/>
        <w:t>• اخذ رضایت شفاف هنگام Award برای بررسی داده‌های HMRC.</w:t>
        <w:br/>
        <w:t>• پایش ریسکی: الگوریتم‌های هدفمند، بدون ایجاد ترس عمومی.</w:t>
        <w:br/>
        <w:t>• فرایند منصفانه: اطلاع‌رسانی، فرصت توضیح، سپس تصمیم.</w:t>
      </w:r>
    </w:p>
    <w:p>
      <w:r>
        <w:rPr>
          <w:sz w:val="22"/>
        </w:rPr>
        <w:t>د) مرز فعال‌سازی طرح</w:t>
        <w:br/>
        <w:t>• طرح از لحظه صدور Award برای PIP یا LCWRA فعال می‌شود؛ UC عمومی خارج از دامنه است.</w:t>
      </w:r>
    </w:p>
    <w:p>
      <w:r>
        <w:rPr>
          <w:sz w:val="22"/>
        </w:rPr>
        <w:t>هـ) اسکچ اقتصادی ۶٪</w:t>
        <w:br/>
        <w:t>• ورودی‌ها: PT£14,560؛ آستانه £12,570؛ مالیات پایه ۲۰%؛ NIC کارمند ۸%؛ NIC کارفرما ۱۵%.</w:t>
        <w:br/>
        <w:t>• خروجی هر نفر: ~£557 (مالیات+NIC کارمند) | ~£1,991 (با NIC کارفرما).</w:t>
        <w:br/>
        <w:t>• دقت نهایی منوط به کسر همپوشانی PIP/LCWRA و تفاوت‌های منطقه‌ای بازار کار.</w:t>
      </w:r>
    </w:p>
    <w:p>
      <w:r>
        <w:rPr>
          <w:sz w:val="22"/>
        </w:rPr>
        <w:t>و) پیام ارتباطی برای شهروندان (نمونه)</w:t>
        <w:br/>
        <w:t>• «اگر بتوانی کار کنی، کارت را اعلام کن؛ حمایتت به‌خاطر کار قطع نمی‌شود.»</w:t>
        <w:br/>
        <w:t>• «وقتی نمی‌توانی کار کنی، حمایت باقی می‌مانَد. بازبینی‌ها فقط پزشکی است.»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Work Without Fear Reform — Technical/Operational Annex</w:t>
      </w:r>
    </w:p>
    <w:p>
      <w:pPr>
        <w:jc w:val="center"/>
      </w:pPr>
      <w:r>
        <w:rPr>
          <w:b/>
          <w:sz w:val="22"/>
        </w:rPr>
        <w:t>Submitted by: Amir Mohammad Ehtiatkar Soumehsaraei • 07 November 2025 • Email: Mohammad.ek700@gmail.com</w:t>
      </w:r>
    </w:p>
    <w:p>
      <w:r>
        <w:rPr>
          <w:sz w:val="22"/>
        </w:rPr>
        <w:t>A) GP Role &amp; Evidence Standard</w:t>
        <w:br/>
        <w:t>• Standard factual medical report covering diagnosis, fluctuation, functional limitations, current treatments, prognosis.</w:t>
        <w:br/>
        <w:t>• High evidential weight; possible fast-track; final decision remains with DWP.</w:t>
      </w:r>
    </w:p>
    <w:p>
      <w:r>
        <w:rPr>
          <w:sz w:val="22"/>
        </w:rPr>
        <w:t>B) Dynamic Review Cycle</w:t>
        <w:br/>
        <w:t>• Review 1: 2 years post-award</w:t>
        <w:br/>
        <w:t>• Review 2: +3 years if stable</w:t>
        <w:br/>
        <w:t>• Review 3: +5 years if stable</w:t>
        <w:br/>
        <w:t>• Clinically meaningful change may accelerate review; employment alone does not trigger intervention.</w:t>
      </w:r>
    </w:p>
    <w:p>
      <w:r>
        <w:rPr>
          <w:sz w:val="22"/>
        </w:rPr>
        <w:t>C) Data Safeguards &amp; HMRC</w:t>
        <w:br/>
        <w:t>• Explicit consent at award for HMRC data checks.</w:t>
        <w:br/>
        <w:t>• Risk-based monitoring algorithms; no blanket fear.</w:t>
        <w:br/>
        <w:t>• Due process: notice, explanation window, adjudication.</w:t>
      </w:r>
    </w:p>
    <w:p>
      <w:r>
        <w:rPr>
          <w:sz w:val="22"/>
        </w:rPr>
        <w:t>D) Activation Boundary</w:t>
        <w:br/>
        <w:t>• Activates at the moment of PIP or LCWRA award; general UC is out of scope.</w:t>
      </w:r>
    </w:p>
    <w:p>
      <w:r>
        <w:rPr>
          <w:sz w:val="22"/>
        </w:rPr>
        <w:t>E) 6% Economic Sketch</w:t>
        <w:br/>
        <w:t>• Inputs: PT£14,560; allowance £12,570; 20% basic tax; 8% employee NIC; 15% employer NIC.</w:t>
        <w:br/>
        <w:t>• Per worker: ~£557 (tax+employee NIC) | ~£1,991 incl. employer NIC.</w:t>
        <w:br/>
        <w:t>• Final precision requires netting out PIP/LCWRA overlap and regional labour differences.</w:t>
      </w:r>
    </w:p>
    <w:p>
      <w:r>
        <w:rPr>
          <w:sz w:val="22"/>
        </w:rPr>
        <w:t>F) Citizen Messaging (samples)</w:t>
        <w:br/>
        <w:t>• “Report work when you can; your support won’t be stopped for working.”</w:t>
        <w:br/>
        <w:t>• “When you can’t work, support remains. Reviews are medical-only.”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