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0000FF"/>
        </w:rPr>
        <w:t>Work Without Fear Reform — Technical/Operational Annex</w:t>
      </w:r>
    </w:p>
    <w:p>
      <w:pPr>
        <w:jc w:val="center"/>
      </w:pPr>
      <w:r>
        <w:rPr>
          <w:color w:val="0000FF"/>
        </w:rPr>
        <w:t>Submitted by: Amir Mohammad Ehtiatkar Soumehsaraei • 07 November 2025</w:t>
      </w:r>
    </w:p>
    <w:p>
      <w:pPr>
        <w:jc w:val="center"/>
      </w:pPr>
      <w:r>
        <w:rPr>
          <w:color w:val="0000FF"/>
        </w:rPr>
        <w:t>Email: Mohammad.ek700@gmail.com</w:t>
      </w:r>
    </w:p>
    <w:p/>
    <w:p>
      <w:pPr>
        <w:jc w:val="center"/>
      </w:pPr>
      <w:r>
        <w:rPr>
          <w:color w:val="3C3C3C"/>
        </w:rPr>
        <w:t>A) GP Role &amp; Evidence Standard</w:t>
      </w:r>
    </w:p>
    <w:p>
      <w:pPr>
        <w:jc w:val="center"/>
      </w:pPr>
      <w:r>
        <w:rPr>
          <w:color w:val="3C3C3C"/>
        </w:rPr>
        <w:t>• Standard factual medical report covering diagnosis, fluctuation, functional limitations, current treatments, prognosis.</w:t>
      </w:r>
    </w:p>
    <w:p>
      <w:pPr>
        <w:jc w:val="center"/>
      </w:pPr>
      <w:r>
        <w:rPr>
          <w:color w:val="3C3C3C"/>
        </w:rPr>
        <w:t>• High evidential weight; possible fast-track; final decision remains with DWP.</w:t>
      </w:r>
    </w:p>
    <w:p>
      <w:pPr>
        <w:jc w:val="center"/>
      </w:pPr>
    </w:p>
    <w:p>
      <w:pPr>
        <w:jc w:val="center"/>
      </w:pPr>
      <w:r>
        <w:rPr>
          <w:color w:val="3C3C3C"/>
        </w:rPr>
        <w:t>B) Dynamic Review Cycle</w:t>
      </w:r>
    </w:p>
    <w:p>
      <w:pPr>
        <w:jc w:val="center"/>
      </w:pPr>
      <w:r>
        <w:rPr>
          <w:color w:val="3C3C3C"/>
        </w:rPr>
        <w:t>• Review 1: 2 years post-award</w:t>
      </w:r>
    </w:p>
    <w:p>
      <w:pPr>
        <w:jc w:val="center"/>
      </w:pPr>
      <w:r>
        <w:rPr>
          <w:color w:val="3C3C3C"/>
        </w:rPr>
        <w:t>• Review 2: +3 years if stable</w:t>
      </w:r>
    </w:p>
    <w:p>
      <w:pPr>
        <w:jc w:val="center"/>
      </w:pPr>
      <w:r>
        <w:rPr>
          <w:color w:val="3C3C3C"/>
        </w:rPr>
        <w:t>• Review 3: +5 years if stable</w:t>
      </w:r>
    </w:p>
    <w:p>
      <w:pPr>
        <w:jc w:val="center"/>
      </w:pPr>
      <w:r>
        <w:rPr>
          <w:color w:val="3C3C3C"/>
        </w:rPr>
        <w:t>• Clinically meaningful change may accelerate review; employment alone does not trigger intervention.</w:t>
      </w:r>
    </w:p>
    <w:p>
      <w:pPr>
        <w:jc w:val="center"/>
      </w:pPr>
    </w:p>
    <w:p>
      <w:pPr>
        <w:jc w:val="center"/>
      </w:pPr>
      <w:r>
        <w:rPr>
          <w:color w:val="3C3C3C"/>
        </w:rPr>
        <w:t>C) Data Safeguards &amp; HMRC</w:t>
      </w:r>
    </w:p>
    <w:p>
      <w:pPr>
        <w:jc w:val="center"/>
      </w:pPr>
      <w:r>
        <w:rPr>
          <w:color w:val="3C3C3C"/>
        </w:rPr>
        <w:t>• Explicit consent at award for HMRC data checks.</w:t>
      </w:r>
    </w:p>
    <w:p>
      <w:pPr>
        <w:jc w:val="center"/>
      </w:pPr>
      <w:r>
        <w:rPr>
          <w:color w:val="3C3C3C"/>
        </w:rPr>
        <w:t>• Risk-based monitoring algorithms; no blanket fear.</w:t>
      </w:r>
    </w:p>
    <w:p>
      <w:pPr>
        <w:jc w:val="center"/>
      </w:pPr>
      <w:r>
        <w:rPr>
          <w:color w:val="3C3C3C"/>
        </w:rPr>
        <w:t>• Due process: notice, explanation window, adjudication.</w:t>
      </w:r>
    </w:p>
    <w:p>
      <w:pPr>
        <w:jc w:val="center"/>
      </w:pPr>
    </w:p>
    <w:p>
      <w:pPr>
        <w:jc w:val="center"/>
      </w:pPr>
      <w:r>
        <w:rPr>
          <w:color w:val="3C3C3C"/>
        </w:rPr>
        <w:t>D) Activation Boundary</w:t>
      </w:r>
    </w:p>
    <w:p>
      <w:pPr>
        <w:jc w:val="center"/>
      </w:pPr>
      <w:r>
        <w:rPr>
          <w:color w:val="3C3C3C"/>
        </w:rPr>
        <w:t>• Activates at the moment of PIP or LCWRA award; general UC is out of scope.</w:t>
      </w:r>
    </w:p>
    <w:p>
      <w:pPr>
        <w:jc w:val="center"/>
      </w:pPr>
    </w:p>
    <w:p>
      <w:pPr>
        <w:jc w:val="center"/>
      </w:pPr>
      <w:r>
        <w:rPr>
          <w:color w:val="3C3C3C"/>
        </w:rPr>
        <w:t>E) 6% Economic Sketch</w:t>
      </w:r>
    </w:p>
    <w:p>
      <w:pPr>
        <w:jc w:val="center"/>
      </w:pPr>
      <w:r>
        <w:rPr>
          <w:color w:val="3C3C3C"/>
        </w:rPr>
        <w:t>• Inputs: PT£14,560; allowance £12,570; 20% basic tax; 8% employee NIC; 15% employer NIC.</w:t>
      </w:r>
    </w:p>
    <w:p>
      <w:pPr>
        <w:jc w:val="center"/>
      </w:pPr>
      <w:r>
        <w:rPr>
          <w:color w:val="3C3C3C"/>
        </w:rPr>
        <w:t>• Per worker: ~£557 (tax+employee NIC) | ~£1,991 incl. employer NIC.</w:t>
      </w:r>
    </w:p>
    <w:p>
      <w:pPr>
        <w:jc w:val="center"/>
      </w:pPr>
      <w:r>
        <w:rPr>
          <w:color w:val="3C3C3C"/>
        </w:rPr>
        <w:t>• Final precision requires netting out PIP/LCWRA overlap and regional labour differences.</w:t>
      </w:r>
    </w:p>
    <w:p>
      <w:pPr>
        <w:jc w:val="center"/>
      </w:pPr>
    </w:p>
    <w:p>
      <w:pPr>
        <w:jc w:val="center"/>
      </w:pPr>
      <w:r>
        <w:rPr>
          <w:color w:val="3C3C3C"/>
        </w:rPr>
        <w:t>F) Citizen Messaging (samples)</w:t>
      </w:r>
    </w:p>
    <w:p>
      <w:pPr>
        <w:jc w:val="center"/>
      </w:pPr>
      <w:r>
        <w:rPr>
          <w:color w:val="3C3C3C"/>
        </w:rPr>
        <w:t>• “Report work when you can; your support won’t be stopped for working.”</w:t>
      </w:r>
    </w:p>
    <w:p>
      <w:pPr>
        <w:jc w:val="center"/>
      </w:pPr>
      <w:r>
        <w:rPr>
          <w:color w:val="3C3C3C"/>
        </w:rPr>
        <w:t>• “When you can’t work, support remains. Reviews are medical-only.”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