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FF"/>
        </w:rPr>
        <w:t>Work Without Fear Reform — Executive Summary (1 page)</w:t>
      </w:r>
    </w:p>
    <w:p>
      <w:pPr>
        <w:jc w:val="center"/>
      </w:pPr>
      <w:r>
        <w:rPr>
          <w:color w:val="0000FF"/>
        </w:rPr>
        <w:t>Submitted by: Amir Mohammad Ehtiatkar Soumehsaraei • 07 November 2025</w:t>
      </w:r>
    </w:p>
    <w:p>
      <w:pPr>
        <w:jc w:val="center"/>
      </w:pPr>
      <w:r>
        <w:rPr>
          <w:color w:val="0000FF"/>
        </w:rPr>
        <w:t>Email: Mohammad.ek700@gmail.com</w:t>
      </w:r>
    </w:p>
    <w:p/>
    <w:p>
      <w:pPr>
        <w:jc w:val="center"/>
      </w:pPr>
      <w:r>
        <w:rPr>
          <w:color w:val="3C3C3C"/>
        </w:rPr>
        <w:t>Problem the proposal fixes:</w:t>
      </w:r>
    </w:p>
    <w:p>
      <w:pPr>
        <w:jc w:val="center"/>
      </w:pPr>
      <w:r>
        <w:rPr>
          <w:color w:val="3C3C3C"/>
        </w:rPr>
        <w:t>People with fluctuating conditions avoid work due to fear of benefit cessation. Result: public spending with limited tax return.</w:t>
      </w:r>
    </w:p>
    <w:p>
      <w:pPr>
        <w:jc w:val="center"/>
      </w:pPr>
    </w:p>
    <w:p>
      <w:pPr>
        <w:jc w:val="center"/>
      </w:pPr>
      <w:r>
        <w:rPr>
          <w:color w:val="3C3C3C"/>
        </w:rPr>
        <w:t>Core policy:</w:t>
      </w:r>
    </w:p>
    <w:p>
      <w:pPr>
        <w:jc w:val="center"/>
      </w:pPr>
      <w:r>
        <w:rPr>
          <w:color w:val="3C3C3C"/>
        </w:rPr>
        <w:t>1) Employment must never be a ground to reduce/stop PIP/LCWRA; decisions remain purely medical-based.</w:t>
      </w:r>
    </w:p>
    <w:p>
      <w:pPr>
        <w:jc w:val="center"/>
      </w:pPr>
      <w:r>
        <w:rPr>
          <w:color w:val="3C3C3C"/>
        </w:rPr>
        <w:t>2) Reviews remain medical and scheduled with a dynamic cycle: 2→3→5 years (interval increases if stable).</w:t>
      </w:r>
    </w:p>
    <w:p>
      <w:pPr>
        <w:jc w:val="center"/>
      </w:pPr>
      <w:r>
        <w:rPr>
          <w:color w:val="3C3C3C"/>
        </w:rPr>
        <w:t>3) GP acts as a strong factual-evidence pillar; final adjudication stays with DWP.</w:t>
      </w:r>
    </w:p>
    <w:p>
      <w:pPr>
        <w:jc w:val="center"/>
      </w:pPr>
      <w:r>
        <w:rPr>
          <w:color w:val="3C3C3C"/>
        </w:rPr>
        <w:t>4) At award, obtain explicit consent for HMRC data checks to enable risk-based oversight (no automatic sanctions; right to explain/appeal).</w:t>
      </w:r>
    </w:p>
    <w:p>
      <w:pPr>
        <w:jc w:val="center"/>
      </w:pPr>
      <w:r>
        <w:rPr>
          <w:color w:val="3C3C3C"/>
        </w:rPr>
        <w:t>5) Scope: activates only once a PIP or LCWRA award is made; general UC is out of scope.</w:t>
      </w:r>
    </w:p>
    <w:p>
      <w:pPr>
        <w:jc w:val="center"/>
      </w:pPr>
    </w:p>
    <w:p>
      <w:pPr>
        <w:jc w:val="center"/>
      </w:pPr>
      <w:r>
        <w:rPr>
          <w:color w:val="3C3C3C"/>
        </w:rPr>
        <w:t>Expected outcomes:</w:t>
      </w:r>
    </w:p>
    <w:p>
      <w:pPr>
        <w:jc w:val="center"/>
      </w:pPr>
      <w:r>
        <w:rPr>
          <w:color w:val="3C3C3C"/>
        </w:rPr>
        <w:t>• Higher lawful employment and tax receipts</w:t>
      </w:r>
    </w:p>
    <w:p>
      <w:pPr>
        <w:jc w:val="center"/>
      </w:pPr>
      <w:r>
        <w:rPr>
          <w:color w:val="3C3C3C"/>
        </w:rPr>
        <w:t>• Less undeclared work</w:t>
      </w:r>
    </w:p>
    <w:p>
      <w:pPr>
        <w:jc w:val="center"/>
      </w:pPr>
      <w:r>
        <w:rPr>
          <w:color w:val="3C3C3C"/>
        </w:rPr>
        <w:t>• Lower claimant anxiety</w:t>
      </w:r>
    </w:p>
    <w:p>
      <w:pPr>
        <w:jc w:val="center"/>
      </w:pPr>
      <w:r>
        <w:rPr>
          <w:color w:val="3C3C3C"/>
        </w:rPr>
        <w:t>• Better alignment of support and contribution</w:t>
      </w:r>
    </w:p>
    <w:p>
      <w:pPr>
        <w:jc w:val="center"/>
      </w:pPr>
    </w:p>
    <w:p>
      <w:pPr>
        <w:jc w:val="center"/>
      </w:pPr>
      <w:r>
        <w:rPr>
          <w:color w:val="3C3C3C"/>
        </w:rPr>
        <w:t>Economic sketch (conservative):</w:t>
      </w:r>
    </w:p>
    <w:p>
      <w:pPr>
        <w:jc w:val="center"/>
      </w:pPr>
      <w:r>
        <w:rPr>
          <w:color w:val="3C3C3C"/>
        </w:rPr>
        <w:t>If only 6% of the target cohort move into work, additional annual revenue could reach tens to hundreds of millions of pounds (income tax + NIC, notably employer NIC).</w:t>
      </w:r>
    </w:p>
    <w:p>
      <w:pPr>
        <w:jc w:val="center"/>
      </w:pPr>
    </w:p>
    <w:p>
      <w:pPr>
        <w:jc w:val="center"/>
      </w:pPr>
      <w:r>
        <w:rPr>
          <w:color w:val="3C3C3C"/>
        </w:rPr>
        <w:t>Activation &amp; safeguards:</w:t>
      </w:r>
    </w:p>
    <w:p>
      <w:pPr>
        <w:jc w:val="center"/>
      </w:pPr>
      <w:r>
        <w:rPr>
          <w:color w:val="3C3C3C"/>
        </w:rPr>
        <w:t>Activation at PIP/LCWRA award. Potential abuse handled via data-led, fair process (notification, chance to explain, adjudication).</w:t>
      </w:r>
    </w:p>
    <w:p>
      <w:pPr>
        <w:jc w:val="center"/>
      </w:pPr>
    </w:p>
    <w:p>
      <w:pPr>
        <w:jc w:val="center"/>
      </w:pPr>
      <w:r>
        <w:rPr>
          <w:color w:val="3C3C3C"/>
        </w:rPr>
        <w:t>Human message:</w:t>
      </w:r>
    </w:p>
    <w:p>
      <w:pPr>
        <w:jc w:val="center"/>
      </w:pPr>
      <w:r>
        <w:rPr>
          <w:color w:val="3C3C3C"/>
        </w:rPr>
        <w:t>“Work when able and pay tax; when not able, support remains.”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