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FF"/>
        </w:rPr>
        <w:t>Work Without Fear Reform — Policy Proposal (≈4 pages)</w:t>
      </w:r>
    </w:p>
    <w:p>
      <w:pPr>
        <w:jc w:val="center"/>
      </w:pPr>
      <w:r>
        <w:rPr>
          <w:color w:val="0000FF"/>
        </w:rPr>
        <w:t>Submitted by: Amir Mohammad Ehtiatkar Soumehsaraei • 07 November 2025</w:t>
      </w:r>
    </w:p>
    <w:p>
      <w:pPr>
        <w:jc w:val="center"/>
      </w:pPr>
      <w:r>
        <w:rPr>
          <w:color w:val="0000FF"/>
        </w:rPr>
        <w:t>Email: Mohammad.ek700@gmail.com</w:t>
      </w:r>
    </w:p>
    <w:p/>
    <w:p>
      <w:pPr>
        <w:jc w:val="center"/>
      </w:pPr>
      <w:r>
        <w:rPr>
          <w:color w:val="3C3C3C"/>
        </w:rPr>
        <w:t>1) Context &amp; Problem</w:t>
      </w:r>
    </w:p>
    <w:p>
      <w:pPr>
        <w:jc w:val="center"/>
      </w:pPr>
      <w:r>
        <w:rPr>
          <w:color w:val="3C3C3C"/>
        </w:rPr>
        <w:t>Fear of losing benefits prevents many PIP/LCWRA awardees with fluctuating conditions from taking lawful work or reporting it. This harms individuals (lost independence) and the state (no tax return).</w:t>
      </w:r>
    </w:p>
    <w:p>
      <w:pPr>
        <w:jc w:val="center"/>
      </w:pPr>
    </w:p>
    <w:p>
      <w:pPr>
        <w:jc w:val="center"/>
      </w:pPr>
      <w:r>
        <w:rPr>
          <w:color w:val="3C3C3C"/>
        </w:rPr>
        <w:t>2) Objective</w:t>
      </w:r>
    </w:p>
    <w:p>
      <w:pPr>
        <w:jc w:val="center"/>
      </w:pPr>
      <w:r>
        <w:rPr>
          <w:color w:val="3C3C3C"/>
        </w:rPr>
        <w:t>Create a framework where employment never triggers reduction/cessation of PIP/LCWRA; reviews remain purely medical and scheduled; safeguards protect public funds via consented, risk-based HMRC data checks.</w:t>
      </w:r>
    </w:p>
    <w:p>
      <w:pPr>
        <w:jc w:val="center"/>
      </w:pPr>
    </w:p>
    <w:p>
      <w:pPr>
        <w:jc w:val="center"/>
      </w:pPr>
      <w:r>
        <w:rPr>
          <w:color w:val="3C3C3C"/>
        </w:rPr>
        <w:t>3) Core Principles</w:t>
      </w:r>
    </w:p>
    <w:p>
      <w:pPr>
        <w:jc w:val="center"/>
      </w:pPr>
      <w:r>
        <w:rPr>
          <w:color w:val="3C3C3C"/>
        </w:rPr>
        <w:t>• Employment ≠ benefit loss; medical evidence rules.</w:t>
      </w:r>
    </w:p>
    <w:p>
      <w:pPr>
        <w:jc w:val="center"/>
      </w:pPr>
      <w:r>
        <w:rPr>
          <w:color w:val="3C3C3C"/>
        </w:rPr>
        <w:t>• Dynamic review cycle: 2→3→5 years (longer intervals if stable).</w:t>
      </w:r>
    </w:p>
    <w:p>
      <w:pPr>
        <w:jc w:val="center"/>
      </w:pPr>
      <w:r>
        <w:rPr>
          <w:color w:val="3C3C3C"/>
        </w:rPr>
        <w:t>• GP/treating clinician as strong factual evidence; final decision with DWP.</w:t>
      </w:r>
    </w:p>
    <w:p>
      <w:pPr>
        <w:jc w:val="center"/>
      </w:pPr>
      <w:r>
        <w:rPr>
          <w:color w:val="3C3C3C"/>
        </w:rPr>
        <w:t>• Explicit consent for HMRC data checks at award.</w:t>
      </w:r>
    </w:p>
    <w:p>
      <w:pPr>
        <w:jc w:val="center"/>
      </w:pPr>
      <w:r>
        <w:rPr>
          <w:color w:val="3C3C3C"/>
        </w:rPr>
        <w:t>• Scope: activates only upon a PIP/LCWRA award; general UC out of scope.</w:t>
      </w:r>
    </w:p>
    <w:p>
      <w:pPr>
        <w:jc w:val="center"/>
      </w:pPr>
    </w:p>
    <w:p>
      <w:pPr>
        <w:jc w:val="center"/>
      </w:pPr>
      <w:r>
        <w:rPr>
          <w:color w:val="3C3C3C"/>
        </w:rPr>
        <w:t>4) Mechanics (Flow)</w:t>
      </w:r>
    </w:p>
    <w:p>
      <w:pPr>
        <w:jc w:val="center"/>
      </w:pPr>
      <w:r>
        <w:rPr>
          <w:color w:val="3C3C3C"/>
        </w:rPr>
        <w:t>Award → activation of employment-safe support → fear-free work disclosure → tax &amp; NIC collection → scheduled medical review → continuation/adjustment based on medical evidence.</w:t>
      </w:r>
    </w:p>
    <w:p>
      <w:pPr>
        <w:jc w:val="center"/>
      </w:pPr>
    </w:p>
    <w:p>
      <w:pPr>
        <w:jc w:val="center"/>
      </w:pPr>
      <w:r>
        <w:rPr>
          <w:color w:val="3C3C3C"/>
        </w:rPr>
        <w:t>5) GP Role &amp; Evidence Standard</w:t>
      </w:r>
    </w:p>
    <w:p>
      <w:pPr>
        <w:jc w:val="center"/>
      </w:pPr>
      <w:r>
        <w:rPr>
          <w:color w:val="3C3C3C"/>
        </w:rPr>
        <w:t>• Standard factual medical report focusing on functional limitation &amp; fluctuation.</w:t>
      </w:r>
    </w:p>
    <w:p>
      <w:pPr>
        <w:jc w:val="center"/>
      </w:pPr>
      <w:r>
        <w:rPr>
          <w:color w:val="3C3C3C"/>
        </w:rPr>
        <w:t>• Fast-track route when evidence is sufficient.</w:t>
      </w:r>
    </w:p>
    <w:p>
      <w:pPr>
        <w:jc w:val="center"/>
      </w:pPr>
      <w:r>
        <w:rPr>
          <w:color w:val="3C3C3C"/>
        </w:rPr>
        <w:t>• Final adjudication remains with DWP; no undue burden on GPs.</w:t>
      </w:r>
    </w:p>
    <w:p>
      <w:pPr>
        <w:jc w:val="center"/>
      </w:pPr>
    </w:p>
    <w:p>
      <w:pPr>
        <w:jc w:val="center"/>
      </w:pPr>
      <w:r>
        <w:rPr>
          <w:color w:val="3C3C3C"/>
        </w:rPr>
        <w:t>6) Safeguards (No Fear, No Abuse)</w:t>
      </w:r>
    </w:p>
    <w:p>
      <w:pPr>
        <w:jc w:val="center"/>
      </w:pPr>
      <w:r>
        <w:rPr>
          <w:color w:val="3C3C3C"/>
        </w:rPr>
        <w:t>• Consent-based HMRC data access at award.</w:t>
      </w:r>
    </w:p>
    <w:p>
      <w:pPr>
        <w:jc w:val="center"/>
      </w:pPr>
      <w:r>
        <w:rPr>
          <w:color w:val="3C3C3C"/>
        </w:rPr>
        <w:t>• Risk-based monitoring; where evidence suggests abuse: notify, allow explanation, then adjudicate.</w:t>
      </w:r>
    </w:p>
    <w:p>
      <w:pPr>
        <w:jc w:val="center"/>
      </w:pPr>
      <w:r>
        <w:rPr>
          <w:color w:val="3C3C3C"/>
        </w:rPr>
        <w:t>• No automatic sanctions for taking work.</w:t>
      </w:r>
    </w:p>
    <w:p>
      <w:pPr>
        <w:jc w:val="center"/>
      </w:pPr>
    </w:p>
    <w:p>
      <w:pPr>
        <w:jc w:val="center"/>
      </w:pPr>
      <w:r>
        <w:rPr>
          <w:color w:val="3C3C3C"/>
        </w:rPr>
        <w:t>7) Economics (Sketch)</w:t>
      </w:r>
    </w:p>
    <w:p>
      <w:pPr>
        <w:jc w:val="center"/>
      </w:pPr>
      <w:r>
        <w:rPr>
          <w:color w:val="3C3C3C"/>
        </w:rPr>
        <w:t>Assume only 6% of the target cohort moves into work; median PT earnings ~£14,560; personal allowance £12,570; basic income tax 20% on ~£1,990; employee NIC ~8%; employer NIC ~15%.</w:t>
      </w:r>
    </w:p>
    <w:p>
      <w:pPr>
        <w:jc w:val="center"/>
      </w:pPr>
      <w:r>
        <w:rPr>
          <w:color w:val="3C3C3C"/>
        </w:rPr>
        <w:t>Per worker: ~£398 tax + ~£159 employee NIC + ~£1,434 employer NIC.</w:t>
      </w:r>
    </w:p>
    <w:p>
      <w:pPr>
        <w:jc w:val="center"/>
      </w:pPr>
      <w:r>
        <w:rPr>
          <w:color w:val="3C3C3C"/>
        </w:rPr>
        <w:t>LCWRA scenario (1.9m × 6% = 114k): ~£63.5m (tax+employee NIC) or ~£227m incl. employer NIC.</w:t>
      </w:r>
    </w:p>
    <w:p>
      <w:pPr>
        <w:jc w:val="center"/>
      </w:pPr>
      <w:r>
        <w:rPr>
          <w:color w:val="3C3C3C"/>
        </w:rPr>
        <w:t>PIP scenario (3.8m × 6% = 228k): ~£127m or ~£454m incl. employer NIC.</w:t>
      </w:r>
    </w:p>
    <w:p>
      <w:pPr>
        <w:jc w:val="center"/>
      </w:pPr>
      <w:r>
        <w:rPr>
          <w:color w:val="3C3C3C"/>
        </w:rPr>
        <w:t>(Overlap between PIP/LCWRA must be netted out in full analysis.)</w:t>
      </w:r>
    </w:p>
    <w:p>
      <w:pPr>
        <w:jc w:val="center"/>
      </w:pPr>
    </w:p>
    <w:p>
      <w:pPr>
        <w:jc w:val="center"/>
      </w:pPr>
      <w:r>
        <w:rPr>
          <w:color w:val="3C3C3C"/>
        </w:rPr>
        <w:t>8) Stakeholder Benefits</w:t>
      </w:r>
    </w:p>
    <w:p>
      <w:pPr>
        <w:jc w:val="center"/>
      </w:pPr>
      <w:r>
        <w:rPr>
          <w:color w:val="3C3C3C"/>
        </w:rPr>
        <w:t>• Individuals: reduced anxiety, greater independence, safe path back to work.</w:t>
      </w:r>
    </w:p>
    <w:p>
      <w:pPr>
        <w:jc w:val="center"/>
      </w:pPr>
      <w:r>
        <w:rPr>
          <w:color w:val="3C3C3C"/>
        </w:rPr>
        <w:t>• Government: broader tax base, less undeclared work, better targeting of assessments.</w:t>
      </w:r>
    </w:p>
    <w:p>
      <w:pPr>
        <w:jc w:val="center"/>
      </w:pPr>
      <w:r>
        <w:rPr>
          <w:color w:val="3C3C3C"/>
        </w:rPr>
        <w:t>• NHS/GPs: standardised evidence role without adjudication pressure.</w:t>
      </w:r>
    </w:p>
    <w:p>
      <w:pPr>
        <w:jc w:val="center"/>
      </w:pPr>
    </w:p>
    <w:p>
      <w:pPr>
        <w:jc w:val="center"/>
      </w:pPr>
      <w:r>
        <w:rPr>
          <w:color w:val="3C3C3C"/>
        </w:rPr>
        <w:t>9) Risks &amp; Mitigations</w:t>
      </w:r>
    </w:p>
    <w:p>
      <w:pPr>
        <w:jc w:val="center"/>
      </w:pPr>
      <w:r>
        <w:rPr>
          <w:color w:val="3C3C3C"/>
        </w:rPr>
        <w:t>• Perpetual dependency → staged 2→3→5-year reviews.</w:t>
      </w:r>
    </w:p>
    <w:p>
      <w:pPr>
        <w:jc w:val="center"/>
      </w:pPr>
      <w:r>
        <w:rPr>
          <w:color w:val="3C3C3C"/>
        </w:rPr>
        <w:t>• GP burden → factual forms; DWP retains decisions.</w:t>
      </w:r>
    </w:p>
    <w:p>
      <w:pPr>
        <w:jc w:val="center"/>
      </w:pPr>
      <w:r>
        <w:rPr>
          <w:color w:val="3C3C3C"/>
        </w:rPr>
        <w:t>• Income hiding → consent + data checks; fair process.</w:t>
      </w:r>
    </w:p>
    <w:p>
      <w:pPr>
        <w:jc w:val="center"/>
      </w:pPr>
      <w:r>
        <w:rPr>
          <w:color w:val="3C3C3C"/>
        </w:rPr>
        <w:t>• Fairness → limited to PIP/LCWRA (health-based), not general UC.</w:t>
      </w:r>
    </w:p>
    <w:p>
      <w:pPr>
        <w:jc w:val="center"/>
      </w:pPr>
    </w:p>
    <w:p>
      <w:pPr>
        <w:jc w:val="center"/>
      </w:pPr>
      <w:r>
        <w:rPr>
          <w:color w:val="3C3C3C"/>
        </w:rPr>
        <w:t>10) Evaluation &amp; Pilot</w:t>
      </w:r>
    </w:p>
    <w:p>
      <w:pPr>
        <w:jc w:val="center"/>
      </w:pPr>
      <w:r>
        <w:rPr>
          <w:color w:val="3C3C3C"/>
        </w:rPr>
        <w:t>• 12-month dual-site pilot with defined cohort.</w:t>
      </w:r>
    </w:p>
    <w:p>
      <w:pPr>
        <w:jc w:val="center"/>
      </w:pPr>
      <w:r>
        <w:rPr>
          <w:color w:val="3C3C3C"/>
        </w:rPr>
        <w:t>• KPIs: work disclosure rate, tax/NIC receipts, claimant satisfaction, overpayment shifts.</w:t>
      </w:r>
    </w:p>
    <w:p>
      <w:pPr>
        <w:jc w:val="center"/>
      </w:pPr>
      <w:r>
        <w:rPr>
          <w:color w:val="3C3C3C"/>
        </w:rPr>
        <w:t>• Reporting: month 6 &amp; month 12.</w:t>
      </w:r>
    </w:p>
    <w:p>
      <w:pPr>
        <w:jc w:val="center"/>
      </w:pPr>
    </w:p>
    <w:p>
      <w:pPr>
        <w:jc w:val="center"/>
      </w:pPr>
      <w:r>
        <w:rPr>
          <w:color w:val="3C3C3C"/>
        </w:rPr>
        <w:t>11) Human Message</w:t>
      </w:r>
    </w:p>
    <w:p>
      <w:pPr>
        <w:jc w:val="center"/>
      </w:pPr>
      <w:r>
        <w:rPr>
          <w:color w:val="3C3C3C"/>
        </w:rPr>
        <w:t>“Work when able; when not able, support remains.”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