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numbering.xml" ContentType="application/vnd.openxmlformats-officedocument.wordprocessingml.numbering+xml"/>
  <Override PartName="/word/footer14.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OnvanPageoneonlytitr"/>
        <w:ind w:end="0"/>
        <w:jc w:val="center"/>
        <w:rPr/>
      </w:pPr>
      <w:r>
        <w:rPr>
          <w:rtl w:val="true"/>
        </w:rPr>
        <w:t xml:space="preserve">استاندارد حسابداري شماره </w:t>
      </w:r>
      <w:r>
        <w:rPr/>
        <w:t>31</w:t>
      </w:r>
    </w:p>
    <w:p>
      <w:pPr>
        <w:pStyle w:val="OnvanPageoneonlytitr"/>
        <w:ind w:end="0"/>
        <w:jc w:val="center"/>
        <w:rPr/>
      </w:pPr>
      <w:r>
        <w:rPr>
          <w:rtl w:val="true"/>
        </w:rPr>
        <w:t>داراييهاي غيرجاري نگهداري شده براي فروش و عمليات متوقف شده</w:t>
      </w:r>
    </w:p>
    <w:p>
      <w:pPr>
        <w:pStyle w:val="Titre12"/>
        <w:ind w:start="1304" w:end="1304"/>
        <w:jc w:val="center"/>
        <w:rPr>
          <w:rFonts w:cs="B Lotus"/>
          <w:sz w:val="28"/>
          <w:szCs w:val="28"/>
        </w:rPr>
      </w:pPr>
      <w:r>
        <w:rPr>
          <w:rFonts w:cs="B Lotus" w:hint="cs"/>
          <w:sz w:val="28"/>
          <w:szCs w:val="28"/>
          <w:rtl w:val="true"/>
        </w:rPr>
        <w:t>(</w:t>
      </w:r>
      <w:r>
        <w:rPr>
          <w:rFonts w:hint="cs" w:cs="B Lotus"/>
          <w:sz w:val="28"/>
          <w:szCs w:val="28"/>
          <w:rtl w:val="true"/>
        </w:rPr>
        <w:t xml:space="preserve">لازم‌الاجرا براي کليه صورتهاي مالي که دوره مالي آنها از تاريخ اول فروردين </w:t>
      </w:r>
      <w:r>
        <w:rPr>
          <w:rFonts w:cs="B Lotus" w:hint="cs"/>
          <w:sz w:val="28"/>
          <w:szCs w:val="28"/>
        </w:rPr>
        <w:t>1389</w:t>
      </w:r>
      <w:r>
        <w:rPr>
          <w:rFonts w:cs="B Lotus" w:hint="cs"/>
          <w:sz w:val="28"/>
          <w:szCs w:val="28"/>
          <w:rtl w:val="true"/>
        </w:rPr>
        <w:t xml:space="preserve"> </w:t>
      </w:r>
      <w:r>
        <w:rPr>
          <w:rFonts w:hint="cs" w:cs="B Lotus"/>
          <w:sz w:val="28"/>
          <w:szCs w:val="28"/>
          <w:rtl w:val="true"/>
        </w:rPr>
        <w:t>يا بعد از آن شروع مي‌شود</w:t>
      </w:r>
      <w:r>
        <w:rPr>
          <w:rFonts w:cs="B Lotus" w:hint="cs"/>
          <w:sz w:val="28"/>
          <w:szCs w:val="28"/>
          <w:rtl w:val="true"/>
        </w:rPr>
        <w:t>)</w:t>
      </w:r>
    </w:p>
    <w:p>
      <w:pPr>
        <w:pStyle w:val="OnvanPageoneonlytitr"/>
        <w:ind w:end="0"/>
        <w:jc w:val="center"/>
        <w:rPr/>
      </w:pPr>
      <w:r>
        <w:rPr>
          <w:rFonts w:cs="B Lotus"/>
          <w:sz w:val="28"/>
          <w:szCs w:val="28"/>
          <w:rtl w:val="true"/>
        </w:rPr>
      </w:r>
    </w:p>
    <w:p>
      <w:pPr>
        <w:pStyle w:val="Normal"/>
        <w:ind w:end="0"/>
        <w:jc w:val="start"/>
        <w:rPr/>
      </w:pPr>
      <w:r>
        <w:rPr>
          <w:rtl w:val="true"/>
        </w:rPr>
      </w:r>
    </w:p>
    <w:p>
      <w:pPr>
        <w:pStyle w:val="Normal"/>
        <w:ind w:end="0"/>
        <w:jc w:val="start"/>
        <w:rPr/>
      </w:pPr>
      <w:r>
        <w:rPr>
          <w:rtl w:val="true"/>
        </w:rPr>
      </w:r>
    </w:p>
    <w:p>
      <w:pPr>
        <w:pStyle w:val="Normal"/>
        <w:ind w:end="0"/>
        <w:jc w:val="start"/>
        <w:rPr/>
      </w:pPr>
      <w:r>
        <w:rPr>
          <w:rtl w:val="true"/>
        </w:rPr>
      </w:r>
    </w:p>
    <w:p>
      <w:pPr>
        <w:pStyle w:val="Normal"/>
        <w:ind w:end="0"/>
        <w:jc w:val="start"/>
        <w:rPr/>
      </w:pPr>
      <w:r>
        <w:rPr>
          <w:rtl w:val="true"/>
        </w:rPr>
      </w:r>
    </w:p>
    <w:p>
      <w:pPr>
        <w:pStyle w:val="Normal"/>
        <w:ind w:end="0"/>
        <w:jc w:val="center"/>
        <w:rPr/>
        <w:sectPr>
          <w:footerReference w:type="default" r:id="rId3"/>
          <w:type w:val="nextPage"/>
          <w:pgSz w:w="11906" w:h="16838"/>
          <w:pgMar w:left="1701" w:right="1701" w:gutter="0" w:header="0" w:top="5670" w:footer="1134" w:bottom="1701"/>
          <w:pgNumType w:start="1" w:fmt="decimal"/>
          <w:formProt w:val="false"/>
          <w:textDirection w:val="lrTb"/>
          <w:bidi/>
          <w:rtlGutter/>
          <w:docGrid w:type="default" w:linePitch="360" w:charSpace="0"/>
        </w:sectPr>
      </w:pPr>
      <w:hyperlink r:id="rId2">
        <w:r>
          <w:rPr>
            <w:rStyle w:val="Hyperlink"/>
            <w:rFonts w:eastAsia="Adobe Gothic Std B" w:cs="B Nazanin" w:hint="eastAsia" w:ascii="Adobe Gothic Std B" w:hAnsi="Adobe Gothic Std B"/>
            <w:sz w:val="72"/>
            <w:szCs w:val="96"/>
          </w:rPr>
          <w:t>www.irhesabdaran.ir</w:t>
        </w:r>
      </w:hyperlink>
    </w:p>
    <w:p>
      <w:pPr>
        <w:pStyle w:val="Header"/>
        <w:spacing w:before="0" w:after="60"/>
        <w:ind w:end="0"/>
        <w:jc w:val="center"/>
        <w:rPr>
          <w:rFonts w:cs="B Titr" w:hint="cs"/>
          <w:b/>
          <w:sz w:val="28"/>
        </w:rPr>
      </w:pPr>
      <w:r>
        <w:rPr>
          <w:rFonts w:hint="cs" w:cs="B Titr"/>
          <w:b/>
          <w:b/>
          <w:sz w:val="28"/>
          <w:rtl w:val="true"/>
        </w:rPr>
        <w:t>استاندارد حسابداري</w:t>
      </w:r>
      <w:r>
        <w:rPr>
          <w:rFonts w:hint="eastAsia" w:cs="B Titr"/>
          <w:b/>
          <w:b/>
          <w:sz w:val="28"/>
          <w:rtl w:val="true"/>
        </w:rPr>
        <w:t xml:space="preserve"> شماره </w:t>
      </w:r>
      <w:r>
        <w:rPr>
          <w:rFonts w:cs="B Titr" w:hint="cs"/>
          <w:b/>
          <w:sz w:val="28"/>
        </w:rPr>
        <w:t>31</w:t>
      </w:r>
    </w:p>
    <w:p>
      <w:pPr>
        <w:pStyle w:val="Header"/>
        <w:spacing w:before="0" w:after="60"/>
        <w:ind w:end="0"/>
        <w:jc w:val="center"/>
        <w:rPr>
          <w:rFonts w:cs="B Titr" w:hint="cs"/>
          <w:sz w:val="28"/>
        </w:rPr>
      </w:pPr>
      <w:r>
        <w:rPr>
          <w:rFonts w:hint="eastAsia" w:cs="B Titr"/>
          <w:b/>
          <w:b/>
          <w:sz w:val="28"/>
          <w:rtl w:val="true"/>
        </w:rPr>
        <w:t>داراييهاي غيرجاري نگهداري</w:t>
      </w:r>
      <w:r>
        <w:rPr>
          <w:rFonts w:hint="eastAsia" w:cs="B Titr"/>
          <w:sz w:val="28"/>
          <w:rtl w:val="true"/>
        </w:rPr>
        <w:t xml:space="preserve"> شده براي فروش و عمليات متوقف شده</w:t>
      </w:r>
    </w:p>
    <w:p>
      <w:pPr>
        <w:pStyle w:val="FehrestTitr"/>
        <w:pBdr>
          <w:bottom w:val="nil"/>
        </w:pBdr>
        <w:ind w:start="-113" w:end="-113"/>
        <w:jc w:val="center"/>
        <w:rPr>
          <w:rFonts w:hint="cs"/>
          <w:u w:val="single"/>
        </w:rPr>
      </w:pPr>
      <w:r>
        <w:rPr>
          <w:u w:val="single"/>
          <w:rtl w:val="true"/>
        </w:rPr>
        <w:t>فهرست مندرجات</w:t>
      </w:r>
    </w:p>
    <w:p>
      <w:pPr>
        <w:pStyle w:val="FehrestTitr"/>
        <w:pBdr>
          <w:bottom w:val="nil"/>
        </w:pBdr>
        <w:ind w:start="-113" w:end="-113"/>
        <w:jc w:val="center"/>
        <w:rPr>
          <w:rFonts w:hint="cs"/>
          <w:u w:val="single"/>
        </w:rPr>
      </w:pPr>
      <w:r>
        <w:rPr>
          <w:rFonts w:hint="cs"/>
          <w:u w:val="single"/>
          <w:rtl w:val="true"/>
        </w:rPr>
      </w:r>
    </w:p>
    <w:tbl>
      <w:tblPr>
        <w:bidiVisual w:val="true"/>
        <w:tblW w:w="8849" w:type="dxa"/>
        <w:jc w:val="center"/>
        <w:tblInd w:w="0" w:type="dxa"/>
        <w:tblLayout w:type="fixed"/>
        <w:tblCellMar>
          <w:top w:w="0" w:type="dxa"/>
          <w:start w:w="108" w:type="dxa"/>
          <w:bottom w:w="0" w:type="dxa"/>
          <w:end w:w="108" w:type="dxa"/>
        </w:tblCellMar>
      </w:tblPr>
      <w:tblGrid>
        <w:gridCol w:w="7837"/>
        <w:gridCol w:w="1012"/>
      </w:tblGrid>
      <w:tr>
        <w:trPr/>
        <w:tc>
          <w:tcPr>
            <w:tcW w:w="7837" w:type="dxa"/>
            <w:tcBorders/>
          </w:tcPr>
          <w:p>
            <w:pPr>
              <w:pStyle w:val="Normal"/>
              <w:snapToGrid w:val="false"/>
              <w:ind w:end="0"/>
              <w:jc w:val="start"/>
              <w:rPr>
                <w:rFonts w:cs="B Lotus"/>
              </w:rPr>
            </w:pPr>
            <w:r>
              <w:rPr>
                <w:rFonts w:cs="B Lotus"/>
                <w:rtl w:val="true"/>
              </w:rPr>
            </w:r>
          </w:p>
        </w:tc>
        <w:tc>
          <w:tcPr>
            <w:tcW w:w="1012" w:type="dxa"/>
            <w:tcBorders/>
          </w:tcPr>
          <w:p>
            <w:pPr>
              <w:pStyle w:val="FehrestBand"/>
              <w:ind w:end="0"/>
              <w:jc w:val="center"/>
              <w:rPr/>
            </w:pPr>
            <w:r>
              <w:rPr>
                <w:sz w:val="18"/>
                <w:szCs w:val="22"/>
                <w:rtl w:val="true"/>
              </w:rPr>
              <w:t>شماره بند</w:t>
            </w:r>
          </w:p>
        </w:tc>
      </w:tr>
      <w:tr>
        <w:trPr/>
        <w:tc>
          <w:tcPr>
            <w:tcW w:w="7837" w:type="dxa"/>
            <w:tcBorders/>
          </w:tcPr>
          <w:p>
            <w:pPr>
              <w:pStyle w:val="FehrestBullet"/>
              <w:numPr>
                <w:ilvl w:val="0"/>
                <w:numId w:val="15"/>
              </w:numPr>
              <w:tabs>
                <w:tab w:val="clear" w:pos="720"/>
              </w:tabs>
              <w:ind w:hanging="284" w:start="284" w:end="0"/>
              <w:jc w:val="both"/>
              <w:rPr>
                <w:rFonts w:cs="B Lotus"/>
              </w:rPr>
            </w:pPr>
            <w:r>
              <w:rPr>
                <w:rFonts w:cs="B Lotus"/>
                <w:rtl w:val="true"/>
              </w:rPr>
              <w:t>هدف</w:t>
            </w:r>
          </w:p>
        </w:tc>
        <w:tc>
          <w:tcPr>
            <w:tcW w:w="1012" w:type="dxa"/>
            <w:tcBorders/>
          </w:tcPr>
          <w:p>
            <w:pPr>
              <w:pStyle w:val="FehrestNumber"/>
              <w:ind w:end="0"/>
              <w:jc w:val="center"/>
              <w:rPr/>
            </w:pPr>
            <w:r>
              <w:rPr/>
              <w:t>1</w:t>
            </w:r>
          </w:p>
        </w:tc>
      </w:tr>
      <w:tr>
        <w:trPr/>
        <w:tc>
          <w:tcPr>
            <w:tcW w:w="7837" w:type="dxa"/>
            <w:tcBorders/>
          </w:tcPr>
          <w:p>
            <w:pPr>
              <w:pStyle w:val="FehrestBullet"/>
              <w:numPr>
                <w:ilvl w:val="0"/>
                <w:numId w:val="15"/>
              </w:numPr>
              <w:tabs>
                <w:tab w:val="clear" w:pos="720"/>
              </w:tabs>
              <w:ind w:hanging="284" w:start="284" w:end="0"/>
              <w:jc w:val="both"/>
              <w:rPr>
                <w:rFonts w:cs="B Lotus"/>
              </w:rPr>
            </w:pPr>
            <w:r>
              <w:rPr>
                <w:rFonts w:cs="B Lotus"/>
                <w:rtl w:val="true"/>
              </w:rPr>
              <w:t>دامنه کاربرد</w:t>
            </w:r>
          </w:p>
        </w:tc>
        <w:tc>
          <w:tcPr>
            <w:tcW w:w="1012" w:type="dxa"/>
            <w:tcBorders/>
          </w:tcPr>
          <w:p>
            <w:pPr>
              <w:pStyle w:val="FehrestNumber"/>
              <w:ind w:end="0"/>
              <w:jc w:val="center"/>
              <w:rPr/>
            </w:pPr>
            <w:r>
              <w:rPr/>
              <w:t>5</w:t>
            </w:r>
            <w:r>
              <w:rPr>
                <w:rtl w:val="true"/>
              </w:rPr>
              <w:t xml:space="preserve"> - </w:t>
            </w:r>
            <w:r>
              <w:rPr/>
              <w:t>2</w:t>
            </w:r>
          </w:p>
        </w:tc>
      </w:tr>
      <w:tr>
        <w:trPr/>
        <w:tc>
          <w:tcPr>
            <w:tcW w:w="7837" w:type="dxa"/>
            <w:tcBorders/>
          </w:tcPr>
          <w:p>
            <w:pPr>
              <w:pStyle w:val="FehrestBullet"/>
              <w:numPr>
                <w:ilvl w:val="0"/>
                <w:numId w:val="15"/>
              </w:numPr>
              <w:tabs>
                <w:tab w:val="clear" w:pos="720"/>
              </w:tabs>
              <w:ind w:hanging="284" w:start="284" w:end="0"/>
              <w:jc w:val="both"/>
              <w:rPr>
                <w:rFonts w:cs="B Lotus"/>
              </w:rPr>
            </w:pPr>
            <w:r>
              <w:rPr>
                <w:rFonts w:cs="B Lotus"/>
                <w:rtl w:val="true"/>
              </w:rPr>
              <w:t>تعاريف</w:t>
            </w:r>
          </w:p>
        </w:tc>
        <w:tc>
          <w:tcPr>
            <w:tcW w:w="1012" w:type="dxa"/>
            <w:tcBorders/>
          </w:tcPr>
          <w:p>
            <w:pPr>
              <w:pStyle w:val="FehrestNumber"/>
              <w:ind w:end="0"/>
              <w:jc w:val="center"/>
              <w:rPr/>
            </w:pPr>
            <w:r>
              <w:rPr/>
              <w:t>6</w:t>
            </w:r>
          </w:p>
        </w:tc>
      </w:tr>
      <w:tr>
        <w:trPr/>
        <w:tc>
          <w:tcPr>
            <w:tcW w:w="7837" w:type="dxa"/>
            <w:tcBorders/>
          </w:tcPr>
          <w:p>
            <w:pPr>
              <w:pStyle w:val="FehrestBullet"/>
              <w:numPr>
                <w:ilvl w:val="0"/>
                <w:numId w:val="15"/>
              </w:numPr>
              <w:tabs>
                <w:tab w:val="clear" w:pos="720"/>
              </w:tabs>
              <w:ind w:hanging="284" w:start="284" w:end="0"/>
              <w:jc w:val="both"/>
              <w:rPr>
                <w:rFonts w:cs="B Lotus"/>
                <w:spacing w:val="-8"/>
              </w:rPr>
            </w:pPr>
            <w:r>
              <w:rPr>
                <w:rFonts w:cs="B Lotus"/>
                <w:spacing w:val="-8"/>
                <w:rtl w:val="true"/>
              </w:rPr>
              <w:t xml:space="preserve">طبقه‌بندي داراييهاي غيرجاري </w:t>
            </w:r>
            <w:r>
              <w:rPr>
                <w:rFonts w:cs="B Lotus"/>
                <w:spacing w:val="-8"/>
                <w:rtl w:val="true"/>
              </w:rPr>
              <w:t>(</w:t>
            </w:r>
            <w:r>
              <w:rPr>
                <w:rFonts w:cs="B Lotus"/>
                <w:spacing w:val="-8"/>
                <w:rtl w:val="true"/>
              </w:rPr>
              <w:t>يا مجموعه‌های واحد</w:t>
            </w:r>
            <w:r>
              <w:rPr>
                <w:rFonts w:cs="B Lotus"/>
                <w:spacing w:val="-8"/>
                <w:rtl w:val="true"/>
              </w:rPr>
              <w:t xml:space="preserve">) </w:t>
            </w:r>
            <w:r>
              <w:rPr>
                <w:rFonts w:cs="B Lotus"/>
                <w:spacing w:val="-8"/>
                <w:rtl w:val="true"/>
              </w:rPr>
              <w:t>به عنوان نگهداري شده براي فروش</w:t>
            </w:r>
          </w:p>
        </w:tc>
        <w:tc>
          <w:tcPr>
            <w:tcW w:w="1012" w:type="dxa"/>
            <w:tcBorders/>
            <w:vAlign w:val="bottom"/>
          </w:tcPr>
          <w:p>
            <w:pPr>
              <w:pStyle w:val="FehrestNumber"/>
              <w:ind w:end="0"/>
              <w:jc w:val="center"/>
              <w:rPr>
                <w:b/>
              </w:rPr>
            </w:pPr>
            <w:r>
              <w:rPr>
                <w:b/>
              </w:rPr>
              <w:t>15</w:t>
            </w:r>
            <w:r>
              <w:rPr>
                <w:b/>
                <w:rtl w:val="true"/>
              </w:rPr>
              <w:t xml:space="preserve"> - </w:t>
            </w:r>
            <w:r>
              <w:rPr>
                <w:b/>
              </w:rPr>
              <w:t>7</w:t>
            </w:r>
          </w:p>
        </w:tc>
      </w:tr>
      <w:tr>
        <w:trPr/>
        <w:tc>
          <w:tcPr>
            <w:tcW w:w="7837" w:type="dxa"/>
            <w:tcBorders/>
          </w:tcPr>
          <w:p>
            <w:pPr>
              <w:pStyle w:val="Fehrest--"/>
              <w:numPr>
                <w:ilvl w:val="0"/>
                <w:numId w:val="21"/>
              </w:numPr>
              <w:tabs>
                <w:tab w:val="clear" w:pos="720"/>
              </w:tabs>
              <w:ind w:hanging="284" w:start="568" w:end="0"/>
              <w:jc w:val="both"/>
              <w:rPr>
                <w:sz w:val="34"/>
                <w:szCs w:val="28"/>
              </w:rPr>
            </w:pPr>
            <w:r>
              <w:rPr>
                <w:rtl w:val="true"/>
              </w:rPr>
              <w:t>داراييهاي غيرجاري که قصد برکناري آن وجود دارد</w:t>
            </w:r>
          </w:p>
        </w:tc>
        <w:tc>
          <w:tcPr>
            <w:tcW w:w="1012" w:type="dxa"/>
            <w:tcBorders/>
          </w:tcPr>
          <w:p>
            <w:pPr>
              <w:pStyle w:val="FehrestNumber"/>
              <w:ind w:end="0"/>
              <w:jc w:val="center"/>
              <w:rPr/>
            </w:pPr>
            <w:r>
              <w:rPr/>
              <w:t>15</w:t>
            </w:r>
            <w:r>
              <w:rPr>
                <w:rtl w:val="true"/>
              </w:rPr>
              <w:t xml:space="preserve"> </w:t>
            </w:r>
            <w:r>
              <w:rPr>
                <w:rFonts w:cs="Times New Roman" w:hint="cs"/>
                <w:rtl w:val="true"/>
              </w:rPr>
              <w:t>–</w:t>
            </w:r>
            <w:r>
              <w:rPr>
                <w:rtl w:val="true"/>
              </w:rPr>
              <w:t xml:space="preserve"> </w:t>
            </w:r>
            <w:r>
              <w:rPr/>
              <w:t>14</w:t>
            </w:r>
          </w:p>
        </w:tc>
      </w:tr>
      <w:tr>
        <w:trPr/>
        <w:tc>
          <w:tcPr>
            <w:tcW w:w="7837" w:type="dxa"/>
            <w:tcBorders/>
          </w:tcPr>
          <w:p>
            <w:pPr>
              <w:pStyle w:val="FehrestBullet"/>
              <w:numPr>
                <w:ilvl w:val="0"/>
                <w:numId w:val="15"/>
              </w:numPr>
              <w:tabs>
                <w:tab w:val="clear" w:pos="720"/>
              </w:tabs>
              <w:ind w:hanging="284" w:start="284" w:end="0"/>
              <w:jc w:val="both"/>
              <w:rPr>
                <w:rFonts w:cs="B Lotus"/>
              </w:rPr>
            </w:pPr>
            <w:r>
              <w:rPr>
                <w:rFonts w:cs="B Lotus"/>
                <w:rtl w:val="true"/>
              </w:rPr>
              <w:t xml:space="preserve">اندازه‌گيري داراييهاي غيرجاري </w:t>
            </w:r>
            <w:r>
              <w:rPr>
                <w:rFonts w:cs="B Lotus"/>
                <w:rtl w:val="true"/>
              </w:rPr>
              <w:t>(</w:t>
            </w:r>
            <w:r>
              <w:rPr>
                <w:rFonts w:cs="B Lotus"/>
                <w:rtl w:val="true"/>
              </w:rPr>
              <w:t>يا مجموعه‌های واحد</w:t>
            </w:r>
            <w:r>
              <w:rPr>
                <w:rFonts w:cs="B Lotus"/>
                <w:rtl w:val="true"/>
              </w:rPr>
              <w:t xml:space="preserve">) </w:t>
            </w:r>
            <w:r>
              <w:rPr>
                <w:rFonts w:cs="B Lotus"/>
                <w:rtl w:val="true"/>
              </w:rPr>
              <w:t>طبقه‌بندي شده به عنوان نگهداري شده براي فروش</w:t>
            </w:r>
          </w:p>
        </w:tc>
        <w:tc>
          <w:tcPr>
            <w:tcW w:w="1012" w:type="dxa"/>
            <w:tcBorders/>
            <w:vAlign w:val="bottom"/>
          </w:tcPr>
          <w:p>
            <w:pPr>
              <w:pStyle w:val="FehrestNumber"/>
              <w:ind w:end="0"/>
              <w:jc w:val="center"/>
              <w:rPr/>
            </w:pPr>
            <w:r>
              <w:rPr/>
              <w:t>30</w:t>
            </w:r>
            <w:r>
              <w:rPr>
                <w:rtl w:val="true"/>
              </w:rPr>
              <w:t xml:space="preserve"> - </w:t>
            </w:r>
            <w:r>
              <w:rPr/>
              <w:t>16</w:t>
            </w:r>
          </w:p>
        </w:tc>
      </w:tr>
      <w:tr>
        <w:trPr/>
        <w:tc>
          <w:tcPr>
            <w:tcW w:w="7837" w:type="dxa"/>
            <w:tcBorders/>
          </w:tcPr>
          <w:p>
            <w:pPr>
              <w:pStyle w:val="Fehrest--"/>
              <w:numPr>
                <w:ilvl w:val="0"/>
                <w:numId w:val="21"/>
              </w:numPr>
              <w:tabs>
                <w:tab w:val="clear" w:pos="720"/>
              </w:tabs>
              <w:ind w:hanging="284" w:start="568" w:end="0"/>
              <w:jc w:val="both"/>
              <w:rPr/>
            </w:pPr>
            <w:r>
              <w:rPr>
                <w:rtl w:val="true"/>
              </w:rPr>
              <w:t xml:space="preserve">اندازه‌گيري دارايي غيرجاري </w:t>
            </w:r>
            <w:r>
              <w:rPr>
                <w:rtl w:val="true"/>
              </w:rPr>
              <w:t>(</w:t>
            </w:r>
            <w:r>
              <w:rPr>
                <w:rtl w:val="true"/>
              </w:rPr>
              <w:t>يا مجموعه‌ واحد</w:t>
            </w:r>
            <w:r>
              <w:rPr>
                <w:rtl w:val="true"/>
              </w:rPr>
              <w:t>)</w:t>
            </w:r>
          </w:p>
        </w:tc>
        <w:tc>
          <w:tcPr>
            <w:tcW w:w="1012" w:type="dxa"/>
            <w:tcBorders/>
          </w:tcPr>
          <w:p>
            <w:pPr>
              <w:pStyle w:val="FehrestNumber"/>
              <w:ind w:end="0"/>
              <w:jc w:val="center"/>
              <w:rPr/>
            </w:pPr>
            <w:r>
              <w:rPr/>
              <w:t>20</w:t>
            </w:r>
            <w:r>
              <w:rPr>
                <w:rtl w:val="true"/>
              </w:rPr>
              <w:t xml:space="preserve"> - </w:t>
            </w:r>
            <w:r>
              <w:rPr/>
              <w:t>16</w:t>
            </w:r>
          </w:p>
        </w:tc>
      </w:tr>
      <w:tr>
        <w:trPr/>
        <w:tc>
          <w:tcPr>
            <w:tcW w:w="7837" w:type="dxa"/>
            <w:tcBorders/>
          </w:tcPr>
          <w:p>
            <w:pPr>
              <w:pStyle w:val="Fehrest--"/>
              <w:numPr>
                <w:ilvl w:val="0"/>
                <w:numId w:val="21"/>
              </w:numPr>
              <w:tabs>
                <w:tab w:val="clear" w:pos="720"/>
              </w:tabs>
              <w:ind w:hanging="284" w:start="568" w:end="0"/>
              <w:jc w:val="both"/>
              <w:rPr/>
            </w:pPr>
            <w:r>
              <w:rPr>
                <w:rtl w:val="true"/>
              </w:rPr>
              <w:t xml:space="preserve"> </w:t>
            </w:r>
            <w:r>
              <w:rPr>
                <w:rtl w:val="true"/>
              </w:rPr>
              <w:t>شناسايي زيانهاي کاهش ارزش و برگشت آن</w:t>
            </w:r>
          </w:p>
        </w:tc>
        <w:tc>
          <w:tcPr>
            <w:tcW w:w="1012" w:type="dxa"/>
            <w:tcBorders/>
          </w:tcPr>
          <w:p>
            <w:pPr>
              <w:pStyle w:val="FehrestNumber"/>
              <w:ind w:end="0"/>
              <w:jc w:val="center"/>
              <w:rPr/>
            </w:pPr>
            <w:r>
              <w:rPr/>
              <w:t>26</w:t>
            </w:r>
            <w:r>
              <w:rPr>
                <w:rtl w:val="true"/>
              </w:rPr>
              <w:t xml:space="preserve"> </w:t>
            </w:r>
            <w:r>
              <w:rPr>
                <w:rFonts w:cs="Times New Roman" w:hint="cs"/>
                <w:rtl w:val="true"/>
              </w:rPr>
              <w:t>–</w:t>
            </w:r>
            <w:r>
              <w:rPr>
                <w:rtl w:val="true"/>
              </w:rPr>
              <w:t xml:space="preserve"> </w:t>
            </w:r>
            <w:r>
              <w:rPr/>
              <w:t>21</w:t>
            </w:r>
          </w:p>
        </w:tc>
      </w:tr>
      <w:tr>
        <w:trPr/>
        <w:tc>
          <w:tcPr>
            <w:tcW w:w="7837" w:type="dxa"/>
            <w:tcBorders/>
          </w:tcPr>
          <w:p>
            <w:pPr>
              <w:pStyle w:val="Fehrest--"/>
              <w:numPr>
                <w:ilvl w:val="0"/>
                <w:numId w:val="21"/>
              </w:numPr>
              <w:tabs>
                <w:tab w:val="clear" w:pos="720"/>
              </w:tabs>
              <w:ind w:hanging="284" w:start="568" w:end="0"/>
              <w:jc w:val="both"/>
              <w:rPr/>
            </w:pPr>
            <w:r>
              <w:rPr>
                <w:rtl w:val="true"/>
              </w:rPr>
              <w:t>تغييرات طرح فروش</w:t>
            </w:r>
          </w:p>
        </w:tc>
        <w:tc>
          <w:tcPr>
            <w:tcW w:w="1012" w:type="dxa"/>
            <w:tcBorders/>
          </w:tcPr>
          <w:p>
            <w:pPr>
              <w:pStyle w:val="FehrestNumber"/>
              <w:ind w:end="0"/>
              <w:jc w:val="center"/>
              <w:rPr/>
            </w:pPr>
            <w:r>
              <w:rPr/>
              <w:t>30</w:t>
            </w:r>
            <w:r>
              <w:rPr>
                <w:rtl w:val="true"/>
              </w:rPr>
              <w:t xml:space="preserve"> </w:t>
            </w:r>
            <w:r>
              <w:rPr>
                <w:rFonts w:cs="Times New Roman" w:hint="cs"/>
                <w:rtl w:val="true"/>
              </w:rPr>
              <w:t>–</w:t>
            </w:r>
            <w:r>
              <w:rPr>
                <w:rtl w:val="true"/>
              </w:rPr>
              <w:t xml:space="preserve"> </w:t>
            </w:r>
            <w:r>
              <w:rPr/>
              <w:t>27</w:t>
            </w:r>
          </w:p>
        </w:tc>
      </w:tr>
      <w:tr>
        <w:trPr/>
        <w:tc>
          <w:tcPr>
            <w:tcW w:w="7837" w:type="dxa"/>
            <w:tcBorders/>
          </w:tcPr>
          <w:p>
            <w:pPr>
              <w:pStyle w:val="FehrestBullet"/>
              <w:numPr>
                <w:ilvl w:val="0"/>
                <w:numId w:val="15"/>
              </w:numPr>
              <w:tabs>
                <w:tab w:val="clear" w:pos="720"/>
              </w:tabs>
              <w:ind w:hanging="284" w:start="284" w:end="0"/>
              <w:jc w:val="both"/>
              <w:rPr>
                <w:rFonts w:cs="B Lotus"/>
              </w:rPr>
            </w:pPr>
            <w:r>
              <w:rPr>
                <w:rFonts w:cs="B Lotus"/>
                <w:rtl w:val="true"/>
              </w:rPr>
              <w:t>ارائه و افشا</w:t>
            </w:r>
          </w:p>
        </w:tc>
        <w:tc>
          <w:tcPr>
            <w:tcW w:w="1012" w:type="dxa"/>
            <w:tcBorders/>
          </w:tcPr>
          <w:p>
            <w:pPr>
              <w:pStyle w:val="FehrestNumber"/>
              <w:ind w:end="0"/>
              <w:jc w:val="center"/>
              <w:rPr/>
            </w:pPr>
            <w:r>
              <w:rPr/>
              <w:t>41</w:t>
            </w:r>
            <w:r>
              <w:rPr>
                <w:rtl w:val="true"/>
              </w:rPr>
              <w:t xml:space="preserve"> </w:t>
            </w:r>
            <w:r>
              <w:rPr>
                <w:rFonts w:cs="Times New Roman" w:hint="cs"/>
                <w:rtl w:val="true"/>
              </w:rPr>
              <w:t>–</w:t>
            </w:r>
            <w:r>
              <w:rPr>
                <w:rtl w:val="true"/>
              </w:rPr>
              <w:t xml:space="preserve"> </w:t>
            </w:r>
            <w:r>
              <w:rPr/>
              <w:t>31</w:t>
            </w:r>
          </w:p>
        </w:tc>
      </w:tr>
      <w:tr>
        <w:trPr/>
        <w:tc>
          <w:tcPr>
            <w:tcW w:w="7837" w:type="dxa"/>
            <w:tcBorders/>
          </w:tcPr>
          <w:p>
            <w:pPr>
              <w:pStyle w:val="Fehrest--"/>
              <w:numPr>
                <w:ilvl w:val="0"/>
                <w:numId w:val="21"/>
              </w:numPr>
              <w:tabs>
                <w:tab w:val="clear" w:pos="720"/>
              </w:tabs>
              <w:ind w:hanging="284" w:start="568" w:end="0"/>
              <w:jc w:val="both"/>
              <w:rPr/>
            </w:pPr>
            <w:r>
              <w:rPr>
                <w:rtl w:val="true"/>
              </w:rPr>
              <w:t>ارائه عمليات متوقف شده</w:t>
            </w:r>
          </w:p>
        </w:tc>
        <w:tc>
          <w:tcPr>
            <w:tcW w:w="1012" w:type="dxa"/>
            <w:tcBorders/>
          </w:tcPr>
          <w:p>
            <w:pPr>
              <w:pStyle w:val="FehrestNumber"/>
              <w:ind w:end="0"/>
              <w:jc w:val="center"/>
              <w:rPr/>
            </w:pPr>
            <w:r>
              <w:rPr/>
              <w:t>35</w:t>
            </w:r>
            <w:r>
              <w:rPr>
                <w:rtl w:val="true"/>
              </w:rPr>
              <w:t xml:space="preserve"> </w:t>
            </w:r>
            <w:r>
              <w:rPr>
                <w:rFonts w:cs="Times New Roman" w:hint="cs"/>
                <w:rtl w:val="true"/>
              </w:rPr>
              <w:t>–</w:t>
            </w:r>
            <w:r>
              <w:rPr>
                <w:rtl w:val="true"/>
              </w:rPr>
              <w:t xml:space="preserve"> </w:t>
            </w:r>
            <w:r>
              <w:rPr/>
              <w:t>32</w:t>
            </w:r>
          </w:p>
        </w:tc>
      </w:tr>
      <w:tr>
        <w:trPr/>
        <w:tc>
          <w:tcPr>
            <w:tcW w:w="7837" w:type="dxa"/>
            <w:tcBorders/>
          </w:tcPr>
          <w:p>
            <w:pPr>
              <w:pStyle w:val="Fehrest--"/>
              <w:numPr>
                <w:ilvl w:val="0"/>
                <w:numId w:val="21"/>
              </w:numPr>
              <w:tabs>
                <w:tab w:val="clear" w:pos="720"/>
              </w:tabs>
              <w:ind w:hanging="284" w:start="568" w:end="0"/>
              <w:jc w:val="both"/>
              <w:rPr/>
            </w:pPr>
            <w:r>
              <w:rPr>
                <w:rtl w:val="true"/>
              </w:rPr>
              <w:t xml:space="preserve"> </w:t>
            </w:r>
            <w:r>
              <w:rPr>
                <w:rtl w:val="true"/>
              </w:rPr>
              <w:t>سود يا زيان مربوط به عمليات در حال تداوم</w:t>
            </w:r>
          </w:p>
        </w:tc>
        <w:tc>
          <w:tcPr>
            <w:tcW w:w="1012" w:type="dxa"/>
            <w:tcBorders/>
          </w:tcPr>
          <w:p>
            <w:pPr>
              <w:pStyle w:val="FehrestNumber"/>
              <w:ind w:end="0"/>
              <w:jc w:val="center"/>
              <w:rPr/>
            </w:pPr>
            <w:r>
              <w:rPr/>
              <w:t>36</w:t>
            </w:r>
          </w:p>
        </w:tc>
      </w:tr>
      <w:tr>
        <w:trPr/>
        <w:tc>
          <w:tcPr>
            <w:tcW w:w="7837" w:type="dxa"/>
            <w:tcBorders/>
          </w:tcPr>
          <w:p>
            <w:pPr>
              <w:pStyle w:val="Fehrest--"/>
              <w:numPr>
                <w:ilvl w:val="0"/>
                <w:numId w:val="21"/>
              </w:numPr>
              <w:tabs>
                <w:tab w:val="clear" w:pos="720"/>
              </w:tabs>
              <w:ind w:hanging="284" w:start="568" w:end="0"/>
              <w:jc w:val="both"/>
              <w:rPr>
                <w:spacing w:val="-8"/>
                <w:sz w:val="25"/>
                <w:szCs w:val="25"/>
              </w:rPr>
            </w:pPr>
            <w:r>
              <w:rPr>
                <w:spacing w:val="-8"/>
                <w:rtl w:val="true"/>
              </w:rPr>
              <w:t xml:space="preserve">ارائه دارايي غيرجاري </w:t>
            </w:r>
            <w:r>
              <w:rPr>
                <w:spacing w:val="-8"/>
                <w:rtl w:val="true"/>
              </w:rPr>
              <w:t>(</w:t>
            </w:r>
            <w:r>
              <w:rPr>
                <w:spacing w:val="-8"/>
                <w:rtl w:val="true"/>
              </w:rPr>
              <w:t>يا مجموعه‌ واحد</w:t>
            </w:r>
            <w:r>
              <w:rPr>
                <w:spacing w:val="-8"/>
                <w:rtl w:val="true"/>
              </w:rPr>
              <w:t xml:space="preserve">) </w:t>
            </w:r>
            <w:r>
              <w:rPr>
                <w:spacing w:val="-8"/>
                <w:rtl w:val="true"/>
              </w:rPr>
              <w:t>طبقه‌بندي شده به</w:t>
            </w:r>
            <w:r>
              <w:rPr>
                <w:rFonts w:hint="cs"/>
                <w:spacing w:val="-8"/>
                <w:rtl w:val="true"/>
              </w:rPr>
              <w:t> </w:t>
            </w:r>
            <w:r>
              <w:rPr>
                <w:spacing w:val="-8"/>
                <w:rtl w:val="true"/>
              </w:rPr>
              <w:t>عنوان نگهداري شده براي فروش</w:t>
            </w:r>
          </w:p>
        </w:tc>
        <w:tc>
          <w:tcPr>
            <w:tcW w:w="1012" w:type="dxa"/>
            <w:tcBorders/>
            <w:vAlign w:val="bottom"/>
          </w:tcPr>
          <w:p>
            <w:pPr>
              <w:pStyle w:val="FehrestNumber"/>
              <w:ind w:end="0"/>
              <w:jc w:val="center"/>
              <w:rPr/>
            </w:pPr>
            <w:r>
              <w:rPr/>
              <w:t>39</w:t>
            </w:r>
            <w:r>
              <w:rPr>
                <w:rtl w:val="true"/>
              </w:rPr>
              <w:t xml:space="preserve"> - </w:t>
            </w:r>
            <w:r>
              <w:rPr/>
              <w:t>37</w:t>
            </w:r>
          </w:p>
        </w:tc>
      </w:tr>
      <w:tr>
        <w:trPr/>
        <w:tc>
          <w:tcPr>
            <w:tcW w:w="7837" w:type="dxa"/>
            <w:tcBorders/>
          </w:tcPr>
          <w:p>
            <w:pPr>
              <w:pStyle w:val="Fehrest--"/>
              <w:numPr>
                <w:ilvl w:val="0"/>
                <w:numId w:val="21"/>
              </w:numPr>
              <w:tabs>
                <w:tab w:val="clear" w:pos="720"/>
              </w:tabs>
              <w:ind w:hanging="284" w:start="568" w:end="0"/>
              <w:jc w:val="both"/>
              <w:rPr/>
            </w:pPr>
            <w:r>
              <w:rPr>
                <w:rtl w:val="true"/>
              </w:rPr>
              <w:t>ساير موارد افشا</w:t>
            </w:r>
          </w:p>
        </w:tc>
        <w:tc>
          <w:tcPr>
            <w:tcW w:w="1012" w:type="dxa"/>
            <w:tcBorders/>
          </w:tcPr>
          <w:p>
            <w:pPr>
              <w:pStyle w:val="FehrestNumber"/>
              <w:ind w:end="0"/>
              <w:jc w:val="center"/>
              <w:rPr/>
            </w:pPr>
            <w:r>
              <w:rPr/>
              <w:t>41</w:t>
            </w:r>
            <w:r>
              <w:rPr>
                <w:rtl w:val="true"/>
              </w:rPr>
              <w:t xml:space="preserve"> - </w:t>
            </w:r>
            <w:r>
              <w:rPr/>
              <w:t>40</w:t>
            </w:r>
          </w:p>
        </w:tc>
      </w:tr>
      <w:tr>
        <w:trPr/>
        <w:tc>
          <w:tcPr>
            <w:tcW w:w="7837" w:type="dxa"/>
            <w:tcBorders/>
          </w:tcPr>
          <w:p>
            <w:pPr>
              <w:pStyle w:val="FehrestBullet"/>
              <w:numPr>
                <w:ilvl w:val="0"/>
                <w:numId w:val="15"/>
              </w:numPr>
              <w:tabs>
                <w:tab w:val="clear" w:pos="720"/>
              </w:tabs>
              <w:ind w:hanging="284" w:start="284" w:end="0"/>
              <w:jc w:val="both"/>
              <w:rPr>
                <w:rFonts w:cs="B Lotus"/>
              </w:rPr>
            </w:pPr>
            <w:r>
              <w:rPr>
                <w:rFonts w:cs="B Lotus"/>
                <w:rtl w:val="true"/>
              </w:rPr>
              <w:t>تاريخ اجرا</w:t>
            </w:r>
          </w:p>
        </w:tc>
        <w:tc>
          <w:tcPr>
            <w:tcW w:w="1012" w:type="dxa"/>
            <w:tcBorders/>
          </w:tcPr>
          <w:p>
            <w:pPr>
              <w:pStyle w:val="FehrestNumber"/>
              <w:ind w:end="0"/>
              <w:jc w:val="center"/>
              <w:rPr/>
            </w:pPr>
            <w:r>
              <w:rPr/>
              <w:t>42</w:t>
            </w:r>
          </w:p>
        </w:tc>
      </w:tr>
      <w:tr>
        <w:trPr/>
        <w:tc>
          <w:tcPr>
            <w:tcW w:w="7837" w:type="dxa"/>
            <w:tcBorders/>
          </w:tcPr>
          <w:p>
            <w:pPr>
              <w:pStyle w:val="FehrestBullet"/>
              <w:numPr>
                <w:ilvl w:val="0"/>
                <w:numId w:val="15"/>
              </w:numPr>
              <w:tabs>
                <w:tab w:val="clear" w:pos="720"/>
              </w:tabs>
              <w:ind w:hanging="284" w:start="284" w:end="0"/>
              <w:jc w:val="both"/>
              <w:rPr>
                <w:rFonts w:cs="B Lotus"/>
              </w:rPr>
            </w:pPr>
            <w:r>
              <w:rPr>
                <w:rFonts w:cs="B Lotus"/>
                <w:rtl w:val="true"/>
              </w:rPr>
              <w:t>مطابقت با استانداردهاي بين‌المللي حسابداري</w:t>
            </w:r>
          </w:p>
        </w:tc>
        <w:tc>
          <w:tcPr>
            <w:tcW w:w="1012" w:type="dxa"/>
            <w:tcBorders/>
          </w:tcPr>
          <w:p>
            <w:pPr>
              <w:pStyle w:val="FehrestNumber"/>
              <w:ind w:end="0"/>
              <w:jc w:val="center"/>
              <w:rPr/>
            </w:pPr>
            <w:r>
              <w:rPr/>
              <w:t>43</w:t>
            </w:r>
          </w:p>
        </w:tc>
      </w:tr>
      <w:tr>
        <w:trPr/>
        <w:tc>
          <w:tcPr>
            <w:tcW w:w="7837" w:type="dxa"/>
            <w:tcBorders/>
          </w:tcPr>
          <w:p>
            <w:pPr>
              <w:pStyle w:val="FehrestBullet"/>
              <w:numPr>
                <w:ilvl w:val="0"/>
                <w:numId w:val="15"/>
              </w:numPr>
              <w:tabs>
                <w:tab w:val="clear" w:pos="720"/>
              </w:tabs>
              <w:ind w:hanging="284" w:start="284" w:end="0"/>
              <w:jc w:val="both"/>
              <w:rPr>
                <w:rFonts w:cs="B Lotus"/>
              </w:rPr>
            </w:pPr>
            <w:r>
              <w:rPr>
                <w:rFonts w:cs="B Lotus"/>
                <w:rtl w:val="true"/>
              </w:rPr>
              <w:t xml:space="preserve">پيوست شماره </w:t>
            </w:r>
            <w:r>
              <w:rPr>
                <w:rFonts w:cs="B Lotus"/>
              </w:rPr>
              <w:t>1</w:t>
            </w:r>
            <w:r>
              <w:rPr>
                <w:rFonts w:cs="B Lotus"/>
                <w:rtl w:val="true"/>
              </w:rPr>
              <w:t xml:space="preserve"> :  </w:t>
            </w:r>
            <w:r>
              <w:rPr>
                <w:rFonts w:cs="B Lotus"/>
                <w:rtl w:val="true"/>
              </w:rPr>
              <w:t>توضیحات تکمیلی</w:t>
            </w:r>
          </w:p>
        </w:tc>
        <w:tc>
          <w:tcPr>
            <w:tcW w:w="1012" w:type="dxa"/>
            <w:tcBorders/>
          </w:tcPr>
          <w:p>
            <w:pPr>
              <w:pStyle w:val="FehrestNumber"/>
              <w:snapToGrid w:val="false"/>
              <w:ind w:end="0"/>
              <w:jc w:val="center"/>
              <w:rPr/>
            </w:pPr>
            <w:r>
              <w:rPr>
                <w:rFonts w:cs="B Lotus"/>
                <w:rtl w:val="true"/>
              </w:rPr>
            </w:r>
          </w:p>
        </w:tc>
      </w:tr>
      <w:tr>
        <w:trPr/>
        <w:tc>
          <w:tcPr>
            <w:tcW w:w="7837" w:type="dxa"/>
            <w:tcBorders/>
          </w:tcPr>
          <w:p>
            <w:pPr>
              <w:pStyle w:val="Fehrest--"/>
              <w:numPr>
                <w:ilvl w:val="0"/>
                <w:numId w:val="21"/>
              </w:numPr>
              <w:tabs>
                <w:tab w:val="clear" w:pos="720"/>
              </w:tabs>
              <w:ind w:hanging="284" w:start="568" w:end="0"/>
              <w:jc w:val="both"/>
              <w:rPr/>
            </w:pPr>
            <w:r>
              <w:rPr>
                <w:rtl w:val="true"/>
              </w:rPr>
              <w:t>طولاني‌تر شدن دوره مورد نياز براي تکميل فروش</w:t>
            </w:r>
          </w:p>
        </w:tc>
        <w:tc>
          <w:tcPr>
            <w:tcW w:w="1012" w:type="dxa"/>
            <w:tcBorders/>
          </w:tcPr>
          <w:p>
            <w:pPr>
              <w:pStyle w:val="FehrestNumber"/>
              <w:snapToGrid w:val="false"/>
              <w:ind w:end="0"/>
              <w:jc w:val="center"/>
              <w:rPr/>
            </w:pPr>
            <w:r>
              <w:rPr>
                <w:rtl w:val="true"/>
              </w:rPr>
            </w:r>
          </w:p>
        </w:tc>
      </w:tr>
      <w:tr>
        <w:trPr/>
        <w:tc>
          <w:tcPr>
            <w:tcW w:w="7837" w:type="dxa"/>
            <w:tcBorders/>
          </w:tcPr>
          <w:p>
            <w:pPr>
              <w:pStyle w:val="FehrestBullet"/>
              <w:numPr>
                <w:ilvl w:val="0"/>
                <w:numId w:val="15"/>
              </w:numPr>
              <w:tabs>
                <w:tab w:val="clear" w:pos="720"/>
              </w:tabs>
              <w:ind w:hanging="284" w:start="284" w:end="0"/>
              <w:jc w:val="both"/>
              <w:rPr>
                <w:rFonts w:cs="B Lotus"/>
              </w:rPr>
            </w:pPr>
            <w:r>
              <w:rPr>
                <w:rFonts w:cs="B Lotus"/>
                <w:rtl w:val="true"/>
              </w:rPr>
              <w:t xml:space="preserve">پیوست شماره </w:t>
            </w:r>
            <w:r>
              <w:rPr>
                <w:rFonts w:cs="B Lotus" w:hint="cs"/>
              </w:rPr>
              <w:t>2</w:t>
            </w:r>
            <w:r>
              <w:rPr>
                <w:rFonts w:cs="B Lotus"/>
                <w:rtl w:val="true"/>
              </w:rPr>
              <w:t xml:space="preserve"> :  </w:t>
            </w:r>
            <w:r>
              <w:rPr>
                <w:rFonts w:cs="B Lotus"/>
                <w:rtl w:val="true"/>
              </w:rPr>
              <w:t>رهنمود بکارگیری</w:t>
            </w:r>
          </w:p>
        </w:tc>
        <w:tc>
          <w:tcPr>
            <w:tcW w:w="1012" w:type="dxa"/>
            <w:tcBorders/>
          </w:tcPr>
          <w:p>
            <w:pPr>
              <w:pStyle w:val="FehrestNumber"/>
              <w:snapToGrid w:val="false"/>
              <w:ind w:end="0"/>
              <w:jc w:val="center"/>
              <w:rPr/>
            </w:pPr>
            <w:r>
              <w:rPr>
                <w:rFonts w:cs="B Lotus"/>
                <w:rtl w:val="true"/>
              </w:rPr>
            </w:r>
          </w:p>
        </w:tc>
      </w:tr>
      <w:tr>
        <w:trPr/>
        <w:tc>
          <w:tcPr>
            <w:tcW w:w="7837" w:type="dxa"/>
            <w:tcBorders/>
          </w:tcPr>
          <w:p>
            <w:pPr>
              <w:pStyle w:val="FehrestBullet"/>
              <w:numPr>
                <w:ilvl w:val="0"/>
                <w:numId w:val="15"/>
              </w:numPr>
              <w:tabs>
                <w:tab w:val="clear" w:pos="720"/>
              </w:tabs>
              <w:ind w:hanging="284" w:start="284" w:end="0"/>
              <w:jc w:val="both"/>
              <w:rPr>
                <w:rFonts w:cs="B Lotus"/>
              </w:rPr>
            </w:pPr>
            <w:r>
              <w:rPr>
                <w:rFonts w:cs="B Lotus"/>
                <w:rtl w:val="true"/>
              </w:rPr>
              <w:t xml:space="preserve">پيوست شماره </w:t>
            </w:r>
            <w:r>
              <w:rPr>
                <w:rFonts w:cs="B Lotus" w:hint="cs"/>
              </w:rPr>
              <w:t>3</w:t>
            </w:r>
            <w:r>
              <w:rPr>
                <w:rFonts w:cs="B Lotus"/>
                <w:rtl w:val="true"/>
              </w:rPr>
              <w:t xml:space="preserve"> :  </w:t>
            </w:r>
            <w:r>
              <w:rPr>
                <w:rFonts w:cs="B Lotus"/>
                <w:rtl w:val="true"/>
              </w:rPr>
              <w:t>مباني نتيجه‌گيري</w:t>
            </w:r>
          </w:p>
        </w:tc>
        <w:tc>
          <w:tcPr>
            <w:tcW w:w="1012" w:type="dxa"/>
            <w:tcBorders/>
          </w:tcPr>
          <w:p>
            <w:pPr>
              <w:pStyle w:val="FehrestNumber"/>
              <w:snapToGrid w:val="false"/>
              <w:ind w:end="0"/>
              <w:jc w:val="center"/>
              <w:rPr/>
            </w:pPr>
            <w:r>
              <w:rPr>
                <w:rFonts w:cs="B Lotus"/>
                <w:rtl w:val="true"/>
              </w:rPr>
            </w:r>
          </w:p>
        </w:tc>
      </w:tr>
    </w:tbl>
    <w:p>
      <w:pPr>
        <w:pStyle w:val="Normal"/>
        <w:keepNext w:val="true"/>
        <w:ind w:hanging="567" w:start="567" w:end="0"/>
        <w:jc w:val="start"/>
        <w:rPr>
          <w:rFonts w:cs="B Lotus"/>
          <w:color w:val="FFCC00"/>
          <w:sz w:val="8"/>
          <w:szCs w:val="6"/>
        </w:rPr>
      </w:pPr>
      <w:r>
        <w:rPr>
          <w:rFonts w:cs="B Lotus"/>
          <w:color w:val="FFCC00"/>
          <w:sz w:val="8"/>
          <w:szCs w:val="6"/>
          <w:rtl w:val="true"/>
        </w:rPr>
      </w:r>
    </w:p>
    <w:p>
      <w:pPr>
        <w:sectPr>
          <w:headerReference w:type="default" r:id="rId4"/>
          <w:footerReference w:type="default" r:id="rId5"/>
          <w:type w:val="oddPage"/>
          <w:pgSz w:w="11906" w:h="16838"/>
          <w:pgMar w:left="1701" w:right="1701" w:gutter="0" w:header="1418" w:top="2268" w:footer="1134" w:bottom="1701"/>
          <w:pgNumType w:start="705" w:fmt="decimal"/>
          <w:formProt w:val="false"/>
          <w:textDirection w:val="lrTb"/>
          <w:bidi/>
          <w:rtlGutter/>
          <w:docGrid w:type="default" w:linePitch="360" w:charSpace="0"/>
        </w:sectPr>
      </w:pPr>
    </w:p>
    <w:p>
      <w:pPr>
        <w:pStyle w:val="Header"/>
        <w:spacing w:before="0" w:after="60"/>
        <w:ind w:end="0"/>
        <w:jc w:val="center"/>
        <w:rPr>
          <w:rFonts w:cs="B Titr" w:hint="cs"/>
          <w:b/>
          <w:sz w:val="28"/>
        </w:rPr>
      </w:pPr>
      <w:r>
        <w:rPr>
          <w:rFonts w:hint="cs" w:cs="B Titr"/>
          <w:b/>
          <w:b/>
          <w:sz w:val="28"/>
          <w:rtl w:val="true"/>
        </w:rPr>
        <w:t>استاندارد حسابداري</w:t>
      </w:r>
      <w:r>
        <w:rPr>
          <w:rFonts w:hint="eastAsia" w:cs="B Titr"/>
          <w:b/>
          <w:b/>
          <w:sz w:val="28"/>
          <w:rtl w:val="true"/>
        </w:rPr>
        <w:t xml:space="preserve"> شماره </w:t>
      </w:r>
      <w:r>
        <w:rPr>
          <w:rFonts w:cs="B Titr" w:hint="cs"/>
          <w:b/>
          <w:sz w:val="28"/>
        </w:rPr>
        <w:t>31</w:t>
      </w:r>
    </w:p>
    <w:p>
      <w:pPr>
        <w:pStyle w:val="Header"/>
        <w:spacing w:before="0" w:after="60"/>
        <w:ind w:end="0"/>
        <w:jc w:val="center"/>
        <w:rPr>
          <w:rFonts w:cs="B Titr" w:hint="cs"/>
          <w:sz w:val="28"/>
        </w:rPr>
      </w:pPr>
      <w:r>
        <w:rPr>
          <w:rFonts w:hint="eastAsia" w:cs="B Titr"/>
          <w:b/>
          <w:b/>
          <w:sz w:val="28"/>
          <w:rtl w:val="true"/>
        </w:rPr>
        <w:t>داراييهاي غيرجاري نگهداري</w:t>
      </w:r>
      <w:r>
        <w:rPr>
          <w:rFonts w:hint="eastAsia" w:cs="B Titr"/>
          <w:sz w:val="28"/>
          <w:rtl w:val="true"/>
        </w:rPr>
        <w:t xml:space="preserve"> شده براي فروش و عمليات متوقف شده</w:t>
      </w:r>
    </w:p>
    <w:p>
      <w:pPr>
        <w:pStyle w:val="IN1"/>
        <w:ind w:end="0"/>
        <w:jc w:val="center"/>
        <w:rPr>
          <w:spacing w:val="-2"/>
          <w:sz w:val="32"/>
        </w:rPr>
      </w:pPr>
      <w:r>
        <w:rPr>
          <w:rFonts w:cs="B Titr" w:hint="cs"/>
          <w:spacing w:val="-2"/>
          <w:sz w:val="32"/>
          <w:rtl w:val="true"/>
        </w:rPr>
      </w:r>
    </w:p>
    <w:p>
      <w:pPr>
        <w:pStyle w:val="IN1"/>
        <w:spacing w:before="0" w:after="120"/>
        <w:ind w:end="0"/>
        <w:jc w:val="center"/>
        <w:rPr>
          <w:spacing w:val="-2"/>
          <w:sz w:val="32"/>
        </w:rPr>
      </w:pPr>
      <w:r>
        <w:rPr>
          <w:spacing w:val="-2"/>
          <w:sz w:val="32"/>
          <w:rtl w:val="true"/>
        </w:rPr>
        <w:t>اين استاندارد بايد با توجه به ”مقدمه‌اي بر استانداردهاي حسابداري“ مطالعه و</w:t>
      </w:r>
      <w:r>
        <w:rPr>
          <w:spacing w:val="-2"/>
          <w:sz w:val="32"/>
          <w:rtl w:val="true"/>
        </w:rPr>
        <w:br/>
      </w:r>
      <w:r>
        <w:rPr>
          <w:spacing w:val="-2"/>
          <w:sz w:val="32"/>
          <w:rtl w:val="true"/>
        </w:rPr>
        <w:t>بکار گرفته شود</w:t>
      </w:r>
      <w:r>
        <w:rPr>
          <w:spacing w:val="-2"/>
          <w:sz w:val="32"/>
          <w:rtl w:val="true"/>
        </w:rPr>
        <w:t>.</w:t>
      </w:r>
    </w:p>
    <w:p>
      <w:pPr>
        <w:sectPr>
          <w:type w:val="continuous"/>
          <w:pgSz w:w="11906" w:h="16838"/>
          <w:pgMar w:left="1701" w:right="1701" w:gutter="0" w:header="1418" w:top="2268" w:footer="1134" w:bottom="1701"/>
          <w:formProt w:val="false"/>
          <w:textDirection w:val="lrTb"/>
          <w:bidi/>
          <w:rtlGutter/>
          <w:docGrid w:type="default" w:linePitch="360" w:charSpace="0"/>
        </w:sectPr>
      </w:pPr>
    </w:p>
    <w:p>
      <w:pPr>
        <w:pStyle w:val="Heading1"/>
        <w:spacing w:before="120" w:after="60"/>
        <w:ind w:end="0"/>
        <w:jc w:val="start"/>
        <w:rPr/>
      </w:pPr>
      <w:r>
        <w:rPr>
          <w:rtl w:val="true"/>
        </w:rPr>
        <w:t>هدف</w:t>
      </w:r>
    </w:p>
    <w:p>
      <w:pPr>
        <w:pStyle w:val="1LotusZirAlef1"/>
        <w:ind w:end="0"/>
        <w:jc w:val="both"/>
        <w:rPr/>
      </w:pPr>
      <w:r>
        <w:rPr/>
        <w:t>1</w:t>
      </w:r>
      <w:r>
        <w:rPr>
          <w:rtl w:val="true"/>
        </w:rPr>
        <w:t xml:space="preserve">  .</w:t>
        <w:tab/>
      </w:r>
      <w:r>
        <w:rPr>
          <w:rtl w:val="true"/>
        </w:rPr>
        <w:t>هدف اين استاندارد، تجويز نحوه حسابداري داراييهاي نگهداري شده براي فروش و نحوه ارائه و افشاي عمليات متوقف شده است</w:t>
      </w:r>
      <w:r>
        <w:rPr>
          <w:rtl w:val="true"/>
        </w:rPr>
        <w:t xml:space="preserve">. </w:t>
      </w:r>
      <w:r>
        <w:rPr>
          <w:rtl w:val="true"/>
        </w:rPr>
        <w:t>به</w:t>
      </w:r>
      <w:r>
        <w:rPr>
          <w:rFonts w:hint="cs" w:cs="Times New Roman"/>
          <w:rtl w:val="true"/>
        </w:rPr>
        <w:t> </w:t>
      </w:r>
      <w:r>
        <w:rPr>
          <w:rtl w:val="true"/>
        </w:rPr>
        <w:t>طور خاص، اين استاندارد موارد زير را الزامي نموده است</w:t>
      </w:r>
      <w:r>
        <w:rPr>
          <w:rtl w:val="true"/>
        </w:rPr>
        <w:t>:</w:t>
      </w:r>
    </w:p>
    <w:p>
      <w:pPr>
        <w:pStyle w:val="1LotusAlef2"/>
        <w:ind w:end="0"/>
        <w:jc w:val="both"/>
        <w:rPr/>
      </w:pPr>
      <w:r>
        <w:rPr>
          <w:rtl w:val="true"/>
        </w:rPr>
        <w:t>الف</w:t>
      </w:r>
      <w:r>
        <w:rPr>
          <w:rtl w:val="true"/>
        </w:rPr>
        <w:t>.</w:t>
        <w:tab/>
      </w:r>
      <w:r>
        <w:rPr>
          <w:rtl w:val="true"/>
        </w:rPr>
        <w:t>داراييهايي که معيارهاي طبقه‌بندي به</w:t>
      </w:r>
      <w:r>
        <w:rPr>
          <w:rFonts w:hint="cs" w:cs="Times New Roman"/>
          <w:rtl w:val="true"/>
        </w:rPr>
        <w:t> </w:t>
      </w:r>
      <w:r>
        <w:rPr>
          <w:rtl w:val="true"/>
        </w:rPr>
        <w:t>عنوان ”</w:t>
      </w:r>
      <w:r>
        <w:rPr>
          <w:rFonts w:hint="cs" w:cs="Times New Roman"/>
          <w:rtl w:val="true"/>
        </w:rPr>
        <w:t> </w:t>
      </w:r>
      <w:r>
        <w:rPr>
          <w:rFonts w:hint="cs"/>
          <w:rtl w:val="true"/>
        </w:rPr>
        <w:t>نگهداري شده براي فروش“ را احراز مي‌کنند، به اقل مبلغ دفتري و خالص ارزش فروش اندازه‌گيري</w:t>
      </w:r>
      <w:r>
        <w:rPr>
          <w:rtl w:val="true"/>
        </w:rPr>
        <w:t xml:space="preserve"> و احتساب استهلاک چنين داراييهايي متوقف مي‌شود، و</w:t>
      </w:r>
    </w:p>
    <w:p>
      <w:pPr>
        <w:pStyle w:val="1LotusAlef2"/>
        <w:ind w:end="0"/>
        <w:jc w:val="both"/>
        <w:rPr/>
      </w:pPr>
      <w:r>
        <w:rPr>
          <w:rtl w:val="true"/>
        </w:rPr>
        <w:t xml:space="preserve">ب </w:t>
      </w:r>
      <w:r>
        <w:rPr>
          <w:rtl w:val="true"/>
        </w:rPr>
        <w:t>.</w:t>
        <w:tab/>
      </w:r>
      <w:r>
        <w:rPr>
          <w:rtl w:val="true"/>
        </w:rPr>
        <w:t>داراييهايي که معيارهاي طبقه‌بندي به عنوان ” نگهداري شده براي فروش“ را احراز مي‌کنند در ترازنامه، و نتايج عمليات متوقف شده در</w:t>
      </w:r>
      <w:r>
        <w:rPr>
          <w:rFonts w:hint="cs" w:cs="Times New Roman"/>
          <w:rtl w:val="true"/>
        </w:rPr>
        <w:t> </w:t>
      </w:r>
      <w:r>
        <w:rPr>
          <w:rtl w:val="true"/>
        </w:rPr>
        <w:t>صورت سود و زيان، به</w:t>
      </w:r>
      <w:r>
        <w:rPr>
          <w:rFonts w:hint="cs" w:cs="Times New Roman"/>
          <w:rtl w:val="true"/>
        </w:rPr>
        <w:t> </w:t>
      </w:r>
      <w:r>
        <w:rPr>
          <w:rtl w:val="true"/>
        </w:rPr>
        <w:t>طور جداگانه ارائه مي‌شوند</w:t>
      </w:r>
      <w:r>
        <w:rPr>
          <w:rtl w:val="true"/>
        </w:rPr>
        <w:t>.</w:t>
      </w:r>
    </w:p>
    <w:p>
      <w:pPr>
        <w:pStyle w:val="Heading1"/>
        <w:spacing w:before="120" w:after="0"/>
        <w:ind w:end="0"/>
        <w:jc w:val="start"/>
        <w:rPr/>
      </w:pPr>
      <w:r>
        <w:rPr>
          <w:rtl w:val="true"/>
        </w:rPr>
        <w:t>دامنه کاربرد</w:t>
      </w:r>
    </w:p>
    <w:p>
      <w:pPr>
        <w:pStyle w:val="1Lotus1"/>
        <w:ind w:end="0"/>
        <w:jc w:val="both"/>
        <w:rPr/>
      </w:pPr>
      <w:r>
        <w:rPr/>
        <w:t>2</w:t>
      </w:r>
      <w:r>
        <w:rPr>
          <w:rtl w:val="true"/>
        </w:rPr>
        <w:t xml:space="preserve">  .</w:t>
        <w:tab/>
      </w:r>
      <w:r>
        <w:rPr>
          <w:rtl w:val="true"/>
        </w:rPr>
        <w:t>الزامات ”طبقه‌بندي“ و ”</w:t>
      </w:r>
      <w:r>
        <w:rPr>
          <w:rFonts w:hint="cs" w:cs="Times New Roman"/>
          <w:rtl w:val="true"/>
        </w:rPr>
        <w:t> </w:t>
      </w:r>
      <w:r>
        <w:rPr>
          <w:rFonts w:hint="cs"/>
          <w:rtl w:val="true"/>
        </w:rPr>
        <w:t xml:space="preserve">ارائه“ </w:t>
      </w:r>
      <w:r>
        <w:rPr>
          <w:rtl w:val="true"/>
        </w:rPr>
        <w:t>در اين استاندارد، براي تمام داراييهاي غيرجاري و تمام مجموعه‌هاي واحد بکار مي‌رود، اما الزامات ”</w:t>
      </w:r>
      <w:r>
        <w:rPr>
          <w:rFonts w:hint="cs" w:cs="Times New Roman"/>
          <w:rtl w:val="true"/>
        </w:rPr>
        <w:t> </w:t>
      </w:r>
      <w:r>
        <w:rPr>
          <w:rFonts w:hint="cs"/>
          <w:rtl w:val="true"/>
        </w:rPr>
        <w:t>اندازه‌گيري“</w:t>
      </w:r>
      <w:r>
        <w:rPr>
          <w:rtl w:val="true"/>
        </w:rPr>
        <w:t xml:space="preserve"> در اين استاندارد براي تمام داراييهاي غيرجاري و مجموعه‌هاي واحد </w:t>
      </w:r>
      <w:r>
        <w:rPr>
          <w:rtl w:val="true"/>
        </w:rPr>
        <w:t>(</w:t>
      </w:r>
      <w:r>
        <w:rPr>
          <w:rtl w:val="true"/>
        </w:rPr>
        <w:t>به</w:t>
      </w:r>
      <w:r>
        <w:rPr>
          <w:rFonts w:cs="Times New Roman"/>
          <w:rtl w:val="true"/>
        </w:rPr>
        <w:t> </w:t>
      </w:r>
      <w:r>
        <w:rPr>
          <w:rtl w:val="true"/>
        </w:rPr>
        <w:t xml:space="preserve">شرح بند </w:t>
      </w:r>
      <w:r>
        <w:rPr/>
        <w:t>4</w:t>
      </w:r>
      <w:r>
        <w:rPr>
          <w:rtl w:val="true"/>
        </w:rPr>
        <w:t>)</w:t>
      </w:r>
      <w:r>
        <w:rPr>
          <w:rtl w:val="true"/>
        </w:rPr>
        <w:t>، به</w:t>
      </w:r>
      <w:r>
        <w:rPr>
          <w:rFonts w:hint="cs" w:cs="Times New Roman"/>
          <w:rtl w:val="true"/>
        </w:rPr>
        <w:t> </w:t>
      </w:r>
      <w:r>
        <w:rPr>
          <w:rtl w:val="true"/>
        </w:rPr>
        <w:t>استثناي</w:t>
      </w:r>
      <w:r>
        <w:rPr>
          <w:rFonts w:hint="cs"/>
          <w:rtl w:val="true"/>
        </w:rPr>
        <w:t xml:space="preserve"> داراييهاي ذکر شده در بند </w:t>
      </w:r>
      <w:r>
        <w:rPr>
          <w:rFonts w:hint="cs"/>
        </w:rPr>
        <w:t>5</w:t>
      </w:r>
      <w:r>
        <w:rPr>
          <w:rFonts w:hint="cs"/>
          <w:rtl w:val="true"/>
        </w:rPr>
        <w:t xml:space="preserve"> </w:t>
      </w:r>
      <w:r>
        <w:rPr>
          <w:rFonts w:hint="cs"/>
          <w:rtl w:val="true"/>
        </w:rPr>
        <w:t>که طبق است</w:t>
      </w:r>
      <w:r>
        <w:rPr>
          <w:rtl w:val="true"/>
        </w:rPr>
        <w:t>اندارد مربوط اندازه‌گيري مي‌شود، کاربرد دارد</w:t>
      </w:r>
      <w:r>
        <w:rPr>
          <w:rtl w:val="true"/>
        </w:rPr>
        <w:t>.</w:t>
      </w:r>
    </w:p>
    <w:p>
      <w:pPr>
        <w:pStyle w:val="1Lotus1"/>
        <w:ind w:end="0"/>
        <w:jc w:val="both"/>
        <w:rPr/>
      </w:pPr>
      <w:r>
        <w:rPr/>
        <w:t>3</w:t>
      </w:r>
      <w:r>
        <w:rPr>
          <w:rtl w:val="true"/>
        </w:rPr>
        <w:t xml:space="preserve">  .</w:t>
        <w:tab/>
      </w:r>
      <w:r>
        <w:rPr>
          <w:rtl w:val="true"/>
        </w:rPr>
        <w:t xml:space="preserve">داراييهايي که طبق استاندارد حسابداري شماره </w:t>
      </w:r>
      <w:r>
        <w:rPr/>
        <w:t>14</w:t>
      </w:r>
      <w:r>
        <w:rPr>
          <w:rtl w:val="true"/>
        </w:rPr>
        <w:t xml:space="preserve"> </w:t>
      </w:r>
      <w:r>
        <w:rPr>
          <w:rtl w:val="true"/>
        </w:rPr>
        <w:t>با</w:t>
      </w:r>
      <w:r>
        <w:rPr>
          <w:rFonts w:hint="cs" w:cs="Times New Roman"/>
          <w:rtl w:val="true"/>
        </w:rPr>
        <w:t> </w:t>
      </w:r>
      <w:r>
        <w:rPr>
          <w:rtl w:val="true"/>
        </w:rPr>
        <w:t xml:space="preserve">عنوان </w:t>
      </w:r>
      <w:r>
        <w:rPr>
          <w:rStyle w:val="D-TrafficVasat"/>
          <w:rtl w:val="true"/>
        </w:rPr>
        <w:t>نحوه ارائه داراييهاي جاري و بدهيهاي جاري</w:t>
      </w:r>
      <w:r>
        <w:rPr>
          <w:sz w:val="20"/>
          <w:szCs w:val="22"/>
          <w:rtl w:val="true"/>
        </w:rPr>
        <w:t xml:space="preserve"> </w:t>
      </w:r>
      <w:r>
        <w:rPr>
          <w:rtl w:val="true"/>
        </w:rPr>
        <w:t>به</w:t>
      </w:r>
      <w:r>
        <w:rPr>
          <w:rFonts w:cs="Times New Roman"/>
          <w:rtl w:val="true"/>
        </w:rPr>
        <w:t> </w:t>
      </w:r>
      <w:r>
        <w:rPr>
          <w:rtl w:val="true"/>
        </w:rPr>
        <w:t>عنوان غيرجاري طبقه‌بندي مي‌شوند، نبايد مجدداً به</w:t>
      </w:r>
      <w:r>
        <w:rPr>
          <w:rFonts w:cs="Times New Roman"/>
          <w:rtl w:val="true"/>
        </w:rPr>
        <w:t> </w:t>
      </w:r>
      <w:r>
        <w:rPr>
          <w:rtl w:val="true"/>
        </w:rPr>
        <w:t>عنوان داراييهاي جاري طبقه‌بندي شوند مگر اينکه معيارهاي طبقه‌بندي به</w:t>
      </w:r>
      <w:r>
        <w:rPr>
          <w:rFonts w:cs="Times New Roman"/>
          <w:rtl w:val="true"/>
        </w:rPr>
        <w:t> </w:t>
      </w:r>
      <w:r>
        <w:rPr>
          <w:rtl w:val="true"/>
        </w:rPr>
        <w:t>عنوان نگهداري شده براي فروش طبق اين استاندارد را احراز نمايند</w:t>
      </w:r>
      <w:r>
        <w:rPr>
          <w:rtl w:val="true"/>
        </w:rPr>
        <w:t xml:space="preserve">. </w:t>
      </w:r>
      <w:r>
        <w:rPr>
          <w:rtl w:val="true"/>
        </w:rPr>
        <w:t>داراييهايي از يک طبقه که واحد تجاري در روال عادي</w:t>
      </w:r>
      <w:r>
        <w:rPr>
          <w:rFonts w:hint="cs"/>
          <w:rtl w:val="true"/>
        </w:rPr>
        <w:t xml:space="preserve"> </w:t>
      </w:r>
      <w:r>
        <w:rPr>
          <w:rtl w:val="true"/>
        </w:rPr>
        <w:t>به</w:t>
      </w:r>
      <w:r>
        <w:rPr>
          <w:rFonts w:cs="Times New Roman"/>
          <w:rtl w:val="true"/>
        </w:rPr>
        <w:t> </w:t>
      </w:r>
      <w:r>
        <w:rPr>
          <w:rtl w:val="true"/>
        </w:rPr>
        <w:t>عنوان غيرجاري تلقي مي‌کند و صرفاً به قصد فروش مجدد تحصيل شده‌اند نبايد به‌عنوان جاري طبقه‌بندي شوند مگر اينکه معيارهاي طبقه‌بندي به</w:t>
      </w:r>
      <w:r>
        <w:rPr>
          <w:rFonts w:cs="Times New Roman"/>
          <w:rtl w:val="true"/>
        </w:rPr>
        <w:t> </w:t>
      </w:r>
      <w:r>
        <w:rPr>
          <w:rtl w:val="true"/>
        </w:rPr>
        <w:t>عنوان نگهداري شده براي فروش طبق اين استاندارد را احراز نمايند</w:t>
      </w:r>
      <w:r>
        <w:rPr>
          <w:rtl w:val="true"/>
        </w:rPr>
        <w:t>.</w:t>
      </w:r>
    </w:p>
    <w:p>
      <w:pPr>
        <w:pStyle w:val="1Lotus1"/>
        <w:ind w:end="0"/>
        <w:jc w:val="both"/>
        <w:rPr>
          <w:spacing w:val="-2"/>
        </w:rPr>
      </w:pPr>
      <w:r>
        <w:rPr/>
        <w:t>4</w:t>
      </w:r>
      <w:r>
        <w:rPr>
          <w:rtl w:val="true"/>
        </w:rPr>
        <w:t xml:space="preserve"> .</w:t>
        <w:tab/>
      </w:r>
      <w:r>
        <w:rPr>
          <w:rtl w:val="true"/>
        </w:rPr>
        <w:t>در برخي موارد واحد تجاري گروهي از داراييها و بدهيهاي وابسته به آن را به</w:t>
      </w:r>
      <w:r>
        <w:rPr>
          <w:rFonts w:cs="Times New Roman"/>
          <w:rtl w:val="true"/>
        </w:rPr>
        <w:t> </w:t>
      </w:r>
      <w:r>
        <w:rPr>
          <w:rtl w:val="true"/>
        </w:rPr>
        <w:t>عنوان يک مجموعه واحد واگذار يا برکنار مي‌کند</w:t>
      </w:r>
      <w:r>
        <w:rPr>
          <w:rtl w:val="true"/>
        </w:rPr>
        <w:t xml:space="preserve">. </w:t>
      </w:r>
      <w:r>
        <w:rPr>
          <w:rtl w:val="true"/>
        </w:rPr>
        <w:t xml:space="preserve">چنين مجموعه واحدي، ممکن است يک گروه از </w:t>
      </w:r>
      <w:r>
        <w:rPr>
          <w:spacing w:val="-2"/>
          <w:rtl w:val="true"/>
        </w:rPr>
        <w:t>واحدهاي مول</w:t>
      </w:r>
      <w:r>
        <w:rPr>
          <w:rFonts w:hint="cs"/>
          <w:spacing w:val="-2"/>
          <w:rtl w:val="true"/>
        </w:rPr>
        <w:t>ـ</w:t>
      </w:r>
      <w:r>
        <w:rPr>
          <w:spacing w:val="-2"/>
          <w:rtl w:val="true"/>
        </w:rPr>
        <w:t>د وجه نقد، يک واحد مولد وجه نقد، يا قسمتي از واحد مولد وجه نقد باشد</w:t>
      </w:r>
      <w:r>
        <w:rPr>
          <w:spacing w:val="-2"/>
          <w:rtl w:val="true"/>
        </w:rPr>
        <w:t xml:space="preserve">. </w:t>
      </w:r>
      <w:r>
        <w:rPr>
          <w:spacing w:val="-2"/>
          <w:rtl w:val="true"/>
        </w:rPr>
        <w:t>اين مجموعه مي‌تواند در برگيرنده هر گونه دارايي و بدهي واحد</w:t>
      </w:r>
      <w:r>
        <w:rPr>
          <w:rFonts w:hint="cs"/>
          <w:spacing w:val="-2"/>
          <w:rtl w:val="true"/>
        </w:rPr>
        <w:t xml:space="preserve"> تجاري</w:t>
      </w:r>
      <w:r>
        <w:rPr>
          <w:spacing w:val="-2"/>
          <w:rtl w:val="true"/>
        </w:rPr>
        <w:t xml:space="preserve"> باشد</w:t>
      </w:r>
      <w:r>
        <w:rPr>
          <w:spacing w:val="-2"/>
          <w:rtl w:val="true"/>
        </w:rPr>
        <w:t xml:space="preserve">. </w:t>
      </w:r>
      <w:r>
        <w:rPr>
          <w:spacing w:val="-2"/>
          <w:rtl w:val="true"/>
        </w:rPr>
        <w:t>اگر يک دارايي غيرجاري به</w:t>
      </w:r>
      <w:r>
        <w:rPr>
          <w:rFonts w:cs="Times New Roman"/>
          <w:spacing w:val="-2"/>
          <w:rtl w:val="true"/>
        </w:rPr>
        <w:t> </w:t>
      </w:r>
      <w:r>
        <w:rPr>
          <w:spacing w:val="-2"/>
          <w:rtl w:val="true"/>
        </w:rPr>
        <w:t>عنوان قسمتي از يک مجموعه‌ واحد، در دامنه الزامات اندازه‌گيري اين استاندارد قرار گيرد، الزامات اندازه‌گيري اين استاندارد براي کل مجموعه بکار مي‌رود به‌ گونه‌اي که اين مجموعه به اقل مبلغ دفتري وخالص ارزش فروش اندازه‌گيري مي‌شود</w:t>
      </w:r>
      <w:r>
        <w:rPr>
          <w:spacing w:val="-2"/>
          <w:rtl w:val="true"/>
        </w:rPr>
        <w:t xml:space="preserve">. </w:t>
      </w:r>
      <w:r>
        <w:rPr>
          <w:spacing w:val="-2"/>
          <w:rtl w:val="true"/>
        </w:rPr>
        <w:t>الزامات اندازه‌گيري داراييها و بدهيهاي منفرد در مجموعه‌ واحد، در</w:t>
      </w:r>
      <w:r>
        <w:rPr>
          <w:spacing w:val="-2"/>
          <w:rtl w:val="true"/>
        </w:rPr>
        <w:t> </w:t>
      </w:r>
      <w:r>
        <w:rPr>
          <w:spacing w:val="-2"/>
          <w:rtl w:val="true"/>
        </w:rPr>
        <w:t xml:space="preserve">بندهاي </w:t>
      </w:r>
      <w:r>
        <w:rPr>
          <w:spacing w:val="-2"/>
        </w:rPr>
        <w:t>19</w:t>
      </w:r>
      <w:r>
        <w:rPr>
          <w:spacing w:val="-2"/>
          <w:rtl w:val="true"/>
        </w:rPr>
        <w:t xml:space="preserve">، </w:t>
      </w:r>
      <w:r>
        <w:rPr>
          <w:spacing w:val="-2"/>
        </w:rPr>
        <w:t>20</w:t>
      </w:r>
      <w:r>
        <w:rPr>
          <w:spacing w:val="-2"/>
          <w:rtl w:val="true"/>
        </w:rPr>
        <w:t xml:space="preserve"> </w:t>
      </w:r>
      <w:r>
        <w:rPr>
          <w:spacing w:val="-2"/>
          <w:rtl w:val="true"/>
        </w:rPr>
        <w:t xml:space="preserve">و </w:t>
      </w:r>
      <w:r>
        <w:rPr>
          <w:spacing w:val="-2"/>
        </w:rPr>
        <w:t>24</w:t>
      </w:r>
      <w:r>
        <w:rPr>
          <w:spacing w:val="-2"/>
          <w:rtl w:val="true"/>
        </w:rPr>
        <w:t xml:space="preserve"> </w:t>
      </w:r>
      <w:r>
        <w:rPr>
          <w:spacing w:val="-2"/>
          <w:rtl w:val="true"/>
        </w:rPr>
        <w:t>بيان شده است</w:t>
      </w:r>
      <w:r>
        <w:rPr>
          <w:spacing w:val="-2"/>
          <w:rtl w:val="true"/>
        </w:rPr>
        <w:t>.</w:t>
      </w:r>
    </w:p>
    <w:p>
      <w:pPr>
        <w:pStyle w:val="1LotusZirAlef1"/>
        <w:ind w:end="0"/>
        <w:jc w:val="both"/>
        <w:rPr>
          <w:b/>
        </w:rPr>
      </w:pPr>
      <w:r>
        <w:rPr/>
        <w:t>5</w:t>
      </w:r>
      <w:r>
        <w:rPr>
          <w:rtl w:val="true"/>
        </w:rPr>
        <w:t xml:space="preserve">  .</w:t>
        <w:tab/>
      </w:r>
      <w:r>
        <w:rPr>
          <w:rtl w:val="true"/>
        </w:rPr>
        <w:t>الزامات اندازه‌گيري اين استاندارد در مورد داراييها</w:t>
      </w:r>
      <w:r>
        <w:rPr>
          <w:rFonts w:hint="cs"/>
          <w:rtl w:val="true"/>
        </w:rPr>
        <w:t xml:space="preserve"> و بدهيهاي</w:t>
      </w:r>
      <w:r>
        <w:rPr>
          <w:rtl w:val="true"/>
        </w:rPr>
        <w:t xml:space="preserve"> زير</w:t>
      </w:r>
      <w:r>
        <w:rPr>
          <w:rFonts w:hint="cs"/>
          <w:rtl w:val="true"/>
        </w:rPr>
        <w:t xml:space="preserve"> </w:t>
      </w:r>
      <w:r>
        <w:rPr>
          <w:rtl w:val="true"/>
        </w:rPr>
        <w:t>کاربرد ندارد</w:t>
      </w:r>
      <w:r>
        <w:rPr>
          <w:rtl w:val="true"/>
        </w:rPr>
        <w:t>:</w:t>
      </w:r>
    </w:p>
    <w:p>
      <w:pPr>
        <w:pStyle w:val="1LotusAlef2"/>
        <w:ind w:end="0"/>
        <w:jc w:val="both"/>
        <w:rPr>
          <w:rFonts w:hint="cs"/>
        </w:rPr>
      </w:pPr>
      <w:r>
        <w:rPr>
          <w:rtl w:val="true"/>
        </w:rPr>
        <w:t>الف</w:t>
      </w:r>
      <w:r>
        <w:rPr>
          <w:rtl w:val="true"/>
        </w:rPr>
        <w:t>.</w:t>
        <w:tab/>
      </w:r>
      <w:r>
        <w:rPr>
          <w:rtl w:val="true"/>
        </w:rPr>
        <w:t>سرمايه‌گذاري</w:t>
      </w:r>
      <w:r>
        <w:rPr>
          <w:rFonts w:hint="cs"/>
          <w:rtl w:val="true"/>
        </w:rPr>
        <w:t>هاي</w:t>
      </w:r>
      <w:r>
        <w:rPr>
          <w:rtl w:val="true"/>
        </w:rPr>
        <w:t xml:space="preserve"> </w:t>
      </w:r>
      <w:r>
        <w:rPr>
          <w:rFonts w:hint="cs"/>
          <w:rtl w:val="true"/>
        </w:rPr>
        <w:t>بلند</w:t>
      </w:r>
      <w:r>
        <w:rPr>
          <w:rFonts w:hint="cs" w:cs="Times New Roman"/>
          <w:rtl w:val="true"/>
        </w:rPr>
        <w:t> </w:t>
      </w:r>
      <w:r>
        <w:rPr>
          <w:rFonts w:hint="cs"/>
          <w:rtl w:val="true"/>
        </w:rPr>
        <w:t>مدتي</w:t>
      </w:r>
      <w:r>
        <w:rPr>
          <w:rtl w:val="true"/>
        </w:rPr>
        <w:t xml:space="preserve"> که به روش </w:t>
      </w:r>
      <w:r>
        <w:rPr>
          <w:rFonts w:hint="cs"/>
          <w:rtl w:val="true"/>
        </w:rPr>
        <w:t xml:space="preserve">تجديد ارزيابي </w:t>
      </w:r>
      <w:r>
        <w:rPr>
          <w:rtl w:val="true"/>
        </w:rPr>
        <w:t>اندازه‌گيري مي‌شود</w:t>
      </w:r>
      <w:r>
        <w:rPr>
          <w:rFonts w:hint="cs"/>
          <w:rtl w:val="true"/>
        </w:rPr>
        <w:t>.</w:t>
      </w:r>
    </w:p>
    <w:p>
      <w:pPr>
        <w:pStyle w:val="1LotusAlef2"/>
        <w:ind w:end="0"/>
        <w:jc w:val="both"/>
        <w:rPr>
          <w:rFonts w:hint="cs"/>
        </w:rPr>
      </w:pPr>
      <w:r>
        <w:rPr>
          <w:rFonts w:hint="cs"/>
          <w:rtl w:val="true"/>
        </w:rPr>
        <w:t>ب</w:t>
      </w:r>
      <w:r>
        <w:rPr>
          <w:rtl w:val="true"/>
        </w:rPr>
        <w:tab/>
      </w:r>
      <w:r>
        <w:rPr>
          <w:rFonts w:hint="cs"/>
          <w:rtl w:val="true"/>
        </w:rPr>
        <w:t>.</w:t>
      </w:r>
      <w:r>
        <w:rPr>
          <w:rtl w:val="true"/>
        </w:rPr>
        <w:tab/>
      </w:r>
      <w:r>
        <w:rPr>
          <w:rFonts w:hint="cs"/>
          <w:rtl w:val="true"/>
        </w:rPr>
        <w:t>داراييهاي جاري و بدهيهايي كه جزئي از يك مجموعه واحد نگهداري شده براي فروش است</w:t>
      </w:r>
      <w:r>
        <w:rPr>
          <w:rFonts w:hint="cs"/>
          <w:rtl w:val="true"/>
        </w:rPr>
        <w:t>.</w:t>
      </w:r>
    </w:p>
    <w:p>
      <w:pPr>
        <w:pStyle w:val="Heading1"/>
        <w:spacing w:before="120" w:after="0"/>
        <w:ind w:end="0"/>
        <w:jc w:val="start"/>
        <w:rPr/>
      </w:pPr>
      <w:r>
        <w:rPr>
          <w:rtl w:val="true"/>
        </w:rPr>
        <w:t>تعاريف</w:t>
      </w:r>
    </w:p>
    <w:p>
      <w:pPr>
        <w:pStyle w:val="1TrafficZirAlef1"/>
        <w:ind w:end="0"/>
        <w:jc w:val="both"/>
        <w:rPr/>
      </w:pPr>
      <w:r>
        <w:rPr/>
        <w:t>6</w:t>
      </w:r>
      <w:r>
        <w:rPr>
          <w:rtl w:val="true"/>
        </w:rPr>
        <w:t xml:space="preserve">    .</w:t>
        <w:tab/>
      </w:r>
      <w:r>
        <w:rPr>
          <w:rtl w:val="true"/>
        </w:rPr>
        <w:t>اصطلاحات ذيل در اين استاندارد با معاني مشخص زير بکار رفته است</w:t>
      </w:r>
      <w:r>
        <w:rPr>
          <w:rtl w:val="true"/>
        </w:rPr>
        <w:t>:</w:t>
      </w:r>
    </w:p>
    <w:p>
      <w:pPr>
        <w:pStyle w:val="1TrafficBulletFa8"/>
        <w:numPr>
          <w:ilvl w:val="0"/>
          <w:numId w:val="17"/>
        </w:numPr>
        <w:ind w:end="0"/>
        <w:jc w:val="both"/>
        <w:rPr/>
      </w:pPr>
      <w:r>
        <w:rPr>
          <w:rtl w:val="true"/>
        </w:rPr>
        <w:t>يک بخش از واحد تجاري</w:t>
      </w:r>
      <w:r>
        <w:rPr>
          <w:rFonts w:hint="cs" w:cs="Times New Roman"/>
          <w:rtl w:val="true"/>
        </w:rPr>
        <w:t> </w:t>
      </w:r>
      <w:r>
        <w:rPr>
          <w:rtl w:val="true"/>
        </w:rPr>
        <w:t xml:space="preserve">: </w:t>
      </w:r>
      <w:r>
        <w:rPr>
          <w:rtl w:val="true"/>
        </w:rPr>
        <w:t>جزئي از عمليات و جريانهاي نقدي واحد تجاري است که از</w:t>
      </w:r>
      <w:r>
        <w:rPr>
          <w:rFonts w:hint="cs" w:cs="Times New Roman"/>
          <w:rtl w:val="true"/>
        </w:rPr>
        <w:t> </w:t>
      </w:r>
      <w:r>
        <w:rPr>
          <w:rtl w:val="true"/>
        </w:rPr>
        <w:t>لحاظ عملياتي و اهداف گزارشگري مالي، به</w:t>
      </w:r>
      <w:r>
        <w:rPr>
          <w:rFonts w:cs="Times New Roman"/>
          <w:rtl w:val="true"/>
        </w:rPr>
        <w:t> </w:t>
      </w:r>
      <w:r>
        <w:rPr>
          <w:rtl w:val="true"/>
        </w:rPr>
        <w:t>وضوح از ساير فعاليتهاي واحد تجاري متمايز باشد</w:t>
      </w:r>
      <w:r>
        <w:rPr>
          <w:rtl w:val="true"/>
        </w:rPr>
        <w:t>.</w:t>
      </w:r>
    </w:p>
    <w:p>
      <w:pPr>
        <w:pStyle w:val="1TrafficBulletFa8"/>
        <w:numPr>
          <w:ilvl w:val="0"/>
          <w:numId w:val="17"/>
        </w:numPr>
        <w:ind w:end="0"/>
        <w:jc w:val="both"/>
        <w:rPr/>
      </w:pPr>
      <w:r>
        <w:rPr>
          <w:rtl w:val="true"/>
        </w:rPr>
        <w:t xml:space="preserve">واحد مولد </w:t>
      </w:r>
      <w:r>
        <w:rPr>
          <w:rFonts w:hint="cs"/>
          <w:rtl w:val="true"/>
        </w:rPr>
        <w:t>وجه</w:t>
      </w:r>
      <w:r>
        <w:rPr>
          <w:rFonts w:hint="cs" w:cs="Times New Roman"/>
          <w:rtl w:val="true"/>
        </w:rPr>
        <w:t> </w:t>
      </w:r>
      <w:r>
        <w:rPr>
          <w:rFonts w:hint="cs"/>
          <w:rtl w:val="true"/>
        </w:rPr>
        <w:t>نقد</w:t>
      </w:r>
      <w:r>
        <w:rPr>
          <w:rFonts w:hint="cs" w:cs="Times New Roman"/>
          <w:rtl w:val="true"/>
        </w:rPr>
        <w:t> </w:t>
      </w:r>
      <w:r>
        <w:rPr>
          <w:rtl w:val="true"/>
        </w:rPr>
        <w:t xml:space="preserve">: </w:t>
      </w:r>
      <w:r>
        <w:rPr>
          <w:rtl w:val="true"/>
        </w:rPr>
        <w:t>کوچکترين مجموعه داراييهاي قابل شناسايي ايجادکننده جريان ورودي وجه نقدي که به ميزان عمده‌اي مستقل از جريانهاي ورودي وجه نقد ساير داراييها يا مجموعه‌اي از دارايـيها مي‌باشد</w:t>
      </w:r>
      <w:r>
        <w:rPr>
          <w:rtl w:val="true"/>
        </w:rPr>
        <w:t>.</w:t>
      </w:r>
    </w:p>
    <w:p>
      <w:pPr>
        <w:pStyle w:val="1TrafficBulletFa8"/>
        <w:numPr>
          <w:ilvl w:val="0"/>
          <w:numId w:val="17"/>
        </w:numPr>
        <w:ind w:end="0"/>
        <w:jc w:val="both"/>
        <w:rPr/>
      </w:pPr>
      <w:r>
        <w:rPr>
          <w:rtl w:val="true"/>
        </w:rPr>
        <w:t>مخارج فروش</w:t>
      </w:r>
      <w:r>
        <w:rPr>
          <w:rFonts w:hint="cs" w:cs="Times New Roman"/>
          <w:rtl w:val="true"/>
        </w:rPr>
        <w:t> </w:t>
      </w:r>
      <w:r>
        <w:rPr>
          <w:rtl w:val="true"/>
        </w:rPr>
        <w:t xml:space="preserve">: </w:t>
      </w:r>
      <w:r>
        <w:rPr>
          <w:rtl w:val="true"/>
        </w:rPr>
        <w:t>مخارج تبعي که به</w:t>
      </w:r>
      <w:r>
        <w:rPr>
          <w:rFonts w:hint="cs" w:cs="Times New Roman"/>
          <w:rtl w:val="true"/>
        </w:rPr>
        <w:t> </w:t>
      </w:r>
      <w:r>
        <w:rPr>
          <w:rtl w:val="true"/>
        </w:rPr>
        <w:t xml:space="preserve">طور مستقيم در رابطه با فروش دارايي </w:t>
      </w:r>
      <w:r>
        <w:rPr>
          <w:rtl w:val="true"/>
        </w:rPr>
        <w:t>(</w:t>
      </w:r>
      <w:r>
        <w:rPr>
          <w:rtl w:val="true"/>
        </w:rPr>
        <w:t>يا مجموعه‌ واحد</w:t>
      </w:r>
      <w:r>
        <w:rPr>
          <w:rtl w:val="true"/>
        </w:rPr>
        <w:t>)</w:t>
      </w:r>
      <w:r>
        <w:rPr>
          <w:rtl w:val="true"/>
        </w:rPr>
        <w:t>، به</w:t>
      </w:r>
      <w:r>
        <w:rPr>
          <w:rFonts w:hint="cs" w:cs="Times New Roman"/>
          <w:rtl w:val="true"/>
        </w:rPr>
        <w:t> </w:t>
      </w:r>
      <w:r>
        <w:rPr>
          <w:rtl w:val="true"/>
        </w:rPr>
        <w:t>استثناي مخارج تأمين مالي، واقع مي‌شود</w:t>
      </w:r>
      <w:r>
        <w:rPr>
          <w:rtl w:val="true"/>
        </w:rPr>
        <w:t>.</w:t>
      </w:r>
    </w:p>
    <w:p>
      <w:pPr>
        <w:pStyle w:val="1TrafficBulletFa8"/>
        <w:numPr>
          <w:ilvl w:val="0"/>
          <w:numId w:val="17"/>
        </w:numPr>
        <w:ind w:end="0"/>
        <w:jc w:val="both"/>
        <w:rPr/>
      </w:pPr>
      <w:r>
        <w:rPr>
          <w:rtl w:val="true"/>
        </w:rPr>
        <w:t xml:space="preserve">دارايي جاري </w:t>
      </w:r>
      <w:r>
        <w:rPr>
          <w:rtl w:val="true"/>
        </w:rPr>
        <w:t xml:space="preserve">: </w:t>
      </w:r>
      <w:r>
        <w:rPr>
          <w:rtl w:val="true"/>
        </w:rPr>
        <w:t>يک دارايي زماني به</w:t>
      </w:r>
      <w:r>
        <w:rPr>
          <w:rFonts w:hint="cs"/>
          <w:rtl w:val="true"/>
        </w:rPr>
        <w:t> </w:t>
      </w:r>
      <w:r>
        <w:rPr>
          <w:rtl w:val="true"/>
        </w:rPr>
        <w:t xml:space="preserve">عنوان دارايي جاري طبقه‌بندي مي‌شود که </w:t>
      </w:r>
      <w:r>
        <w:rPr>
          <w:rtl w:val="true"/>
        </w:rPr>
        <w:t>:</w:t>
      </w:r>
    </w:p>
    <w:p>
      <w:pPr>
        <w:pStyle w:val="1TrafficBulletAlef1"/>
        <w:ind w:end="0"/>
        <w:jc w:val="both"/>
        <w:rPr/>
      </w:pPr>
      <w:r>
        <w:rPr>
          <w:rtl w:val="true"/>
        </w:rPr>
        <w:t>الف</w:t>
      </w:r>
      <w:r>
        <w:rPr>
          <w:rFonts w:hint="cs"/>
          <w:rtl w:val="true"/>
        </w:rPr>
        <w:t xml:space="preserve"> </w:t>
      </w:r>
      <w:r>
        <w:rPr>
          <w:rtl w:val="true"/>
        </w:rPr>
        <w:t>.</w:t>
        <w:tab/>
      </w:r>
      <w:r>
        <w:rPr>
          <w:rtl w:val="true"/>
        </w:rPr>
        <w:t>انتظار رود طي چرخه عملياتي معمول واحد تجاري يا ظرف يکسال از تاريخ ترازنامه، هر</w:t>
      </w:r>
      <w:r>
        <w:rPr>
          <w:rFonts w:cs="Times New Roman"/>
          <w:rtl w:val="true"/>
        </w:rPr>
        <w:t> </w:t>
      </w:r>
      <w:r>
        <w:rPr>
          <w:rtl w:val="true"/>
        </w:rPr>
        <w:t xml:space="preserve">کدام طولاني‌تر است، مصرف يا فروخته شود، يا به وجه نقد يا دارايي ديگري که نقد شدن آن قريب به يقين است، تبديل شود، يا </w:t>
      </w:r>
    </w:p>
    <w:p>
      <w:pPr>
        <w:pStyle w:val="1TrafficBulletAlef1"/>
        <w:ind w:end="0"/>
        <w:jc w:val="both"/>
        <w:rPr>
          <w:rFonts w:cs="Traffic;Courier New"/>
        </w:rPr>
      </w:pPr>
      <w:r>
        <w:rPr>
          <w:rFonts w:cs="Traffic;Courier New"/>
          <w:rtl w:val="true"/>
        </w:rPr>
        <w:t xml:space="preserve">ب  </w:t>
      </w:r>
      <w:r>
        <w:rPr>
          <w:rFonts w:cs="Traffic;Courier New"/>
          <w:rtl w:val="true"/>
        </w:rPr>
        <w:t>.</w:t>
        <w:tab/>
      </w:r>
      <w:r>
        <w:rPr>
          <w:rFonts w:cs="Traffic;Courier New"/>
          <w:rtl w:val="true"/>
        </w:rPr>
        <w:t>وجه نقد يا معادل وجه نقدي باشد که استفاده از آن محدود نشده است</w:t>
      </w:r>
      <w:r>
        <w:rPr>
          <w:rFonts w:cs="Traffic;Courier New"/>
          <w:rtl w:val="true"/>
        </w:rPr>
        <w:t>.</w:t>
      </w:r>
    </w:p>
    <w:p>
      <w:pPr>
        <w:pStyle w:val="Fa41"/>
        <w:ind w:end="0"/>
        <w:jc w:val="both"/>
        <w:rPr/>
      </w:pPr>
      <w:r>
        <w:rPr>
          <w:rFonts w:cs="Traffic;Courier New"/>
          <w:rtl w:val="true"/>
        </w:rPr>
      </w:r>
    </w:p>
    <w:p>
      <w:pPr>
        <w:pStyle w:val="1TrafficBulletFa8"/>
        <w:numPr>
          <w:ilvl w:val="0"/>
          <w:numId w:val="17"/>
        </w:numPr>
        <w:ind w:end="0"/>
        <w:jc w:val="both"/>
        <w:rPr/>
      </w:pPr>
      <w:r>
        <w:rPr>
          <w:rFonts w:hint="cs"/>
          <w:rtl w:val="true"/>
        </w:rPr>
        <w:t>م</w:t>
      </w:r>
      <w:r>
        <w:rPr>
          <w:rtl w:val="true"/>
        </w:rPr>
        <w:t xml:space="preserve">جموعه‌ واحد </w:t>
      </w:r>
      <w:r>
        <w:rPr>
          <w:rtl w:val="true"/>
        </w:rPr>
        <w:t xml:space="preserve">: </w:t>
      </w:r>
      <w:r>
        <w:rPr>
          <w:rtl w:val="true"/>
        </w:rPr>
        <w:t>گروهي از دارايـيها و بدهيهاي وابسته به آن که به عنوان يک مجموعه واحد واگذار يا برکنار خواهد شد</w:t>
      </w:r>
      <w:r>
        <w:rPr>
          <w:rtl w:val="true"/>
        </w:rPr>
        <w:t>.</w:t>
      </w:r>
    </w:p>
    <w:p>
      <w:pPr>
        <w:pStyle w:val="1TrafficBulletFa8"/>
        <w:numPr>
          <w:ilvl w:val="0"/>
          <w:numId w:val="17"/>
        </w:numPr>
        <w:spacing w:before="0" w:after="60"/>
        <w:ind w:end="0"/>
        <w:jc w:val="both"/>
        <w:rPr/>
      </w:pPr>
      <w:r>
        <w:rPr>
          <w:rtl w:val="true"/>
        </w:rPr>
        <w:t xml:space="preserve">عمليات </w:t>
      </w:r>
      <w:r>
        <w:rPr>
          <w:rFonts w:hint="cs"/>
          <w:rtl w:val="true"/>
        </w:rPr>
        <w:t>متوقف</w:t>
      </w:r>
      <w:r>
        <w:rPr>
          <w:rFonts w:hint="cs" w:cs="Times New Roman"/>
          <w:rtl w:val="true"/>
        </w:rPr>
        <w:t> </w:t>
      </w:r>
      <w:r>
        <w:rPr>
          <w:rFonts w:hint="cs"/>
          <w:rtl w:val="true"/>
        </w:rPr>
        <w:t>شده</w:t>
      </w:r>
      <w:r>
        <w:rPr>
          <w:rFonts w:hint="eastAsia" w:cs="Times New Roman"/>
          <w:rtl w:val="true"/>
        </w:rPr>
        <w:t> </w:t>
      </w:r>
      <w:r>
        <w:rPr>
          <w:rtl w:val="true"/>
        </w:rPr>
        <w:t xml:space="preserve">: </w:t>
      </w:r>
      <w:r>
        <w:rPr>
          <w:rtl w:val="true"/>
        </w:rPr>
        <w:t>يک بخش از واحد تجاري است که واگذار یا برکنار شده  يا به عنوان نگهداري شده براي فروش طبقه‌بندي شده است، و</w:t>
      </w:r>
      <w:r>
        <w:rPr>
          <w:rFonts w:hint="cs"/>
          <w:rtl w:val="true"/>
        </w:rPr>
        <w:t xml:space="preserve"> </w:t>
      </w:r>
      <w:r>
        <w:rPr>
          <w:rFonts w:hint="cs"/>
          <w:rtl w:val="true"/>
        </w:rPr>
        <w:t>:</w:t>
      </w:r>
    </w:p>
    <w:p>
      <w:pPr>
        <w:pStyle w:val="1TrafficBulletAlef1"/>
        <w:ind w:end="0"/>
        <w:jc w:val="both"/>
        <w:rPr>
          <w:rFonts w:cs="Traffic;Courier New"/>
        </w:rPr>
      </w:pPr>
      <w:r>
        <w:rPr>
          <w:rFonts w:cs="Traffic;Courier New"/>
          <w:rtl w:val="true"/>
        </w:rPr>
        <w:t>الف</w:t>
      </w:r>
      <w:r>
        <w:rPr>
          <w:rFonts w:hint="cs" w:cs="Traffic;Courier New"/>
          <w:rtl w:val="true"/>
        </w:rPr>
        <w:t xml:space="preserve"> </w:t>
      </w:r>
      <w:r>
        <w:rPr>
          <w:rFonts w:cs="Traffic;Courier New"/>
          <w:rtl w:val="true"/>
        </w:rPr>
        <w:t>.</w:t>
        <w:tab/>
      </w:r>
      <w:r>
        <w:rPr>
          <w:rFonts w:cs="Traffic;Courier New"/>
          <w:rtl w:val="true"/>
        </w:rPr>
        <w:t>بيانگر يک فعاليت تجاري يا حوزه جغرافيايي عمده و جداگانه از عمليات است،</w:t>
      </w:r>
    </w:p>
    <w:p>
      <w:pPr>
        <w:pStyle w:val="1TrafficBulletAlef1"/>
        <w:ind w:end="0"/>
        <w:jc w:val="both"/>
        <w:rPr>
          <w:rFonts w:cs="Traffic;Courier New"/>
        </w:rPr>
      </w:pPr>
      <w:r>
        <w:rPr>
          <w:rFonts w:cs="Traffic;Courier New"/>
          <w:rtl w:val="true"/>
        </w:rPr>
        <w:t>ب</w:t>
      </w:r>
      <w:r>
        <w:rPr>
          <w:rFonts w:cs="Traffic;Courier New"/>
          <w:rtl w:val="true"/>
        </w:rPr>
        <w:tab/>
      </w:r>
      <w:r>
        <w:rPr>
          <w:rFonts w:cs="Traffic;Courier New"/>
          <w:rtl w:val="true"/>
        </w:rPr>
        <w:t xml:space="preserve"> .</w:t>
        <w:tab/>
      </w:r>
      <w:r>
        <w:rPr>
          <w:rFonts w:cs="Traffic;Courier New"/>
          <w:rtl w:val="true"/>
        </w:rPr>
        <w:t>قسمتي از يک برنامه هماهنگ براي واگذاري یا برکناری يک فعاليت تجاري يا حوزه جغرافيايي عمده و جداگانه از عمليات است، و يا</w:t>
      </w:r>
    </w:p>
    <w:p>
      <w:pPr>
        <w:pStyle w:val="1TrafficBulletAlef1"/>
        <w:ind w:end="0"/>
        <w:jc w:val="both"/>
        <w:rPr>
          <w:rFonts w:cs="Traffic;Courier New"/>
        </w:rPr>
      </w:pPr>
      <w:r>
        <w:rPr>
          <w:rFonts w:cs="Traffic;Courier New"/>
          <w:rtl w:val="true"/>
        </w:rPr>
        <w:t xml:space="preserve">ج </w:t>
      </w:r>
      <w:r>
        <w:rPr>
          <w:rFonts w:cs="Traffic;Courier New"/>
          <w:rtl w:val="true"/>
        </w:rPr>
        <w:tab/>
      </w:r>
      <w:r>
        <w:rPr>
          <w:rFonts w:cs="Traffic;Courier New"/>
          <w:rtl w:val="true"/>
        </w:rPr>
        <w:t>.</w:t>
        <w:tab/>
      </w:r>
      <w:r>
        <w:rPr>
          <w:rFonts w:cs="Traffic;Courier New"/>
          <w:rtl w:val="true"/>
        </w:rPr>
        <w:t>يک واحد فرعي است که صرفاً با قصد فروش مجدد خريداري شده است</w:t>
      </w:r>
      <w:r>
        <w:rPr>
          <w:rFonts w:cs="Traffic;Courier New"/>
          <w:rtl w:val="true"/>
        </w:rPr>
        <w:t>.</w:t>
      </w:r>
    </w:p>
    <w:p>
      <w:pPr>
        <w:pStyle w:val="Fa41"/>
        <w:ind w:end="0"/>
        <w:jc w:val="both"/>
        <w:rPr/>
      </w:pPr>
      <w:r>
        <w:rPr>
          <w:rFonts w:cs="Traffic;Courier New"/>
          <w:rtl w:val="true"/>
        </w:rPr>
      </w:r>
    </w:p>
    <w:p>
      <w:pPr>
        <w:pStyle w:val="1TrafficBulletFa8"/>
        <w:numPr>
          <w:ilvl w:val="0"/>
          <w:numId w:val="17"/>
        </w:numPr>
        <w:ind w:end="0"/>
        <w:jc w:val="both"/>
        <w:rPr/>
      </w:pPr>
      <w:r>
        <w:rPr>
          <w:rtl w:val="true"/>
        </w:rPr>
        <w:t xml:space="preserve">ارزش منصفانه </w:t>
      </w:r>
      <w:r>
        <w:rPr>
          <w:rtl w:val="true"/>
        </w:rPr>
        <w:t xml:space="preserve">: </w:t>
      </w:r>
      <w:r>
        <w:rPr>
          <w:rtl w:val="true"/>
        </w:rPr>
        <w:t>مبلغي است که خريداري مطلع و مايل و فروشنده‌اي مطلع و مايل مي‌توانند در معامله‌اي حقيقي و در شرايط عادي، يک دارايي را در ازاي مبلغ مزبور با يکديگر مبادله کنند</w:t>
      </w:r>
      <w:r>
        <w:rPr>
          <w:rtl w:val="true"/>
        </w:rPr>
        <w:t>.</w:t>
      </w:r>
    </w:p>
    <w:p>
      <w:pPr>
        <w:pStyle w:val="1TrafficBulletFa8"/>
        <w:numPr>
          <w:ilvl w:val="0"/>
          <w:numId w:val="17"/>
        </w:numPr>
        <w:ind w:end="0"/>
        <w:jc w:val="both"/>
        <w:rPr>
          <w:rFonts w:cs="Traffic;Courier New"/>
        </w:rPr>
      </w:pPr>
      <w:r>
        <w:rPr>
          <w:rFonts w:cs="Traffic;Courier New"/>
          <w:rtl w:val="true"/>
        </w:rPr>
        <w:t xml:space="preserve">خالص </w:t>
      </w:r>
      <w:r>
        <w:rPr>
          <w:rtl w:val="true"/>
        </w:rPr>
        <w:t>ارزش</w:t>
      </w:r>
      <w:r>
        <w:rPr>
          <w:rFonts w:cs="Traffic;Courier New"/>
          <w:rtl w:val="true"/>
        </w:rPr>
        <w:t xml:space="preserve"> فروش</w:t>
      </w:r>
      <w:r>
        <w:rPr>
          <w:rFonts w:hint="cs" w:cs="Times New Roman"/>
          <w:rtl w:val="true"/>
        </w:rPr>
        <w:t> </w:t>
      </w:r>
      <w:r>
        <w:rPr>
          <w:rFonts w:cs="Traffic;Courier New"/>
          <w:rtl w:val="true"/>
        </w:rPr>
        <w:t xml:space="preserve">: </w:t>
      </w:r>
      <w:r>
        <w:rPr>
          <w:rFonts w:cs="Traffic;Courier New"/>
          <w:rtl w:val="true"/>
        </w:rPr>
        <w:t>مبلغ وجه نقد يا معادل آن که از</w:t>
      </w:r>
      <w:r>
        <w:rPr>
          <w:rFonts w:hint="cs" w:cs="Times New Roman"/>
          <w:rtl w:val="true"/>
        </w:rPr>
        <w:t> </w:t>
      </w:r>
      <w:r>
        <w:rPr>
          <w:rFonts w:cs="Traffic;Courier New"/>
          <w:rtl w:val="true"/>
        </w:rPr>
        <w:t>طريق فروش دارايي در شرايط عادي و پس</w:t>
      </w:r>
      <w:r>
        <w:rPr>
          <w:rFonts w:cs="Times New Roman"/>
          <w:rtl w:val="true"/>
        </w:rPr>
        <w:t> </w:t>
      </w:r>
      <w:r>
        <w:rPr>
          <w:rFonts w:cs="Traffic;Courier New"/>
          <w:rtl w:val="true"/>
        </w:rPr>
        <w:t>از کسر کليه مخارج فروش حاصل مي‌شود</w:t>
      </w:r>
      <w:r>
        <w:rPr>
          <w:rFonts w:cs="Traffic;Courier New"/>
          <w:rtl w:val="true"/>
        </w:rPr>
        <w:t>.</w:t>
      </w:r>
    </w:p>
    <w:p>
      <w:pPr>
        <w:pStyle w:val="1TrafficBulletFa8"/>
        <w:numPr>
          <w:ilvl w:val="0"/>
          <w:numId w:val="17"/>
        </w:numPr>
        <w:ind w:end="0"/>
        <w:jc w:val="both"/>
        <w:rPr>
          <w:rFonts w:cs="Traffic;Courier New"/>
        </w:rPr>
      </w:pPr>
      <w:r>
        <w:rPr>
          <w:rFonts w:cs="Traffic;Courier New"/>
          <w:rtl w:val="true"/>
        </w:rPr>
        <w:t xml:space="preserve">مبلغ </w:t>
      </w:r>
      <w:r>
        <w:rPr>
          <w:rtl w:val="true"/>
        </w:rPr>
        <w:t>بازيافتني</w:t>
      </w:r>
      <w:r>
        <w:rPr>
          <w:rFonts w:cs="Traffic;Courier New"/>
          <w:rtl w:val="true"/>
        </w:rPr>
        <w:t xml:space="preserve"> </w:t>
      </w:r>
      <w:r>
        <w:rPr>
          <w:rFonts w:cs="Traffic;Courier New"/>
          <w:rtl w:val="true"/>
        </w:rPr>
        <w:t xml:space="preserve">: </w:t>
      </w:r>
      <w:r>
        <w:rPr>
          <w:rFonts w:cs="Traffic;Courier New"/>
          <w:rtl w:val="true"/>
        </w:rPr>
        <w:t>خالص ارزش فروش يا ارزش اقتصادي يک دارايي، هر</w:t>
      </w:r>
      <w:r>
        <w:rPr>
          <w:rFonts w:cs="Times New Roman"/>
          <w:rtl w:val="true"/>
        </w:rPr>
        <w:t> </w:t>
      </w:r>
      <w:r>
        <w:rPr>
          <w:rFonts w:cs="Traffic;Courier New"/>
          <w:rtl w:val="true"/>
        </w:rPr>
        <w:t>کدام که بيشتر است</w:t>
      </w:r>
      <w:r>
        <w:rPr>
          <w:rFonts w:cs="Traffic;Courier New"/>
          <w:rtl w:val="true"/>
        </w:rPr>
        <w:t>.</w:t>
      </w:r>
    </w:p>
    <w:p>
      <w:pPr>
        <w:pStyle w:val="1TrafficBulletFa8"/>
        <w:numPr>
          <w:ilvl w:val="0"/>
          <w:numId w:val="17"/>
        </w:numPr>
        <w:ind w:end="0"/>
        <w:jc w:val="both"/>
        <w:rPr>
          <w:rFonts w:cs="Traffic;Courier New"/>
        </w:rPr>
      </w:pPr>
      <w:r>
        <w:rPr>
          <w:rtl w:val="true"/>
        </w:rPr>
        <w:t>ارزش</w:t>
      </w:r>
      <w:r>
        <w:rPr>
          <w:rFonts w:cs="Traffic;Courier New"/>
          <w:rtl w:val="true"/>
        </w:rPr>
        <w:t xml:space="preserve"> اقتصادي </w:t>
      </w:r>
      <w:r>
        <w:rPr>
          <w:rFonts w:cs="Traffic;Courier New"/>
          <w:rtl w:val="true"/>
        </w:rPr>
        <w:t xml:space="preserve">: </w:t>
      </w:r>
      <w:r>
        <w:rPr>
          <w:rFonts w:cs="Traffic;Courier New"/>
          <w:rtl w:val="true"/>
        </w:rPr>
        <w:t>ارزش فعلي خالص جريانهاي نقدي آتي ناشي از کاربرد مستمر دارايي از</w:t>
      </w:r>
      <w:r>
        <w:rPr>
          <w:rFonts w:hint="cs" w:cs="Times New Roman"/>
          <w:rtl w:val="true"/>
        </w:rPr>
        <w:t> </w:t>
      </w:r>
      <w:r>
        <w:rPr>
          <w:rFonts w:cs="Traffic;Courier New"/>
          <w:rtl w:val="true"/>
        </w:rPr>
        <w:t>جمله جريانهاي نقدي ناشي از واگذاري نهايي آن است</w:t>
      </w:r>
      <w:r>
        <w:rPr>
          <w:rFonts w:cs="Traffic;Courier New"/>
          <w:rtl w:val="true"/>
        </w:rPr>
        <w:t>.</w:t>
      </w:r>
    </w:p>
    <w:p>
      <w:pPr>
        <w:pStyle w:val="1TrafficBulletFa8"/>
        <w:numPr>
          <w:ilvl w:val="0"/>
          <w:numId w:val="17"/>
        </w:numPr>
        <w:spacing w:before="0" w:after="60"/>
        <w:ind w:end="0"/>
        <w:jc w:val="both"/>
        <w:rPr/>
      </w:pPr>
      <w:r>
        <w:rPr>
          <w:rtl w:val="true"/>
        </w:rPr>
        <w:t xml:space="preserve">تعهد قطعي خريد </w:t>
      </w:r>
      <w:r>
        <w:rPr>
          <w:rtl w:val="true"/>
        </w:rPr>
        <w:t xml:space="preserve">: </w:t>
      </w:r>
      <w:r>
        <w:rPr>
          <w:rtl w:val="true"/>
        </w:rPr>
        <w:t>توافقي با يک شخص غيروابسته، الزام‌آور براي هر دو طرف و معمولاً داراي ضمانت اجراي قانوني، که</w:t>
      </w:r>
      <w:r>
        <w:rPr>
          <w:rtl w:val="true"/>
        </w:rPr>
        <w:t>:</w:t>
      </w:r>
    </w:p>
    <w:p>
      <w:pPr>
        <w:pStyle w:val="1TrafficBulletAlef1"/>
        <w:ind w:end="0"/>
        <w:jc w:val="both"/>
        <w:rPr/>
      </w:pPr>
      <w:r>
        <w:rPr>
          <w:rtl w:val="true"/>
        </w:rPr>
        <w:t>الف</w:t>
      </w:r>
      <w:r>
        <w:rPr>
          <w:rFonts w:hint="cs"/>
          <w:rtl w:val="true"/>
        </w:rPr>
        <w:t xml:space="preserve"> </w:t>
      </w:r>
      <w:r>
        <w:rPr>
          <w:rtl w:val="true"/>
        </w:rPr>
        <w:t>.</w:t>
        <w:tab/>
      </w:r>
      <w:r>
        <w:rPr>
          <w:rtl w:val="true"/>
        </w:rPr>
        <w:t>تمام شرايط بااهميت، شامل قيمت و زمانبندي معام</w:t>
      </w:r>
      <w:r>
        <w:rPr>
          <w:rFonts w:hint="cs"/>
          <w:rtl w:val="true"/>
        </w:rPr>
        <w:t>له</w:t>
      </w:r>
      <w:r>
        <w:rPr>
          <w:rtl w:val="true"/>
        </w:rPr>
        <w:t xml:space="preserve"> را مشخص مي‌کند،</w:t>
      </w:r>
      <w:r>
        <w:rPr>
          <w:rFonts w:hint="cs" w:cs="Times New Roman"/>
          <w:rtl w:val="true"/>
        </w:rPr>
        <w:t> </w:t>
      </w:r>
      <w:r>
        <w:rPr>
          <w:rtl w:val="true"/>
        </w:rPr>
        <w:t>و</w:t>
      </w:r>
    </w:p>
    <w:p>
      <w:pPr>
        <w:pStyle w:val="1TrafficBulletAlef1"/>
        <w:ind w:end="0"/>
        <w:jc w:val="both"/>
        <w:rPr>
          <w:rFonts w:cs="Traffic;Courier New"/>
        </w:rPr>
      </w:pPr>
      <w:r>
        <w:rPr>
          <w:rFonts w:cs="Traffic;Courier New"/>
          <w:rtl w:val="true"/>
        </w:rPr>
        <w:t>ب</w:t>
      </w:r>
      <w:r>
        <w:rPr>
          <w:rFonts w:cs="Traffic;Courier New"/>
          <w:rtl w:val="true"/>
        </w:rPr>
        <w:tab/>
      </w:r>
      <w:r>
        <w:rPr>
          <w:rFonts w:cs="Traffic;Courier New"/>
          <w:rtl w:val="true"/>
        </w:rPr>
        <w:t xml:space="preserve"> .</w:t>
        <w:tab/>
      </w:r>
      <w:r>
        <w:rPr>
          <w:rFonts w:cs="Traffic;Courier New"/>
          <w:rtl w:val="true"/>
        </w:rPr>
        <w:t xml:space="preserve">شامل عامل </w:t>
      </w:r>
      <w:r>
        <w:rPr>
          <w:rtl w:val="true"/>
        </w:rPr>
        <w:t>بازدارنده‌اي</w:t>
      </w:r>
      <w:r>
        <w:rPr>
          <w:rFonts w:cs="Traffic;Courier New"/>
          <w:rtl w:val="true"/>
        </w:rPr>
        <w:t xml:space="preserve"> است که مي‌تواند اجراي آن را بسيار محتمل کند</w:t>
      </w:r>
      <w:r>
        <w:rPr>
          <w:rFonts w:cs="Traffic;Courier New"/>
          <w:rtl w:val="true"/>
        </w:rPr>
        <w:t>.</w:t>
      </w:r>
    </w:p>
    <w:p>
      <w:pPr>
        <w:pStyle w:val="Heading1"/>
        <w:ind w:end="0"/>
        <w:jc w:val="start"/>
        <w:rPr/>
      </w:pPr>
      <w:r>
        <w:rPr>
          <w:rtl w:val="true"/>
        </w:rPr>
        <w:t xml:space="preserve">طبقه‌بندي داراييهاي غيرجاري </w:t>
      </w:r>
      <w:r>
        <w:rPr>
          <w:rtl w:val="true"/>
        </w:rPr>
        <w:t>(</w:t>
      </w:r>
      <w:r>
        <w:rPr>
          <w:rtl w:val="true"/>
        </w:rPr>
        <w:t>يا مجموعه‌هاي واحد</w:t>
      </w:r>
      <w:r>
        <w:rPr>
          <w:rtl w:val="true"/>
        </w:rPr>
        <w:t xml:space="preserve">) </w:t>
      </w:r>
      <w:r>
        <w:rPr>
          <w:rtl w:val="true"/>
        </w:rPr>
        <w:t>به</w:t>
      </w:r>
      <w:r>
        <w:rPr>
          <w:rFonts w:cs="Times New Roman"/>
          <w:rtl w:val="true"/>
        </w:rPr>
        <w:t> </w:t>
      </w:r>
      <w:r>
        <w:rPr>
          <w:rtl w:val="true"/>
        </w:rPr>
        <w:t>عنوان نگهداري شده براي فروش</w:t>
      </w:r>
    </w:p>
    <w:p>
      <w:pPr>
        <w:pStyle w:val="1Traffic1"/>
        <w:ind w:end="0"/>
        <w:jc w:val="both"/>
        <w:rPr/>
      </w:pPr>
      <w:r>
        <w:rPr/>
        <w:t>7</w:t>
      </w:r>
      <w:r>
        <w:rPr>
          <w:rtl w:val="true"/>
        </w:rPr>
        <w:t xml:space="preserve">  .</w:t>
        <w:tab/>
      </w:r>
      <w:r>
        <w:rPr>
          <w:rtl w:val="true"/>
        </w:rPr>
        <w:t xml:space="preserve">واحد تجاري بايد دارايي غيرجاري </w:t>
      </w:r>
      <w:r>
        <w:rPr>
          <w:rtl w:val="true"/>
        </w:rPr>
        <w:t>(</w:t>
      </w:r>
      <w:r>
        <w:rPr>
          <w:rtl w:val="true"/>
        </w:rPr>
        <w:t>يا مجموعه‌اي واحد</w:t>
      </w:r>
      <w:r>
        <w:rPr>
          <w:rtl w:val="true"/>
        </w:rPr>
        <w:t xml:space="preserve">) </w:t>
      </w:r>
      <w:r>
        <w:rPr>
          <w:rtl w:val="true"/>
        </w:rPr>
        <w:t>را که مبلغ دفتري آن، عمدتاً از</w:t>
      </w:r>
      <w:r>
        <w:rPr>
          <w:rFonts w:hint="cs" w:cs="Times New Roman"/>
          <w:rtl w:val="true"/>
        </w:rPr>
        <w:t> </w:t>
      </w:r>
      <w:r>
        <w:rPr>
          <w:rtl w:val="true"/>
        </w:rPr>
        <w:t>طريق فروش و نه استفاده مستمر بازيافت مي‌گردد، به</w:t>
      </w:r>
      <w:r>
        <w:rPr>
          <w:rFonts w:cs="Times New Roman"/>
          <w:rtl w:val="true"/>
        </w:rPr>
        <w:t> </w:t>
      </w:r>
      <w:r>
        <w:rPr>
          <w:rtl w:val="true"/>
        </w:rPr>
        <w:t>عنوان ”</w:t>
      </w:r>
      <w:r>
        <w:rPr>
          <w:rFonts w:hint="cs" w:cs="Times New Roman"/>
          <w:rtl w:val="true"/>
        </w:rPr>
        <w:t> </w:t>
      </w:r>
      <w:r>
        <w:rPr>
          <w:rFonts w:hint="cs"/>
          <w:rtl w:val="true"/>
        </w:rPr>
        <w:t>نگهداري شده براي فروش“ طبقه‌بندي کند</w:t>
      </w:r>
      <w:r>
        <w:rPr>
          <w:rFonts w:hint="cs"/>
          <w:rtl w:val="true"/>
        </w:rPr>
        <w:t>.</w:t>
      </w:r>
    </w:p>
    <w:p>
      <w:pPr>
        <w:pStyle w:val="1LotusZirAlef1"/>
        <w:ind w:end="0"/>
        <w:jc w:val="both"/>
        <w:rPr/>
      </w:pPr>
      <w:r>
        <w:rPr/>
        <w:t>8</w:t>
      </w:r>
      <w:r>
        <w:rPr>
          <w:rtl w:val="true"/>
        </w:rPr>
        <w:t xml:space="preserve">  .</w:t>
        <w:tab/>
      </w:r>
      <w:r>
        <w:rPr>
          <w:rtl w:val="true"/>
        </w:rPr>
        <w:t xml:space="preserve">طبقه‌بندي دارايي غيرجاري </w:t>
      </w:r>
      <w:r>
        <w:rPr>
          <w:rtl w:val="true"/>
        </w:rPr>
        <w:t>(</w:t>
      </w:r>
      <w:r>
        <w:rPr>
          <w:rtl w:val="true"/>
        </w:rPr>
        <w:t>يا مجموعه واحد</w:t>
      </w:r>
      <w:r>
        <w:rPr>
          <w:rtl w:val="true"/>
        </w:rPr>
        <w:t xml:space="preserve">) </w:t>
      </w:r>
      <w:r>
        <w:rPr>
          <w:rtl w:val="true"/>
        </w:rPr>
        <w:t>به</w:t>
      </w:r>
      <w:r>
        <w:rPr>
          <w:rFonts w:cs="Times New Roman"/>
          <w:rtl w:val="true"/>
        </w:rPr>
        <w:t> </w:t>
      </w:r>
      <w:r>
        <w:rPr>
          <w:rtl w:val="true"/>
        </w:rPr>
        <w:t>عنوان نگهداري شده براي فروش بايد تنها پس</w:t>
      </w:r>
      <w:r>
        <w:rPr>
          <w:rFonts w:cs="Times New Roman"/>
          <w:rtl w:val="true"/>
        </w:rPr>
        <w:t> </w:t>
      </w:r>
      <w:r>
        <w:rPr>
          <w:rtl w:val="true"/>
        </w:rPr>
        <w:t>از احراز شرايط زير صورت گيرد</w:t>
      </w:r>
      <w:r>
        <w:rPr>
          <w:rtl w:val="true"/>
        </w:rPr>
        <w:t>:</w:t>
      </w:r>
    </w:p>
    <w:p>
      <w:pPr>
        <w:pStyle w:val="1LotusAlef2"/>
        <w:ind w:end="0"/>
        <w:jc w:val="both"/>
        <w:rPr/>
      </w:pPr>
      <w:r>
        <w:rPr>
          <w:rtl w:val="true"/>
        </w:rPr>
        <w:t>الف</w:t>
      </w:r>
      <w:r>
        <w:rPr>
          <w:rtl w:val="true"/>
        </w:rPr>
        <w:t>.</w:t>
        <w:tab/>
      </w:r>
      <w:r>
        <w:rPr>
          <w:rtl w:val="true"/>
        </w:rPr>
        <w:t xml:space="preserve">دارايي غيرجاري </w:t>
      </w:r>
      <w:r>
        <w:rPr>
          <w:rtl w:val="true"/>
        </w:rPr>
        <w:t>(</w:t>
      </w:r>
      <w:r>
        <w:rPr>
          <w:rtl w:val="true"/>
        </w:rPr>
        <w:t>يا مجموعه واحد</w:t>
      </w:r>
      <w:r>
        <w:rPr>
          <w:rtl w:val="true"/>
        </w:rPr>
        <w:t xml:space="preserve">) </w:t>
      </w:r>
      <w:r>
        <w:rPr>
          <w:rtl w:val="true"/>
        </w:rPr>
        <w:t>براي فروش فوري در وضعيت فعلي آن، فقط بر</w:t>
      </w:r>
      <w:r>
        <w:rPr>
          <w:rFonts w:hint="cs" w:cs="Times New Roman"/>
          <w:rtl w:val="true"/>
        </w:rPr>
        <w:t> </w:t>
      </w:r>
      <w:r>
        <w:rPr>
          <w:rFonts w:hint="cs"/>
          <w:rtl w:val="true"/>
        </w:rPr>
        <w:t>حسب شرايطي که براي فروش چنين داراييها</w:t>
      </w:r>
      <w:r>
        <w:rPr>
          <w:rtl w:val="true"/>
        </w:rPr>
        <w:t xml:space="preserve">یی </w:t>
      </w:r>
      <w:r>
        <w:rPr>
          <w:rtl w:val="true"/>
        </w:rPr>
        <w:t>(</w:t>
      </w:r>
      <w:r>
        <w:rPr>
          <w:rtl w:val="true"/>
        </w:rPr>
        <w:t>يا مجموعه‌هاي واحد</w:t>
      </w:r>
      <w:r>
        <w:rPr>
          <w:rtl w:val="true"/>
        </w:rPr>
        <w:t xml:space="preserve">) </w:t>
      </w:r>
      <w:r>
        <w:rPr>
          <w:rtl w:val="true"/>
        </w:rPr>
        <w:t xml:space="preserve">مرسوم و معمول است، </w:t>
      </w:r>
      <w:r>
        <w:rPr>
          <w:rFonts w:hint="cs"/>
          <w:rtl w:val="true"/>
        </w:rPr>
        <w:t xml:space="preserve">آماده </w:t>
      </w:r>
      <w:r>
        <w:rPr>
          <w:rtl w:val="true"/>
        </w:rPr>
        <w:t>باشد، و</w:t>
      </w:r>
    </w:p>
    <w:p>
      <w:pPr>
        <w:pStyle w:val="1LotusAlef2"/>
        <w:ind w:end="0"/>
        <w:jc w:val="both"/>
        <w:rPr/>
      </w:pPr>
      <w:r>
        <w:rPr>
          <w:rtl w:val="true"/>
        </w:rPr>
        <w:t xml:space="preserve">ب </w:t>
      </w:r>
      <w:r>
        <w:rPr>
          <w:rtl w:val="true"/>
        </w:rPr>
        <w:t>.</w:t>
        <w:tab/>
      </w:r>
      <w:r>
        <w:rPr>
          <w:rtl w:val="true"/>
        </w:rPr>
        <w:t>فروش آن بسيار محتمل باشد</w:t>
      </w:r>
      <w:r>
        <w:rPr>
          <w:rtl w:val="true"/>
        </w:rPr>
        <w:t>.</w:t>
      </w:r>
    </w:p>
    <w:p>
      <w:pPr>
        <w:pStyle w:val="Fa41"/>
        <w:ind w:end="0"/>
        <w:jc w:val="both"/>
        <w:rPr/>
      </w:pPr>
      <w:r>
        <w:rPr>
          <w:rtl w:val="true"/>
        </w:rPr>
      </w:r>
    </w:p>
    <w:p>
      <w:pPr>
        <w:pStyle w:val="1LotusZirAlef1"/>
        <w:ind w:end="0"/>
        <w:jc w:val="both"/>
        <w:rPr/>
      </w:pPr>
      <w:r>
        <w:rPr/>
        <w:t>9</w:t>
      </w:r>
      <w:r>
        <w:rPr>
          <w:rtl w:val="true"/>
        </w:rPr>
        <w:t xml:space="preserve">  .</w:t>
        <w:tab/>
      </w:r>
      <w:r>
        <w:rPr>
          <w:rtl w:val="true"/>
        </w:rPr>
        <w:t>براي آنکه فروش بسيار محتمل باشد، بايد تمام شرايط زير احراز شود</w:t>
      </w:r>
      <w:r>
        <w:rPr>
          <w:rtl w:val="true"/>
        </w:rPr>
        <w:t>:</w:t>
      </w:r>
    </w:p>
    <w:p>
      <w:pPr>
        <w:pStyle w:val="1LotusAlef2"/>
        <w:ind w:end="0"/>
        <w:jc w:val="both"/>
        <w:rPr/>
      </w:pPr>
      <w:r>
        <w:rPr>
          <w:rtl w:val="true"/>
        </w:rPr>
        <w:t>الف</w:t>
      </w:r>
      <w:r>
        <w:rPr>
          <w:rtl w:val="true"/>
        </w:rPr>
        <w:t>.</w:t>
        <w:tab/>
      </w:r>
      <w:r>
        <w:rPr>
          <w:rtl w:val="true"/>
        </w:rPr>
        <w:t xml:space="preserve">سطح مناسبي از مديريت </w:t>
      </w:r>
      <w:r>
        <w:rPr>
          <w:rFonts w:hint="cs"/>
          <w:rtl w:val="true"/>
        </w:rPr>
        <w:t xml:space="preserve">واحد تجاري </w:t>
      </w:r>
      <w:r>
        <w:rPr>
          <w:rtl w:val="true"/>
        </w:rPr>
        <w:t xml:space="preserve">متعهد به اجراي طرح فروش دارايي </w:t>
      </w:r>
      <w:r>
        <w:rPr>
          <w:rtl w:val="true"/>
        </w:rPr>
        <w:t>(</w:t>
      </w:r>
      <w:r>
        <w:rPr>
          <w:rtl w:val="true"/>
        </w:rPr>
        <w:t>يا</w:t>
      </w:r>
      <w:r>
        <w:rPr>
          <w:rFonts w:hint="cs" w:cs="Times New Roman"/>
          <w:rtl w:val="true"/>
        </w:rPr>
        <w:t> </w:t>
      </w:r>
      <w:r>
        <w:rPr>
          <w:rtl w:val="true"/>
        </w:rPr>
        <w:t>مجموعه واحد</w:t>
      </w:r>
      <w:r>
        <w:rPr>
          <w:rtl w:val="true"/>
        </w:rPr>
        <w:t xml:space="preserve">) </w:t>
      </w:r>
      <w:r>
        <w:rPr>
          <w:rtl w:val="true"/>
        </w:rPr>
        <w:t>باشد،</w:t>
      </w:r>
    </w:p>
    <w:p>
      <w:pPr>
        <w:pStyle w:val="1LotusAlef2"/>
        <w:ind w:end="0"/>
        <w:jc w:val="both"/>
        <w:rPr/>
      </w:pPr>
      <w:r>
        <w:rPr>
          <w:rtl w:val="true"/>
        </w:rPr>
        <w:t>ب</w:t>
      </w:r>
      <w:r>
        <w:rPr>
          <w:rtl w:val="true"/>
        </w:rPr>
        <w:tab/>
        <w:t>.</w:t>
        <w:tab/>
      </w:r>
      <w:r>
        <w:rPr>
          <w:rtl w:val="true"/>
        </w:rPr>
        <w:t>برنامه فعالي براي يافتن خريدار و تکميل طرح</w:t>
      </w:r>
      <w:r>
        <w:rPr>
          <w:rFonts w:hint="cs"/>
          <w:rtl w:val="true"/>
        </w:rPr>
        <w:t xml:space="preserve"> فروش</w:t>
      </w:r>
      <w:r>
        <w:rPr>
          <w:rtl w:val="true"/>
        </w:rPr>
        <w:t>، شروع شده باشد،</w:t>
      </w:r>
    </w:p>
    <w:p>
      <w:pPr>
        <w:pStyle w:val="1LotusAlef2"/>
        <w:ind w:end="0"/>
        <w:jc w:val="both"/>
        <w:rPr/>
      </w:pPr>
      <w:r>
        <w:rPr>
          <w:rtl w:val="true"/>
        </w:rPr>
        <w:t>ج</w:t>
      </w:r>
      <w:r>
        <w:rPr>
          <w:rtl w:val="true"/>
        </w:rPr>
        <w:tab/>
        <w:t>.</w:t>
        <w:tab/>
      </w:r>
      <w:r>
        <w:rPr>
          <w:rtl w:val="true"/>
        </w:rPr>
        <w:t xml:space="preserve">براي فروش دارايي </w:t>
      </w:r>
      <w:r>
        <w:rPr>
          <w:rtl w:val="true"/>
        </w:rPr>
        <w:t>(</w:t>
      </w:r>
      <w:r>
        <w:rPr>
          <w:rtl w:val="true"/>
        </w:rPr>
        <w:t>يا مجموعه واحد</w:t>
      </w:r>
      <w:r>
        <w:rPr>
          <w:rtl w:val="true"/>
        </w:rPr>
        <w:t xml:space="preserve">) </w:t>
      </w:r>
      <w:r>
        <w:rPr>
          <w:rtl w:val="true"/>
        </w:rPr>
        <w:t>به قيمتي منطقي نسبت به ارزش روز آن، بازاريابي مؤثري انجام شده باشد،</w:t>
      </w:r>
    </w:p>
    <w:p>
      <w:pPr>
        <w:pStyle w:val="1LotusAlef2"/>
        <w:ind w:end="0"/>
        <w:jc w:val="both"/>
        <w:rPr/>
      </w:pPr>
      <w:r>
        <w:rPr>
          <w:rtl w:val="true"/>
        </w:rPr>
        <w:t>د</w:t>
      </w:r>
      <w:r>
        <w:rPr>
          <w:rtl w:val="true"/>
        </w:rPr>
        <w:tab/>
        <w:t>.</w:t>
        <w:tab/>
      </w:r>
      <w:r>
        <w:rPr>
          <w:rtl w:val="true"/>
        </w:rPr>
        <w:t>انتظار رود که شرايط تکميل فروش طي يکسال از تاريخ طبقه‌بندي، به</w:t>
      </w:r>
      <w:r>
        <w:rPr>
          <w:rFonts w:hint="cs" w:cs="Times New Roman"/>
          <w:rtl w:val="true"/>
        </w:rPr>
        <w:t> </w:t>
      </w:r>
      <w:r>
        <w:rPr>
          <w:rtl w:val="true"/>
        </w:rPr>
        <w:t xml:space="preserve">استثناي آنچه در بند </w:t>
      </w:r>
      <w:r>
        <w:rPr/>
        <w:t>10</w:t>
      </w:r>
      <w:r>
        <w:rPr>
          <w:rtl w:val="true"/>
        </w:rPr>
        <w:t xml:space="preserve"> </w:t>
      </w:r>
      <w:r>
        <w:rPr>
          <w:rtl w:val="true"/>
        </w:rPr>
        <w:t xml:space="preserve">مجاز شمرده </w:t>
      </w:r>
      <w:r>
        <w:rPr>
          <w:rFonts w:hint="cs"/>
          <w:rtl w:val="true"/>
        </w:rPr>
        <w:t>شده است</w:t>
      </w:r>
      <w:r>
        <w:rPr>
          <w:rtl w:val="true"/>
        </w:rPr>
        <w:t>، احراز گردد،</w:t>
      </w:r>
      <w:r>
        <w:rPr>
          <w:rFonts w:hint="cs" w:cs="Times New Roman"/>
          <w:rtl w:val="true"/>
        </w:rPr>
        <w:t> </w:t>
      </w:r>
      <w:r>
        <w:rPr>
          <w:rtl w:val="true"/>
        </w:rPr>
        <w:t>و</w:t>
      </w:r>
    </w:p>
    <w:p>
      <w:pPr>
        <w:pStyle w:val="1LotusAlef2"/>
        <w:ind w:end="0"/>
        <w:jc w:val="both"/>
        <w:rPr/>
      </w:pPr>
      <w:r>
        <w:rPr>
          <w:rtl w:val="true"/>
        </w:rPr>
        <w:t xml:space="preserve">ﻫ </w:t>
      </w:r>
      <w:r>
        <w:rPr>
          <w:rtl w:val="true"/>
        </w:rPr>
        <w:tab/>
        <w:t>.</w:t>
        <w:tab/>
      </w:r>
      <w:r>
        <w:rPr>
          <w:rtl w:val="true"/>
        </w:rPr>
        <w:t xml:space="preserve">اقدامات لازم براي تکميل طرح </w:t>
      </w:r>
      <w:r>
        <w:rPr>
          <w:rFonts w:hint="cs"/>
          <w:rtl w:val="true"/>
        </w:rPr>
        <w:t xml:space="preserve">فروش </w:t>
      </w:r>
      <w:r>
        <w:rPr>
          <w:rtl w:val="true"/>
        </w:rPr>
        <w:t>نشان دهد که انجام تغييرات بااهميت يا توقف آن بعيد است</w:t>
      </w:r>
      <w:r>
        <w:rPr>
          <w:rtl w:val="true"/>
        </w:rPr>
        <w:t>.</w:t>
      </w:r>
    </w:p>
    <w:p>
      <w:pPr>
        <w:pStyle w:val="1Lotus1"/>
        <w:ind w:end="0"/>
        <w:jc w:val="both"/>
        <w:rPr/>
      </w:pPr>
      <w:r>
        <w:rPr/>
        <w:t>10</w:t>
      </w:r>
      <w:r>
        <w:rPr>
          <w:rtl w:val="true"/>
        </w:rPr>
        <w:t>.</w:t>
        <w:tab/>
      </w:r>
      <w:r>
        <w:rPr>
          <w:rtl w:val="true"/>
        </w:rPr>
        <w:t>شرايط و رويدادها ممکن است دوره تکميل فروش را از يک سال طولاني‌تر کند</w:t>
      </w:r>
      <w:r>
        <w:rPr>
          <w:rtl w:val="true"/>
        </w:rPr>
        <w:t xml:space="preserve">. </w:t>
      </w:r>
      <w:r>
        <w:rPr>
          <w:rtl w:val="true"/>
        </w:rPr>
        <w:t xml:space="preserve">اگر تأخير از شرايط و رويدادهايي ناشي شود که از کنترل واحد تجاري خارج است و شواهد کافي وجود داشته باشد که واحد تجاري به تعهدات خود نسبت به طرح فروش داراييها پايبند است، طولاني‌تر شدن دوره فروش نمي‌تواند از طبقه‌بندي يک دارايي </w:t>
      </w:r>
      <w:r>
        <w:rPr>
          <w:rFonts w:hint="cs"/>
          <w:rtl w:val="true"/>
        </w:rPr>
        <w:t>غير</w:t>
      </w:r>
      <w:r>
        <w:rPr>
          <w:rFonts w:hint="cs" w:cs="Times New Roman"/>
          <w:rtl w:val="true"/>
        </w:rPr>
        <w:t> </w:t>
      </w:r>
      <w:r>
        <w:rPr>
          <w:rFonts w:hint="cs"/>
          <w:rtl w:val="true"/>
        </w:rPr>
        <w:t xml:space="preserve">جاري </w:t>
      </w:r>
      <w:r>
        <w:rPr>
          <w:rtl w:val="true"/>
        </w:rPr>
        <w:t>(</w:t>
      </w:r>
      <w:r>
        <w:rPr>
          <w:rtl w:val="true"/>
        </w:rPr>
        <w:t>يا</w:t>
      </w:r>
      <w:r>
        <w:rPr>
          <w:rFonts w:hint="cs" w:cs="Times New Roman"/>
          <w:rtl w:val="true"/>
        </w:rPr>
        <w:t> </w:t>
      </w:r>
      <w:r>
        <w:rPr>
          <w:rtl w:val="true"/>
        </w:rPr>
        <w:t>مجموعه‌اي واحد</w:t>
      </w:r>
      <w:r>
        <w:rPr>
          <w:rtl w:val="true"/>
        </w:rPr>
        <w:t xml:space="preserve">) </w:t>
      </w:r>
      <w:r>
        <w:rPr>
          <w:rtl w:val="true"/>
        </w:rPr>
        <w:t>به</w:t>
      </w:r>
      <w:r>
        <w:rPr>
          <w:rFonts w:cs="Times New Roman"/>
          <w:rtl w:val="true"/>
        </w:rPr>
        <w:t> </w:t>
      </w:r>
      <w:r>
        <w:rPr>
          <w:rtl w:val="true"/>
        </w:rPr>
        <w:t>عنوان نگهداري شده براي فروش جلوگيري نمايد</w:t>
      </w:r>
      <w:r>
        <w:rPr>
          <w:rtl w:val="true"/>
        </w:rPr>
        <w:t xml:space="preserve">. </w:t>
      </w:r>
      <w:r>
        <w:rPr>
          <w:rtl w:val="true"/>
        </w:rPr>
        <w:t>اين مورد در</w:t>
      </w:r>
      <w:r>
        <w:rPr>
          <w:rFonts w:hint="cs" w:cs="Times New Roman"/>
          <w:rtl w:val="true"/>
        </w:rPr>
        <w:t> </w:t>
      </w:r>
      <w:r>
        <w:rPr>
          <w:rtl w:val="true"/>
        </w:rPr>
        <w:t xml:space="preserve">صورتي روي خواهد داد که شرايط مندرج در پيوست شماره </w:t>
      </w:r>
      <w:r>
        <w:rPr/>
        <w:t>1</w:t>
      </w:r>
      <w:r>
        <w:rPr>
          <w:rtl w:val="true"/>
        </w:rPr>
        <w:t xml:space="preserve"> </w:t>
      </w:r>
      <w:r>
        <w:rPr>
          <w:rtl w:val="true"/>
        </w:rPr>
        <w:t>احراز شود</w:t>
      </w:r>
      <w:r>
        <w:rPr>
          <w:rtl w:val="true"/>
        </w:rPr>
        <w:t>.</w:t>
      </w:r>
    </w:p>
    <w:p>
      <w:pPr>
        <w:pStyle w:val="1Lotus1"/>
        <w:ind w:end="0"/>
        <w:jc w:val="both"/>
        <w:rPr/>
      </w:pPr>
      <w:r>
        <w:rPr/>
        <w:t>11</w:t>
      </w:r>
      <w:r>
        <w:rPr>
          <w:rtl w:val="true"/>
        </w:rPr>
        <w:t xml:space="preserve"> .</w:t>
        <w:tab/>
      </w:r>
      <w:r>
        <w:rPr>
          <w:rtl w:val="true"/>
        </w:rPr>
        <w:t xml:space="preserve">معاملات فروش شامل معاوضه داراييهاي غيرجاري با يکديگر نيز مي‌شود به شرطي که اين معاوضه طبق استاندارد حسابداري شماره </w:t>
      </w:r>
      <w:r>
        <w:rPr/>
        <w:t>11</w:t>
      </w:r>
      <w:r>
        <w:rPr>
          <w:rtl w:val="true"/>
        </w:rPr>
        <w:t xml:space="preserve"> </w:t>
      </w:r>
      <w:r>
        <w:rPr>
          <w:rtl w:val="true"/>
        </w:rPr>
        <w:t>با</w:t>
      </w:r>
      <w:r>
        <w:rPr>
          <w:rFonts w:hint="cs" w:cs="Times New Roman"/>
          <w:rtl w:val="true"/>
        </w:rPr>
        <w:t> </w:t>
      </w:r>
      <w:r>
        <w:rPr>
          <w:rtl w:val="true"/>
        </w:rPr>
        <w:t xml:space="preserve">عنوان </w:t>
      </w:r>
      <w:r>
        <w:rPr>
          <w:rStyle w:val="D-TrafficVasat"/>
          <w:rtl w:val="true"/>
        </w:rPr>
        <w:t>داراييهاي ثابت مشهود</w:t>
      </w:r>
      <w:r>
        <w:rPr>
          <w:rFonts w:cs="Traffic;Courier New"/>
          <w:sz w:val="20"/>
          <w:szCs w:val="22"/>
          <w:rtl w:val="true"/>
        </w:rPr>
        <w:t>،</w:t>
      </w:r>
      <w:r>
        <w:rPr>
          <w:rtl w:val="true"/>
        </w:rPr>
        <w:t xml:space="preserve"> داراي</w:t>
      </w:r>
      <w:r>
        <w:rPr>
          <w:rFonts w:hint="cs" w:cs="Times New Roman"/>
          <w:rtl w:val="true"/>
        </w:rPr>
        <w:t> </w:t>
      </w:r>
      <w:r>
        <w:rPr>
          <w:rtl w:val="true"/>
        </w:rPr>
        <w:t>محتواي تجاري باشد</w:t>
      </w:r>
      <w:r>
        <w:rPr>
          <w:rtl w:val="true"/>
        </w:rPr>
        <w:t>.</w:t>
      </w:r>
    </w:p>
    <w:p>
      <w:pPr>
        <w:pStyle w:val="1Lotus1"/>
        <w:ind w:end="0"/>
        <w:jc w:val="both"/>
        <w:rPr/>
      </w:pPr>
      <w:r>
        <w:rPr/>
        <w:t>12</w:t>
      </w:r>
      <w:r>
        <w:rPr>
          <w:rtl w:val="true"/>
        </w:rPr>
        <w:t xml:space="preserve"> .</w:t>
        <w:tab/>
      </w:r>
      <w:r>
        <w:rPr>
          <w:rtl w:val="true"/>
        </w:rPr>
        <w:t xml:space="preserve">چنانچه واحد تجاري، </w:t>
      </w:r>
      <w:r>
        <w:rPr>
          <w:rFonts w:hint="cs"/>
          <w:rtl w:val="true"/>
        </w:rPr>
        <w:t xml:space="preserve">يك </w:t>
      </w:r>
      <w:r>
        <w:rPr>
          <w:rtl w:val="true"/>
        </w:rPr>
        <w:t xml:space="preserve">دارايي غيرجاري </w:t>
      </w:r>
      <w:r>
        <w:rPr>
          <w:rtl w:val="true"/>
        </w:rPr>
        <w:t>(</w:t>
      </w:r>
      <w:r>
        <w:rPr>
          <w:rtl w:val="true"/>
        </w:rPr>
        <w:t>يا مجموعه‌اي واحد</w:t>
      </w:r>
      <w:r>
        <w:rPr>
          <w:rtl w:val="true"/>
        </w:rPr>
        <w:t xml:space="preserve">) </w:t>
      </w:r>
      <w:r>
        <w:rPr>
          <w:rtl w:val="true"/>
        </w:rPr>
        <w:t>را صرفاً به قصد واگذاري تحصيل ‌نمايد، در تاريخ تحصيل، آن دارايي غيرجاري را فقط در</w:t>
      </w:r>
      <w:r>
        <w:rPr>
          <w:rFonts w:hint="cs" w:cs="Times New Roman"/>
          <w:rtl w:val="true"/>
        </w:rPr>
        <w:t> </w:t>
      </w:r>
      <w:r>
        <w:rPr>
          <w:rtl w:val="true"/>
        </w:rPr>
        <w:t xml:space="preserve">صورتي بايد به‌عنوان نگهداري شده براي فروش طبقه‌بندي کند که الزام يکسال </w:t>
      </w:r>
      <w:r>
        <w:rPr>
          <w:rFonts w:hint="cs"/>
          <w:rtl w:val="true"/>
        </w:rPr>
        <w:t xml:space="preserve">مندرج </w:t>
      </w:r>
      <w:r>
        <w:rPr>
          <w:rtl w:val="true"/>
        </w:rPr>
        <w:t>در بند</w:t>
      </w:r>
      <w:r>
        <w:rPr>
          <w:rFonts w:hint="cs" w:cs="Times New Roman"/>
          <w:rtl w:val="true"/>
        </w:rPr>
        <w:t> </w:t>
      </w:r>
      <w:r>
        <w:rPr/>
        <w:t>9</w:t>
      </w:r>
      <w:r>
        <w:rPr>
          <w:rtl w:val="true"/>
        </w:rPr>
        <w:t xml:space="preserve"> (</w:t>
      </w:r>
      <w:r>
        <w:rPr>
          <w:rtl w:val="true"/>
        </w:rPr>
        <w:t>به</w:t>
      </w:r>
      <w:r>
        <w:rPr>
          <w:rFonts w:hint="cs" w:cs="Times New Roman"/>
          <w:rtl w:val="true"/>
        </w:rPr>
        <w:t> </w:t>
      </w:r>
      <w:r>
        <w:rPr>
          <w:rtl w:val="true"/>
        </w:rPr>
        <w:t xml:space="preserve">استثناي آنچه در بند </w:t>
      </w:r>
      <w:r>
        <w:rPr/>
        <w:t>10</w:t>
      </w:r>
      <w:r>
        <w:rPr>
          <w:rtl w:val="true"/>
        </w:rPr>
        <w:t xml:space="preserve"> </w:t>
      </w:r>
      <w:r>
        <w:rPr>
          <w:rtl w:val="true"/>
        </w:rPr>
        <w:t xml:space="preserve">مجاز </w:t>
      </w:r>
      <w:r>
        <w:rPr>
          <w:rFonts w:hint="cs"/>
          <w:rtl w:val="true"/>
        </w:rPr>
        <w:t xml:space="preserve">شمرده شده </w:t>
      </w:r>
      <w:r>
        <w:rPr>
          <w:rtl w:val="true"/>
        </w:rPr>
        <w:t>است</w:t>
      </w:r>
      <w:r>
        <w:rPr>
          <w:rtl w:val="true"/>
        </w:rPr>
        <w:t xml:space="preserve">) </w:t>
      </w:r>
      <w:r>
        <w:rPr>
          <w:rtl w:val="true"/>
        </w:rPr>
        <w:t xml:space="preserve">رعايت شود و احراز هر گونه معيار ديگر مندرج در بندهاي </w:t>
      </w:r>
      <w:r>
        <w:rPr/>
        <w:t>8</w:t>
      </w:r>
      <w:r>
        <w:rPr>
          <w:rtl w:val="true"/>
        </w:rPr>
        <w:t xml:space="preserve"> </w:t>
      </w:r>
      <w:r>
        <w:rPr>
          <w:rtl w:val="true"/>
        </w:rPr>
        <w:t xml:space="preserve">و </w:t>
      </w:r>
      <w:r>
        <w:rPr/>
        <w:t>9</w:t>
      </w:r>
      <w:r>
        <w:rPr>
          <w:rtl w:val="true"/>
        </w:rPr>
        <w:t xml:space="preserve"> </w:t>
      </w:r>
      <w:r>
        <w:rPr>
          <w:rtl w:val="true"/>
        </w:rPr>
        <w:t xml:space="preserve">که در تاريخ تحصيل محقق نشده باشد، در يک دوره کوتاه‌مدت بعد از تحصيل </w:t>
      </w:r>
      <w:r>
        <w:rPr>
          <w:rtl w:val="true"/>
        </w:rPr>
        <w:t>(</w:t>
      </w:r>
      <w:r>
        <w:rPr>
          <w:rtl w:val="true"/>
        </w:rPr>
        <w:t xml:space="preserve">معمولاً طي مدت </w:t>
      </w:r>
      <w:r>
        <w:rPr/>
        <w:t>3</w:t>
      </w:r>
      <w:r>
        <w:rPr>
          <w:rtl w:val="true"/>
        </w:rPr>
        <w:t xml:space="preserve"> </w:t>
      </w:r>
      <w:r>
        <w:rPr>
          <w:rtl w:val="true"/>
        </w:rPr>
        <w:t>ماه</w:t>
      </w:r>
      <w:r>
        <w:rPr>
          <w:rtl w:val="true"/>
        </w:rPr>
        <w:t xml:space="preserve">) </w:t>
      </w:r>
      <w:r>
        <w:rPr>
          <w:rtl w:val="true"/>
        </w:rPr>
        <w:t>بسيار محتمل باشد</w:t>
      </w:r>
      <w:r>
        <w:rPr>
          <w:rtl w:val="true"/>
        </w:rPr>
        <w:t>.</w:t>
      </w:r>
    </w:p>
    <w:p>
      <w:pPr>
        <w:pStyle w:val="1Lotus1"/>
        <w:ind w:end="0"/>
        <w:jc w:val="both"/>
        <w:rPr/>
      </w:pPr>
      <w:r>
        <w:rPr/>
        <w:t>13</w:t>
      </w:r>
      <w:r>
        <w:rPr>
          <w:rtl w:val="true"/>
        </w:rPr>
        <w:t>.</w:t>
        <w:tab/>
      </w:r>
      <w:r>
        <w:rPr>
          <w:rtl w:val="true"/>
        </w:rPr>
        <w:t>در</w:t>
      </w:r>
      <w:r>
        <w:rPr>
          <w:rFonts w:hint="cs" w:cs="Times New Roman"/>
          <w:rtl w:val="true"/>
        </w:rPr>
        <w:t> </w:t>
      </w:r>
      <w:r>
        <w:rPr>
          <w:rtl w:val="true"/>
        </w:rPr>
        <w:t xml:space="preserve">صورتي که معيارهاي بندهاي </w:t>
      </w:r>
      <w:r>
        <w:rPr/>
        <w:t>8</w:t>
      </w:r>
      <w:r>
        <w:rPr>
          <w:rtl w:val="true"/>
        </w:rPr>
        <w:t xml:space="preserve"> </w:t>
      </w:r>
      <w:r>
        <w:rPr>
          <w:rtl w:val="true"/>
        </w:rPr>
        <w:t xml:space="preserve">و </w:t>
      </w:r>
      <w:r>
        <w:rPr/>
        <w:t>9</w:t>
      </w:r>
      <w:r>
        <w:rPr>
          <w:rtl w:val="true"/>
        </w:rPr>
        <w:t xml:space="preserve"> </w:t>
      </w:r>
      <w:r>
        <w:rPr>
          <w:rtl w:val="true"/>
        </w:rPr>
        <w:t xml:space="preserve">بعد از تاريخ ترازنامه احراز شود واحد تجاري نبايد در صورتهاي مالي، داراييهاي غيرجاري </w:t>
      </w:r>
      <w:r>
        <w:rPr>
          <w:rtl w:val="true"/>
        </w:rPr>
        <w:t>(</w:t>
      </w:r>
      <w:r>
        <w:rPr>
          <w:rtl w:val="true"/>
        </w:rPr>
        <w:t>يا مجموعه‌</w:t>
      </w:r>
      <w:r>
        <w:rPr>
          <w:rFonts w:hint="cs"/>
          <w:rtl w:val="true"/>
        </w:rPr>
        <w:t>ه</w:t>
      </w:r>
      <w:r>
        <w:rPr>
          <w:rtl w:val="true"/>
        </w:rPr>
        <w:t>اي واحد</w:t>
      </w:r>
      <w:r>
        <w:rPr>
          <w:rtl w:val="true"/>
        </w:rPr>
        <w:t xml:space="preserve">) </w:t>
      </w:r>
      <w:r>
        <w:rPr>
          <w:rtl w:val="true"/>
        </w:rPr>
        <w:t>را به</w:t>
      </w:r>
      <w:r>
        <w:rPr>
          <w:rFonts w:cs="Times New Roman"/>
          <w:rtl w:val="true"/>
        </w:rPr>
        <w:t> </w:t>
      </w:r>
      <w:r>
        <w:rPr>
          <w:rtl w:val="true"/>
        </w:rPr>
        <w:t>عنوان نگهداري شده براي فروش طبقه‌بندي کند</w:t>
      </w:r>
      <w:r>
        <w:rPr>
          <w:rtl w:val="true"/>
        </w:rPr>
        <w:t xml:space="preserve">. </w:t>
      </w:r>
      <w:r>
        <w:rPr>
          <w:rtl w:val="true"/>
        </w:rPr>
        <w:t xml:space="preserve">با اين وجود، هنگامي که اين معيارها بعد از تاريخ ترازنامه، اما قبل از تأييد صورتهاي مالي احراز شود واحد تجاري بايد اطلاعات تعيين شده در بند </w:t>
      </w:r>
      <w:r>
        <w:rPr/>
        <w:t>40</w:t>
      </w:r>
      <w:r>
        <w:rPr>
          <w:rtl w:val="true"/>
        </w:rPr>
        <w:t xml:space="preserve"> </w:t>
      </w:r>
      <w:r>
        <w:rPr>
          <w:rtl w:val="true"/>
        </w:rPr>
        <w:t>را در يادداشتهاي توضيحي افشا کند</w:t>
      </w:r>
      <w:r>
        <w:rPr>
          <w:rtl w:val="true"/>
        </w:rPr>
        <w:t>.</w:t>
      </w:r>
    </w:p>
    <w:p>
      <w:pPr>
        <w:pStyle w:val="Heading2"/>
        <w:ind w:end="0"/>
        <w:jc w:val="start"/>
        <w:rPr/>
      </w:pPr>
      <w:r>
        <w:rPr>
          <w:rtl w:val="true"/>
        </w:rPr>
        <w:t>داراييهاي غيرجاري که قصد برکناري آن وجود دارد</w:t>
      </w:r>
    </w:p>
    <w:p>
      <w:pPr>
        <w:pStyle w:val="1Lotus1"/>
        <w:spacing w:before="0" w:after="195"/>
        <w:ind w:hanging="570" w:start="570" w:end="0"/>
        <w:jc w:val="both"/>
        <w:rPr/>
      </w:pPr>
      <w:r>
        <w:rPr/>
        <w:t>14</w:t>
      </w:r>
      <w:r>
        <w:rPr>
          <w:rtl w:val="true"/>
        </w:rPr>
        <w:t>.</w:t>
        <w:tab/>
      </w:r>
      <w:r>
        <w:rPr>
          <w:rtl w:val="true"/>
        </w:rPr>
        <w:t xml:space="preserve">واحد تجاري نبايد يک دارايي غيرجاري </w:t>
      </w:r>
      <w:r>
        <w:rPr>
          <w:rtl w:val="true"/>
        </w:rPr>
        <w:t>(</w:t>
      </w:r>
      <w:r>
        <w:rPr>
          <w:rtl w:val="true"/>
        </w:rPr>
        <w:t>يا مجموعه‌اي واحد</w:t>
      </w:r>
      <w:r>
        <w:rPr>
          <w:rtl w:val="true"/>
        </w:rPr>
        <w:t xml:space="preserve">) </w:t>
      </w:r>
      <w:r>
        <w:rPr>
          <w:rtl w:val="true"/>
        </w:rPr>
        <w:t>که قصد برکناري آن وجود دارد را به</w:t>
      </w:r>
      <w:r>
        <w:rPr>
          <w:rFonts w:cs="Times New Roman"/>
          <w:rtl w:val="true"/>
        </w:rPr>
        <w:t> </w:t>
      </w:r>
      <w:r>
        <w:rPr>
          <w:rtl w:val="true"/>
        </w:rPr>
        <w:t>عنوان نگهداري شده براي فروش طبقه‌بندي کند، زيرا مبلغ دفتري آن اساساً</w:t>
      </w:r>
      <w:r>
        <w:rPr>
          <w:rtl w:val="true"/>
        </w:rPr>
        <w:t xml:space="preserve"> </w:t>
      </w:r>
      <w:r>
        <w:rPr>
          <w:rtl w:val="true"/>
        </w:rPr>
        <w:t>از</w:t>
      </w:r>
      <w:r>
        <w:rPr>
          <w:rFonts w:hint="cs" w:cs="Times New Roman"/>
          <w:rtl w:val="true"/>
        </w:rPr>
        <w:t> </w:t>
      </w:r>
      <w:r>
        <w:rPr>
          <w:rtl w:val="true"/>
        </w:rPr>
        <w:t>طريق استفاده مستمر بازيافت خواهد شد</w:t>
      </w:r>
      <w:r>
        <w:rPr>
          <w:rtl w:val="true"/>
        </w:rPr>
        <w:t xml:space="preserve">. </w:t>
      </w:r>
      <w:r>
        <w:rPr>
          <w:rtl w:val="true"/>
        </w:rPr>
        <w:t xml:space="preserve">با اين حال، چنانچه مجموعه‌اي واحد که قصد برکناري آن وجود دارد، شرايط عمليات متوقف شده طبق بند </w:t>
      </w:r>
      <w:r>
        <w:rPr/>
        <w:t>6</w:t>
      </w:r>
      <w:r>
        <w:rPr>
          <w:rtl w:val="true"/>
        </w:rPr>
        <w:t xml:space="preserve"> </w:t>
      </w:r>
      <w:r>
        <w:rPr>
          <w:rtl w:val="true"/>
        </w:rPr>
        <w:t xml:space="preserve">را احراز کند، واحد تجاري بايد نتايج </w:t>
      </w:r>
      <w:r>
        <w:rPr>
          <w:rFonts w:hint="cs"/>
          <w:rtl w:val="true"/>
        </w:rPr>
        <w:t xml:space="preserve">عمليات </w:t>
      </w:r>
      <w:r>
        <w:rPr>
          <w:rtl w:val="true"/>
        </w:rPr>
        <w:t xml:space="preserve">و جريانهاي نقدي آن مجموعه را طبق بندهاي </w:t>
      </w:r>
      <w:r>
        <w:rPr/>
        <w:t>32</w:t>
      </w:r>
      <w:r>
        <w:rPr>
          <w:rtl w:val="true"/>
        </w:rPr>
        <w:t xml:space="preserve"> </w:t>
      </w:r>
      <w:r>
        <w:rPr>
          <w:rtl w:val="true"/>
        </w:rPr>
        <w:t xml:space="preserve">و </w:t>
      </w:r>
      <w:r>
        <w:rPr/>
        <w:t>33</w:t>
      </w:r>
      <w:r>
        <w:rPr>
          <w:rtl w:val="true"/>
        </w:rPr>
        <w:t xml:space="preserve"> </w:t>
      </w:r>
      <w:r>
        <w:rPr>
          <w:rtl w:val="true"/>
        </w:rPr>
        <w:t>در تاريخي که استفاده از آنها متوقف مي‌شود، به</w:t>
      </w:r>
      <w:r>
        <w:rPr>
          <w:rFonts w:cs="Times New Roman"/>
          <w:rtl w:val="true"/>
        </w:rPr>
        <w:t> </w:t>
      </w:r>
      <w:r>
        <w:rPr>
          <w:rtl w:val="true"/>
        </w:rPr>
        <w:t>عنوان عمليات متوقف شده ارائه نمايد</w:t>
      </w:r>
      <w:r>
        <w:rPr>
          <w:rtl w:val="true"/>
        </w:rPr>
        <w:t xml:space="preserve">. </w:t>
      </w:r>
      <w:r>
        <w:rPr>
          <w:rtl w:val="true"/>
        </w:rPr>
        <w:t xml:space="preserve">داراييهاي غيرجاري </w:t>
      </w:r>
      <w:r>
        <w:rPr>
          <w:rtl w:val="true"/>
        </w:rPr>
        <w:t>(</w:t>
      </w:r>
      <w:r>
        <w:rPr>
          <w:rtl w:val="true"/>
        </w:rPr>
        <w:t>يا مجموعه‌هاي واحدي</w:t>
      </w:r>
      <w:r>
        <w:rPr>
          <w:rtl w:val="true"/>
        </w:rPr>
        <w:t xml:space="preserve">) </w:t>
      </w:r>
      <w:r>
        <w:rPr>
          <w:rtl w:val="true"/>
        </w:rPr>
        <w:t>که قصد برکناري آن وجود دارد، شامل مواردي است که از دارايي تا پايان عمر اقتصادي آن استفاده مي‌شود و مواردي که به جاي فروش، استفاده از دارايي متوقف مي‌شود</w:t>
      </w:r>
      <w:r>
        <w:rPr>
          <w:rtl w:val="true"/>
        </w:rPr>
        <w:t>.</w:t>
      </w:r>
    </w:p>
    <w:p>
      <w:pPr>
        <w:pStyle w:val="1Lotus1"/>
        <w:ind w:end="0"/>
        <w:jc w:val="both"/>
        <w:rPr/>
      </w:pPr>
      <w:r>
        <w:rPr/>
        <w:t>15</w:t>
      </w:r>
      <w:r>
        <w:rPr>
          <w:rtl w:val="true"/>
        </w:rPr>
        <w:t xml:space="preserve"> .</w:t>
        <w:tab/>
      </w:r>
      <w:r>
        <w:rPr>
          <w:rtl w:val="true"/>
        </w:rPr>
        <w:t>واحد تجاري نبايد دارايي غيرجاري که به</w:t>
      </w:r>
      <w:r>
        <w:rPr>
          <w:rFonts w:hint="cs" w:cs="Times New Roman"/>
          <w:rtl w:val="true"/>
        </w:rPr>
        <w:t> </w:t>
      </w:r>
      <w:r>
        <w:rPr>
          <w:rtl w:val="true"/>
        </w:rPr>
        <w:t>طور موقت استفاده نمي‌شود را به</w:t>
      </w:r>
      <w:r>
        <w:rPr>
          <w:rFonts w:cs="Times New Roman"/>
          <w:rtl w:val="true"/>
        </w:rPr>
        <w:t> </w:t>
      </w:r>
      <w:r>
        <w:rPr>
          <w:rtl w:val="true"/>
        </w:rPr>
        <w:t>عنوان برکنار</w:t>
      </w:r>
      <w:r>
        <w:rPr>
          <w:rFonts w:hint="cs" w:cs="Times New Roman"/>
          <w:rtl w:val="true"/>
        </w:rPr>
        <w:t> </w:t>
      </w:r>
      <w:r>
        <w:rPr>
          <w:rtl w:val="true"/>
        </w:rPr>
        <w:t>شده محسوب کند</w:t>
      </w:r>
      <w:r>
        <w:rPr>
          <w:rtl w:val="true"/>
        </w:rPr>
        <w:t>.</w:t>
      </w:r>
    </w:p>
    <w:p>
      <w:pPr>
        <w:pStyle w:val="Normal"/>
        <w:keepNext w:val="true"/>
        <w:spacing w:before="240" w:after="120"/>
        <w:ind w:end="0"/>
        <w:jc w:val="start"/>
        <w:rPr>
          <w:rFonts w:cs="B Zar"/>
          <w:sz w:val="28"/>
          <w:szCs w:val="26"/>
        </w:rPr>
      </w:pPr>
      <w:r>
        <w:rPr>
          <w:rFonts w:cs="B Zar"/>
          <w:b/>
          <w:b/>
          <w:sz w:val="26"/>
          <w:szCs w:val="26"/>
          <w:rtl w:val="true"/>
        </w:rPr>
        <w:t xml:space="preserve">اندازه‌گيري داراييهاي غيرجاري </w:t>
      </w:r>
      <w:r>
        <w:rPr>
          <w:rFonts w:cs="B Zar"/>
          <w:b/>
          <w:sz w:val="26"/>
          <w:szCs w:val="26"/>
          <w:rtl w:val="true"/>
        </w:rPr>
        <w:t>(</w:t>
      </w:r>
      <w:r>
        <w:rPr>
          <w:rFonts w:cs="B Zar"/>
          <w:b/>
          <w:b/>
          <w:sz w:val="26"/>
          <w:szCs w:val="26"/>
          <w:rtl w:val="true"/>
        </w:rPr>
        <w:t>يا مجموعه‌هاي واحد</w:t>
      </w:r>
      <w:r>
        <w:rPr>
          <w:rFonts w:cs="B Zar"/>
          <w:b/>
          <w:sz w:val="26"/>
          <w:szCs w:val="26"/>
          <w:rtl w:val="true"/>
        </w:rPr>
        <w:t xml:space="preserve">) </w:t>
      </w:r>
      <w:r>
        <w:rPr>
          <w:rFonts w:cs="B Zar"/>
          <w:b/>
          <w:b/>
          <w:sz w:val="26"/>
          <w:szCs w:val="26"/>
          <w:rtl w:val="true"/>
        </w:rPr>
        <w:t>طبقه‌بندي شده به عنوان نگهداري</w:t>
      </w:r>
      <w:r>
        <w:rPr>
          <w:rFonts w:cs="B Zar"/>
          <w:sz w:val="28"/>
          <w:szCs w:val="26"/>
          <w:rtl w:val="true"/>
        </w:rPr>
        <w:t xml:space="preserve"> شده براي فروش</w:t>
      </w:r>
    </w:p>
    <w:p>
      <w:pPr>
        <w:pStyle w:val="Heading2"/>
        <w:ind w:end="0"/>
        <w:jc w:val="start"/>
        <w:rPr/>
      </w:pPr>
      <w:r>
        <w:rPr>
          <w:rtl w:val="true"/>
        </w:rPr>
        <w:t xml:space="preserve">اندازه‌گيري دارايي غيرجاري </w:t>
      </w:r>
      <w:r>
        <w:rPr>
          <w:rtl w:val="true"/>
        </w:rPr>
        <w:t>(</w:t>
      </w:r>
      <w:r>
        <w:rPr>
          <w:rtl w:val="true"/>
        </w:rPr>
        <w:t>يا</w:t>
      </w:r>
      <w:r>
        <w:rPr>
          <w:rFonts w:ascii="Times New Roman" w:hAnsi="Times New Roman" w:hint="cs" w:cs="Times New Roman"/>
          <w:rtl w:val="true"/>
        </w:rPr>
        <w:t> </w:t>
      </w:r>
      <w:r>
        <w:rPr>
          <w:rFonts w:hint="cs"/>
          <w:rtl w:val="true"/>
        </w:rPr>
        <w:t>مجموعه واحد</w:t>
      </w:r>
      <w:r>
        <w:rPr>
          <w:rFonts w:hint="cs"/>
          <w:rtl w:val="true"/>
        </w:rPr>
        <w:t>)</w:t>
      </w:r>
    </w:p>
    <w:p>
      <w:pPr>
        <w:pStyle w:val="1Traffic1"/>
        <w:spacing w:before="0" w:after="210"/>
        <w:ind w:hanging="570" w:start="570" w:end="0"/>
        <w:jc w:val="both"/>
        <w:rPr/>
      </w:pPr>
      <w:r>
        <w:rPr/>
        <w:t>16</w:t>
      </w:r>
      <w:r>
        <w:rPr>
          <w:rtl w:val="true"/>
        </w:rPr>
        <w:t xml:space="preserve"> .</w:t>
        <w:tab/>
      </w:r>
      <w:r>
        <w:rPr>
          <w:rtl w:val="true"/>
        </w:rPr>
        <w:t xml:space="preserve">واحد تجاري بايد دارايي غيرجاري </w:t>
      </w:r>
      <w:r>
        <w:rPr>
          <w:rtl w:val="true"/>
        </w:rPr>
        <w:t>(</w:t>
      </w:r>
      <w:r>
        <w:rPr>
          <w:rtl w:val="true"/>
        </w:rPr>
        <w:t>يا</w:t>
      </w:r>
      <w:r>
        <w:rPr>
          <w:rFonts w:hint="cs" w:cs="Times New Roman"/>
          <w:rtl w:val="true"/>
        </w:rPr>
        <w:t> </w:t>
      </w:r>
      <w:r>
        <w:rPr>
          <w:rFonts w:hint="cs"/>
          <w:rtl w:val="true"/>
        </w:rPr>
        <w:t>مجموعه واحد</w:t>
      </w:r>
      <w:r>
        <w:rPr>
          <w:rFonts w:hint="cs"/>
          <w:rtl w:val="true"/>
        </w:rPr>
        <w:t xml:space="preserve">) </w:t>
      </w:r>
      <w:r>
        <w:rPr>
          <w:rFonts w:hint="cs"/>
          <w:rtl w:val="true"/>
        </w:rPr>
        <w:t xml:space="preserve">طبقه‌بندي شده </w:t>
      </w:r>
      <w:r>
        <w:rPr>
          <w:rtl w:val="true"/>
        </w:rPr>
        <w:t>به</w:t>
      </w:r>
      <w:r>
        <w:rPr>
          <w:rFonts w:cs="Times New Roman"/>
          <w:rtl w:val="true"/>
        </w:rPr>
        <w:t> </w:t>
      </w:r>
      <w:r>
        <w:rPr>
          <w:rtl w:val="true"/>
        </w:rPr>
        <w:t>عنوان نگهداري شده براي فروش را به اقل مبلغ دفتري و خالص ارزش فروش اندازه‌گيري نمايد</w:t>
      </w:r>
      <w:r>
        <w:rPr>
          <w:rtl w:val="true"/>
        </w:rPr>
        <w:t>.</w:t>
      </w:r>
    </w:p>
    <w:p>
      <w:pPr>
        <w:pStyle w:val="1Lotus1"/>
        <w:ind w:end="0"/>
        <w:jc w:val="both"/>
        <w:rPr>
          <w:spacing w:val="-6"/>
        </w:rPr>
      </w:pPr>
      <w:r>
        <w:rPr/>
        <w:t>17</w:t>
      </w:r>
      <w:r>
        <w:rPr>
          <w:rtl w:val="true"/>
        </w:rPr>
        <w:t xml:space="preserve"> .</w:t>
        <w:tab/>
      </w:r>
      <w:r>
        <w:rPr>
          <w:rtl w:val="true"/>
        </w:rPr>
        <w:t>چنانچه يک دارايي</w:t>
      </w:r>
      <w:r>
        <w:rPr>
          <w:rFonts w:hint="cs"/>
          <w:rtl w:val="true"/>
        </w:rPr>
        <w:t xml:space="preserve"> غير</w:t>
      </w:r>
      <w:r>
        <w:rPr>
          <w:rFonts w:hint="cs" w:cs="Times New Roman"/>
          <w:rtl w:val="true"/>
        </w:rPr>
        <w:t> </w:t>
      </w:r>
      <w:r>
        <w:rPr>
          <w:rFonts w:hint="cs"/>
          <w:rtl w:val="true"/>
        </w:rPr>
        <w:t>جاري</w:t>
      </w:r>
      <w:r>
        <w:rPr>
          <w:rtl w:val="true"/>
        </w:rPr>
        <w:t xml:space="preserve"> </w:t>
      </w:r>
      <w:r>
        <w:rPr>
          <w:rtl w:val="true"/>
        </w:rPr>
        <w:t>(</w:t>
      </w:r>
      <w:r>
        <w:rPr>
          <w:rtl w:val="true"/>
        </w:rPr>
        <w:t>يا</w:t>
      </w:r>
      <w:r>
        <w:rPr>
          <w:rFonts w:hint="cs" w:cs="Times New Roman"/>
          <w:rtl w:val="true"/>
        </w:rPr>
        <w:t> </w:t>
      </w:r>
      <w:r>
        <w:rPr>
          <w:rFonts w:hint="cs"/>
          <w:rtl w:val="true"/>
        </w:rPr>
        <w:t>مجمو</w:t>
      </w:r>
      <w:r>
        <w:rPr>
          <w:rtl w:val="true"/>
        </w:rPr>
        <w:t>عه‌اي واحد</w:t>
      </w:r>
      <w:r>
        <w:rPr>
          <w:rtl w:val="true"/>
        </w:rPr>
        <w:t xml:space="preserve">) </w:t>
      </w:r>
      <w:r>
        <w:rPr>
          <w:rtl w:val="true"/>
        </w:rPr>
        <w:t>که جديداً تحصيل شده، معيارهاي طبقه‌بندي به</w:t>
      </w:r>
      <w:r>
        <w:rPr>
          <w:rFonts w:cs="Times New Roman"/>
          <w:rtl w:val="true"/>
        </w:rPr>
        <w:t> </w:t>
      </w:r>
      <w:r>
        <w:rPr>
          <w:rtl w:val="true"/>
        </w:rPr>
        <w:t xml:space="preserve">عنوان نگهداري شده براي فروش </w:t>
      </w:r>
      <w:r>
        <w:rPr>
          <w:rtl w:val="true"/>
        </w:rPr>
        <w:t>(</w:t>
      </w:r>
      <w:r>
        <w:rPr>
          <w:rFonts w:hint="cs"/>
          <w:rtl w:val="true"/>
        </w:rPr>
        <w:t>به</w:t>
      </w:r>
      <w:r>
        <w:rPr>
          <w:rFonts w:hint="cs" w:cs="Times New Roman"/>
          <w:rtl w:val="true"/>
        </w:rPr>
        <w:t> </w:t>
      </w:r>
      <w:r>
        <w:rPr>
          <w:rFonts w:hint="cs"/>
          <w:rtl w:val="true"/>
        </w:rPr>
        <w:t xml:space="preserve">شرح </w:t>
      </w:r>
      <w:r>
        <w:rPr>
          <w:rtl w:val="true"/>
        </w:rPr>
        <w:t xml:space="preserve">بند </w:t>
      </w:r>
      <w:r>
        <w:rPr/>
        <w:t>12</w:t>
      </w:r>
      <w:r>
        <w:rPr>
          <w:rtl w:val="true"/>
        </w:rPr>
        <w:t xml:space="preserve">) </w:t>
      </w:r>
      <w:r>
        <w:rPr>
          <w:rtl w:val="true"/>
        </w:rPr>
        <w:t>را احراز نمايد، در</w:t>
      </w:r>
      <w:r>
        <w:rPr>
          <w:rFonts w:hint="cs" w:cs="Times New Roman"/>
          <w:rtl w:val="true"/>
        </w:rPr>
        <w:t> </w:t>
      </w:r>
      <w:r>
        <w:rPr>
          <w:rtl w:val="true"/>
        </w:rPr>
        <w:t xml:space="preserve">رعایت بند </w:t>
      </w:r>
      <w:r>
        <w:rPr/>
        <w:t>16</w:t>
      </w:r>
      <w:r>
        <w:rPr>
          <w:rtl w:val="true"/>
        </w:rPr>
        <w:t xml:space="preserve">، آن دارايي </w:t>
      </w:r>
      <w:r>
        <w:rPr>
          <w:rtl w:val="true"/>
        </w:rPr>
        <w:t>(</w:t>
      </w:r>
      <w:r>
        <w:rPr>
          <w:rtl w:val="true"/>
        </w:rPr>
        <w:t>یا مجموعه واحد</w:t>
      </w:r>
      <w:r>
        <w:rPr>
          <w:rtl w:val="true"/>
        </w:rPr>
        <w:t xml:space="preserve">) </w:t>
      </w:r>
      <w:r>
        <w:rPr>
          <w:rtl w:val="true"/>
        </w:rPr>
        <w:t xml:space="preserve">در شناخت اوليه به اقل مبلغ دفتري </w:t>
      </w:r>
      <w:r>
        <w:rPr>
          <w:rtl w:val="true"/>
        </w:rPr>
        <w:t>(</w:t>
      </w:r>
      <w:r>
        <w:rPr>
          <w:rtl w:val="true"/>
        </w:rPr>
        <w:t>با</w:t>
      </w:r>
      <w:r>
        <w:rPr>
          <w:rFonts w:hint="cs" w:cs="Times New Roman"/>
          <w:rtl w:val="true"/>
        </w:rPr>
        <w:t> </w:t>
      </w:r>
      <w:r>
        <w:rPr>
          <w:rtl w:val="true"/>
        </w:rPr>
        <w:t>فرض عدم طبقه‌بندي به</w:t>
      </w:r>
      <w:r>
        <w:rPr>
          <w:rFonts w:cs="Times New Roman"/>
          <w:rtl w:val="true"/>
        </w:rPr>
        <w:t> </w:t>
      </w:r>
      <w:r>
        <w:rPr>
          <w:rtl w:val="true"/>
        </w:rPr>
        <w:t>عنوان نگهداري شده براي فروش؛ براي</w:t>
      </w:r>
      <w:r>
        <w:rPr>
          <w:rFonts w:hint="cs" w:cs="Times New Roman"/>
          <w:rtl w:val="true"/>
        </w:rPr>
        <w:t> </w:t>
      </w:r>
      <w:r>
        <w:rPr>
          <w:rFonts w:hint="cs"/>
          <w:rtl w:val="true"/>
        </w:rPr>
        <w:t>مثال، بهاي ت</w:t>
      </w:r>
      <w:r>
        <w:rPr>
          <w:rtl w:val="true"/>
        </w:rPr>
        <w:t>مام شده</w:t>
      </w:r>
      <w:r>
        <w:rPr>
          <w:rtl w:val="true"/>
        </w:rPr>
        <w:t xml:space="preserve">) </w:t>
      </w:r>
      <w:r>
        <w:rPr>
          <w:rtl w:val="true"/>
        </w:rPr>
        <w:t>و خالص ارزش فروش شناسايي مي‌شود</w:t>
      </w:r>
      <w:r>
        <w:rPr>
          <w:rtl w:val="true"/>
        </w:rPr>
        <w:t xml:space="preserve">. </w:t>
      </w:r>
      <w:r>
        <w:rPr>
          <w:rtl w:val="true"/>
        </w:rPr>
        <w:t xml:space="preserve">اگر دارايي </w:t>
      </w:r>
      <w:r>
        <w:rPr>
          <w:rFonts w:hint="cs"/>
          <w:rtl w:val="true"/>
        </w:rPr>
        <w:t>غير</w:t>
      </w:r>
      <w:r>
        <w:rPr>
          <w:rFonts w:hint="cs" w:cs="Times New Roman"/>
          <w:rtl w:val="true"/>
        </w:rPr>
        <w:t> </w:t>
      </w:r>
      <w:r>
        <w:rPr>
          <w:rFonts w:hint="cs"/>
          <w:rtl w:val="true"/>
        </w:rPr>
        <w:t xml:space="preserve">جاري </w:t>
      </w:r>
      <w:r>
        <w:rPr>
          <w:rtl w:val="true"/>
        </w:rPr>
        <w:t>(</w:t>
      </w:r>
      <w:r>
        <w:rPr>
          <w:rtl w:val="true"/>
        </w:rPr>
        <w:t>يا</w:t>
      </w:r>
      <w:r>
        <w:rPr>
          <w:rFonts w:hint="cs" w:cs="Times New Roman"/>
          <w:rtl w:val="true"/>
        </w:rPr>
        <w:t> </w:t>
      </w:r>
      <w:r>
        <w:rPr>
          <w:rFonts w:hint="cs"/>
          <w:rtl w:val="true"/>
        </w:rPr>
        <w:t>مجموعه واحد</w:t>
      </w:r>
      <w:r>
        <w:rPr>
          <w:rFonts w:hint="cs"/>
          <w:rtl w:val="true"/>
        </w:rPr>
        <w:t xml:space="preserve">) </w:t>
      </w:r>
      <w:r>
        <w:rPr>
          <w:rFonts w:hint="cs"/>
          <w:spacing w:val="-6"/>
          <w:rtl w:val="true"/>
        </w:rPr>
        <w:t>در</w:t>
      </w:r>
      <w:r>
        <w:rPr>
          <w:rFonts w:hint="cs" w:cs="Times New Roman"/>
          <w:spacing w:val="-6"/>
          <w:rtl w:val="true"/>
        </w:rPr>
        <w:t> </w:t>
      </w:r>
      <w:r>
        <w:rPr>
          <w:rFonts w:hint="cs"/>
          <w:spacing w:val="-6"/>
          <w:rtl w:val="true"/>
        </w:rPr>
        <w:t xml:space="preserve">قالب </w:t>
      </w:r>
      <w:r>
        <w:rPr>
          <w:spacing w:val="-6"/>
          <w:rtl w:val="true"/>
        </w:rPr>
        <w:t>يک ترکيب تجاري تحصيل شده باشد، بايد به خالص ارزش فروش اندازه‌گيري شود</w:t>
      </w:r>
      <w:r>
        <w:rPr>
          <w:spacing w:val="-6"/>
          <w:rtl w:val="true"/>
        </w:rPr>
        <w:t>.</w:t>
      </w:r>
    </w:p>
    <w:p>
      <w:pPr>
        <w:pStyle w:val="1Lotus1"/>
        <w:ind w:end="0"/>
        <w:jc w:val="both"/>
        <w:rPr/>
      </w:pPr>
      <w:r>
        <w:rPr/>
        <w:t>18</w:t>
      </w:r>
      <w:r>
        <w:rPr>
          <w:rtl w:val="true"/>
        </w:rPr>
        <w:t xml:space="preserve"> .</w:t>
        <w:tab/>
      </w:r>
      <w:r>
        <w:rPr>
          <w:rtl w:val="true"/>
        </w:rPr>
        <w:t>چنانچه انتظار ‌‌رود فرايند فروش در بيش از يک سال تکميل شود، واحد تجاري بايد مخارج فروش را به ارزش فعلي اندازه‌گيري نمايد</w:t>
      </w:r>
      <w:r>
        <w:rPr>
          <w:rtl w:val="true"/>
        </w:rPr>
        <w:t xml:space="preserve">. </w:t>
      </w:r>
      <w:r>
        <w:rPr>
          <w:rtl w:val="true"/>
        </w:rPr>
        <w:t>هر گونه افزايش در ارزش فعلي مخارج فروش ناشي از گذشت زمان، در</w:t>
      </w:r>
      <w:r>
        <w:rPr>
          <w:rFonts w:hint="cs" w:cs="Times New Roman"/>
          <w:rtl w:val="true"/>
        </w:rPr>
        <w:t> </w:t>
      </w:r>
      <w:r>
        <w:rPr>
          <w:rtl w:val="true"/>
        </w:rPr>
        <w:t>صورت سود و زيان به</w:t>
      </w:r>
      <w:r>
        <w:rPr>
          <w:rFonts w:cs="Times New Roman"/>
          <w:rtl w:val="true"/>
        </w:rPr>
        <w:t> </w:t>
      </w:r>
      <w:r>
        <w:rPr>
          <w:rtl w:val="true"/>
        </w:rPr>
        <w:t xml:space="preserve">عنوان هزينه تأمين مالي </w:t>
      </w:r>
      <w:r>
        <w:rPr>
          <w:rFonts w:hint="cs"/>
          <w:rtl w:val="true"/>
        </w:rPr>
        <w:t>شناسايي</w:t>
      </w:r>
      <w:r>
        <w:rPr>
          <w:rtl w:val="true"/>
        </w:rPr>
        <w:t xml:space="preserve"> مي‌شود</w:t>
      </w:r>
      <w:r>
        <w:rPr>
          <w:rtl w:val="true"/>
        </w:rPr>
        <w:t>.</w:t>
      </w:r>
    </w:p>
    <w:p>
      <w:pPr>
        <w:pStyle w:val="1Lotus1"/>
        <w:ind w:end="0"/>
        <w:jc w:val="both"/>
        <w:rPr/>
      </w:pPr>
      <w:r>
        <w:rPr/>
        <w:t>19</w:t>
      </w:r>
      <w:r>
        <w:rPr>
          <w:rtl w:val="true"/>
        </w:rPr>
        <w:t xml:space="preserve"> .</w:t>
        <w:tab/>
      </w:r>
      <w:r>
        <w:rPr>
          <w:rtl w:val="true"/>
        </w:rPr>
        <w:t xml:space="preserve">مبلغ دفتري يک دارايي غيرجاري </w:t>
      </w:r>
      <w:r>
        <w:rPr>
          <w:rtl w:val="true"/>
        </w:rPr>
        <w:t>(</w:t>
      </w:r>
      <w:r>
        <w:rPr>
          <w:rFonts w:hint="cs"/>
          <w:rtl w:val="true"/>
        </w:rPr>
        <w:t xml:space="preserve">يا </w:t>
      </w:r>
      <w:r>
        <w:rPr>
          <w:rtl w:val="true"/>
        </w:rPr>
        <w:t>داراييها و بدهيهاي مربوط به يک مجموعه واحد</w:t>
      </w:r>
      <w:r>
        <w:rPr>
          <w:rtl w:val="true"/>
        </w:rPr>
        <w:t>)</w:t>
      </w:r>
      <w:r>
        <w:rPr>
          <w:rtl w:val="true"/>
        </w:rPr>
        <w:t>، بلافاصله قبل از طبقه‌بندي اوليه آن به</w:t>
      </w:r>
      <w:r>
        <w:rPr>
          <w:rFonts w:cs="Times New Roman"/>
          <w:rtl w:val="true"/>
        </w:rPr>
        <w:t> </w:t>
      </w:r>
      <w:r>
        <w:rPr>
          <w:rtl w:val="true"/>
        </w:rPr>
        <w:t>عنوان نگهداري شده براي فروش، بايد طبق استاندارد حسابداري مربوط اندازه‌گيري شود</w:t>
      </w:r>
      <w:r>
        <w:rPr>
          <w:rtl w:val="true"/>
        </w:rPr>
        <w:t>.</w:t>
      </w:r>
    </w:p>
    <w:p>
      <w:pPr>
        <w:pStyle w:val="1Lotus1"/>
        <w:ind w:end="0"/>
        <w:jc w:val="both"/>
        <w:rPr/>
      </w:pPr>
      <w:r>
        <w:rPr/>
        <w:t>20</w:t>
      </w:r>
      <w:r>
        <w:rPr>
          <w:rtl w:val="true"/>
        </w:rPr>
        <w:t xml:space="preserve"> .</w:t>
        <w:tab/>
      </w:r>
      <w:r>
        <w:rPr>
          <w:rtl w:val="true"/>
        </w:rPr>
        <w:t xml:space="preserve">در اندازه‌گيري مجدد بعدي </w:t>
      </w:r>
      <w:r>
        <w:rPr>
          <w:rFonts w:hint="cs"/>
          <w:rtl w:val="true"/>
        </w:rPr>
        <w:t xml:space="preserve">يك </w:t>
      </w:r>
      <w:r>
        <w:rPr>
          <w:rtl w:val="true"/>
        </w:rPr>
        <w:t xml:space="preserve">مجموعه واحد، مبلغ دفتري داراييهاي مستثني شده از الزامات اندازه‌گيري طبق بند </w:t>
      </w:r>
      <w:r>
        <w:rPr/>
        <w:t>5</w:t>
      </w:r>
      <w:r>
        <w:rPr>
          <w:rtl w:val="true"/>
        </w:rPr>
        <w:t xml:space="preserve"> </w:t>
      </w:r>
      <w:r>
        <w:rPr>
          <w:rtl w:val="true"/>
        </w:rPr>
        <w:t>اين استاندارد که در يک مجموعه واحد به</w:t>
      </w:r>
      <w:r>
        <w:rPr>
          <w:rFonts w:cs="Times New Roman"/>
          <w:rtl w:val="true"/>
        </w:rPr>
        <w:t> </w:t>
      </w:r>
      <w:r>
        <w:rPr>
          <w:rtl w:val="true"/>
        </w:rPr>
        <w:t>عنوان نگهداري شده براي فروش طبقه‌بندي شده است، بايد قبل از اندازه‌گيري مجدد مجموعه واحد به خالص ارزش فروش آن، طبق استانداردهاي حسابداري مربوط اندازه‌گيري مجدد شود</w:t>
      </w:r>
      <w:r>
        <w:rPr>
          <w:rtl w:val="true"/>
        </w:rPr>
        <w:t>.</w:t>
      </w:r>
    </w:p>
    <w:p>
      <w:pPr>
        <w:pStyle w:val="Heading2"/>
        <w:ind w:end="0"/>
        <w:jc w:val="start"/>
        <w:rPr/>
      </w:pPr>
      <w:r>
        <w:rPr>
          <w:rtl w:val="true"/>
        </w:rPr>
        <w:t>شناسايي زيانهاي کاهش ارزش و برگشت آن</w:t>
      </w:r>
    </w:p>
    <w:p>
      <w:pPr>
        <w:pStyle w:val="1Lotus1"/>
        <w:ind w:end="0"/>
        <w:jc w:val="both"/>
        <w:rPr/>
      </w:pPr>
      <w:r>
        <w:rPr/>
        <w:t>21</w:t>
      </w:r>
      <w:r>
        <w:rPr>
          <w:rtl w:val="true"/>
        </w:rPr>
        <w:t xml:space="preserve"> .</w:t>
        <w:tab/>
      </w:r>
      <w:r>
        <w:rPr>
          <w:rtl w:val="true"/>
        </w:rPr>
        <w:t xml:space="preserve">واحد تجاري بايد زيان کاهش ارزش براي هر گونه کاهش ارزش اوليه يا بعدي دارايي </w:t>
      </w:r>
      <w:r>
        <w:rPr>
          <w:rtl w:val="true"/>
        </w:rPr>
        <w:t>(</w:t>
      </w:r>
      <w:r>
        <w:rPr>
          <w:rtl w:val="true"/>
        </w:rPr>
        <w:t>يا</w:t>
      </w:r>
      <w:r>
        <w:rPr>
          <w:rFonts w:hint="cs" w:cs="Times New Roman"/>
          <w:rtl w:val="true"/>
        </w:rPr>
        <w:t> </w:t>
      </w:r>
      <w:r>
        <w:rPr>
          <w:rFonts w:hint="cs"/>
          <w:rtl w:val="true"/>
        </w:rPr>
        <w:t>مجموعه واحد</w:t>
      </w:r>
      <w:r>
        <w:rPr>
          <w:rFonts w:hint="cs"/>
          <w:rtl w:val="true"/>
        </w:rPr>
        <w:t xml:space="preserve">) </w:t>
      </w:r>
      <w:r>
        <w:rPr>
          <w:rFonts w:hint="cs"/>
          <w:rtl w:val="true"/>
        </w:rPr>
        <w:t xml:space="preserve">به خالص ارزش فروش را تا حدي که طبق بند </w:t>
      </w:r>
      <w:r>
        <w:rPr>
          <w:rFonts w:hint="cs"/>
        </w:rPr>
        <w:t>20</w:t>
      </w:r>
      <w:r>
        <w:rPr>
          <w:rFonts w:hint="cs"/>
          <w:rtl w:val="true"/>
        </w:rPr>
        <w:t xml:space="preserve"> </w:t>
      </w:r>
      <w:r>
        <w:rPr>
          <w:rFonts w:hint="cs"/>
          <w:rtl w:val="true"/>
        </w:rPr>
        <w:t>شناسايي نشده</w:t>
      </w:r>
      <w:r>
        <w:rPr>
          <w:rtl w:val="true"/>
        </w:rPr>
        <w:t xml:space="preserve"> است، شناسايي کند</w:t>
      </w:r>
      <w:r>
        <w:rPr>
          <w:rtl w:val="true"/>
        </w:rPr>
        <w:t>.</w:t>
      </w:r>
    </w:p>
    <w:p>
      <w:pPr>
        <w:pStyle w:val="1Lotus1"/>
        <w:ind w:end="0"/>
        <w:jc w:val="both"/>
        <w:rPr/>
      </w:pPr>
      <w:r>
        <w:rPr/>
        <w:t>22</w:t>
      </w:r>
      <w:r>
        <w:rPr>
          <w:rtl w:val="true"/>
        </w:rPr>
        <w:t xml:space="preserve"> .</w:t>
        <w:tab/>
      </w:r>
      <w:r>
        <w:rPr>
          <w:rtl w:val="true"/>
        </w:rPr>
        <w:t>واحد تجاري بايد هر گونه افزايش بعدي در خالص ارزش فروش يک دارايي را به</w:t>
      </w:r>
      <w:r>
        <w:rPr>
          <w:rFonts w:cs="Times New Roman"/>
          <w:rtl w:val="true"/>
        </w:rPr>
        <w:t> </w:t>
      </w:r>
      <w:r>
        <w:rPr>
          <w:rtl w:val="true"/>
        </w:rPr>
        <w:t>عنوان سود شناسايي کند، اما اين سود نبايد از زيان کاهش ارزش انباشته‌اي که قبلاً طبق اين استاندارد و يا ساير استانداردهاي حسابداري شناسايي شده است، بیشتر شود</w:t>
      </w:r>
      <w:r>
        <w:rPr>
          <w:rtl w:val="true"/>
        </w:rPr>
        <w:t>.</w:t>
      </w:r>
    </w:p>
    <w:p>
      <w:pPr>
        <w:pStyle w:val="1LotusZirAlef1"/>
        <w:ind w:end="0"/>
        <w:jc w:val="both"/>
        <w:rPr/>
      </w:pPr>
      <w:r>
        <w:rPr/>
        <w:t>23</w:t>
      </w:r>
      <w:r>
        <w:rPr>
          <w:rtl w:val="true"/>
        </w:rPr>
        <w:t xml:space="preserve"> .</w:t>
        <w:tab/>
      </w:r>
      <w:r>
        <w:rPr>
          <w:rtl w:val="true"/>
        </w:rPr>
        <w:t>واحد تجاري بايد براي هر گونه افزايش بعدي در خالص ارزش فروش مجموعه‌ واحد،</w:t>
      </w:r>
      <w:r>
        <w:rPr>
          <w:rtl w:val="true"/>
        </w:rPr>
        <w:br/>
      </w:r>
      <w:r>
        <w:rPr>
          <w:rtl w:val="true"/>
        </w:rPr>
        <w:t>به</w:t>
      </w:r>
      <w:r>
        <w:rPr>
          <w:rFonts w:cs="Times New Roman"/>
          <w:rtl w:val="true"/>
        </w:rPr>
        <w:t> </w:t>
      </w:r>
      <w:r>
        <w:rPr>
          <w:rtl w:val="true"/>
        </w:rPr>
        <w:t>شرح زير سود شناسايي کند</w:t>
      </w:r>
      <w:r>
        <w:rPr>
          <w:rtl w:val="true"/>
        </w:rPr>
        <w:t>:</w:t>
      </w:r>
    </w:p>
    <w:p>
      <w:pPr>
        <w:pStyle w:val="1LotusAlef2"/>
        <w:ind w:end="0"/>
        <w:jc w:val="both"/>
        <w:rPr/>
      </w:pPr>
      <w:r>
        <w:rPr>
          <w:rtl w:val="true"/>
        </w:rPr>
        <w:t>الف</w:t>
      </w:r>
      <w:r>
        <w:rPr>
          <w:rtl w:val="true"/>
        </w:rPr>
        <w:t>.</w:t>
        <w:tab/>
      </w:r>
      <w:r>
        <w:rPr>
          <w:rtl w:val="true"/>
        </w:rPr>
        <w:t xml:space="preserve">تا حدي که طبق بند </w:t>
      </w:r>
      <w:r>
        <w:rPr/>
        <w:t>20</w:t>
      </w:r>
      <w:r>
        <w:rPr>
          <w:rtl w:val="true"/>
        </w:rPr>
        <w:t xml:space="preserve"> </w:t>
      </w:r>
      <w:r>
        <w:rPr>
          <w:rtl w:val="true"/>
        </w:rPr>
        <w:t>شناسايي نشده است، اما</w:t>
      </w:r>
    </w:p>
    <w:p>
      <w:pPr>
        <w:pStyle w:val="1LotusAlef2"/>
        <w:ind w:end="0"/>
        <w:jc w:val="both"/>
        <w:rPr>
          <w:rFonts w:hint="cs"/>
        </w:rPr>
      </w:pPr>
      <w:r>
        <w:rPr>
          <w:rtl w:val="true"/>
        </w:rPr>
        <w:t>ب</w:t>
      </w:r>
      <w:r>
        <w:rPr>
          <w:rFonts w:hint="cs"/>
          <w:rtl w:val="true"/>
        </w:rPr>
        <w:tab/>
      </w:r>
      <w:r>
        <w:rPr>
          <w:rtl w:val="true"/>
        </w:rPr>
        <w:t>.</w:t>
        <w:tab/>
      </w:r>
      <w:r>
        <w:rPr>
          <w:rtl w:val="true"/>
        </w:rPr>
        <w:t xml:space="preserve">تا حدي که از زيان کاهش ارزش انباشته‌ شناسايي شده، طبق اين استاندارد و يا ساير استانداردهاي حسابداري </w:t>
      </w:r>
      <w:r>
        <w:rPr>
          <w:rFonts w:hint="cs"/>
          <w:rtl w:val="true"/>
        </w:rPr>
        <w:t>(</w:t>
      </w:r>
      <w:r>
        <w:rPr>
          <w:rtl w:val="true"/>
        </w:rPr>
        <w:t>براي داراييهاي غيرجاري که در دامنه الزامات اندازه‌گيري اين استاندارد قرار مي‌گيرند</w:t>
      </w:r>
      <w:r>
        <w:rPr>
          <w:rFonts w:hint="cs"/>
          <w:rtl w:val="true"/>
        </w:rPr>
        <w:t>)</w:t>
      </w:r>
      <w:r>
        <w:rPr>
          <w:rtl w:val="true"/>
        </w:rPr>
        <w:t xml:space="preserve"> </w:t>
      </w:r>
      <w:r>
        <w:rPr>
          <w:rtl w:val="true"/>
        </w:rPr>
        <w:t>بيشتر نباشد</w:t>
      </w:r>
      <w:r>
        <w:rPr>
          <w:rtl w:val="true"/>
        </w:rPr>
        <w:t>.</w:t>
      </w:r>
    </w:p>
    <w:p>
      <w:pPr>
        <w:pStyle w:val="Fa8"/>
        <w:ind w:end="0"/>
        <w:jc w:val="both"/>
        <w:rPr>
          <w:rFonts w:hint="cs"/>
        </w:rPr>
      </w:pPr>
      <w:r>
        <w:rPr>
          <w:rFonts w:hint="cs"/>
          <w:rtl w:val="true"/>
        </w:rPr>
      </w:r>
    </w:p>
    <w:p>
      <w:pPr>
        <w:pStyle w:val="1LotusZirAlef1"/>
        <w:ind w:end="0"/>
        <w:jc w:val="both"/>
        <w:rPr/>
      </w:pPr>
      <w:r>
        <w:rPr/>
        <w:t>24</w:t>
      </w:r>
      <w:r>
        <w:rPr>
          <w:rtl w:val="true"/>
        </w:rPr>
        <w:t xml:space="preserve"> .</w:t>
        <w:tab/>
      </w:r>
      <w:r>
        <w:rPr>
          <w:rtl w:val="true"/>
        </w:rPr>
        <w:t xml:space="preserve">زيان کاهش ارزش </w:t>
      </w:r>
      <w:r>
        <w:rPr>
          <w:rtl w:val="true"/>
        </w:rPr>
        <w:t>(</w:t>
      </w:r>
      <w:r>
        <w:rPr>
          <w:rtl w:val="true"/>
        </w:rPr>
        <w:t>يا هر گونه سود بعدي</w:t>
      </w:r>
      <w:r>
        <w:rPr>
          <w:rtl w:val="true"/>
        </w:rPr>
        <w:t xml:space="preserve">) </w:t>
      </w:r>
      <w:r>
        <w:rPr>
          <w:rtl w:val="true"/>
        </w:rPr>
        <w:t>شناسايي شده براي مجموعه‌اي واحد بايد مبلغ دفتري داراييهاي غيرجاري آن مجموعه‌ را که در دامنه الزامات اندازه‌گيري اين استاندارد قرار مي‌گيرد به</w:t>
      </w:r>
      <w:r>
        <w:rPr>
          <w:rFonts w:cs="Times New Roman"/>
          <w:rtl w:val="true"/>
        </w:rPr>
        <w:t> </w:t>
      </w:r>
      <w:r>
        <w:rPr>
          <w:rtl w:val="true"/>
        </w:rPr>
        <w:t xml:space="preserve">شرح مندرج در بندهاي الف و ب زير، کاهش </w:t>
      </w:r>
      <w:r>
        <w:rPr>
          <w:rtl w:val="true"/>
        </w:rPr>
        <w:t>(</w:t>
      </w:r>
      <w:r>
        <w:rPr>
          <w:rtl w:val="true"/>
        </w:rPr>
        <w:t>يا افزايش</w:t>
      </w:r>
      <w:r>
        <w:rPr>
          <w:rtl w:val="true"/>
        </w:rPr>
        <w:t xml:space="preserve">) </w:t>
      </w:r>
      <w:r>
        <w:rPr>
          <w:rtl w:val="true"/>
        </w:rPr>
        <w:t>دهد</w:t>
      </w:r>
      <w:r>
        <w:rPr>
          <w:rtl w:val="true"/>
        </w:rPr>
        <w:t>:</w:t>
      </w:r>
    </w:p>
    <w:p>
      <w:pPr>
        <w:pStyle w:val="1LotusAlef2"/>
        <w:ind w:end="0"/>
        <w:jc w:val="both"/>
        <w:rPr/>
      </w:pPr>
      <w:r>
        <w:rPr>
          <w:rtl w:val="true"/>
        </w:rPr>
        <w:t>الف</w:t>
      </w:r>
      <w:r>
        <w:rPr>
          <w:rtl w:val="true"/>
        </w:rPr>
        <w:t>.</w:t>
        <w:tab/>
      </w:r>
      <w:r>
        <w:rPr>
          <w:rtl w:val="true"/>
        </w:rPr>
        <w:t>زيان کاهش ارزش بايد به ترتيب زير جهت کاهش مبلغ دفتري داراييهاي غيرجاري مجموعه واحد تخصيص يابد</w:t>
      </w:r>
      <w:r>
        <w:rPr>
          <w:rtl w:val="true"/>
        </w:rPr>
        <w:t>:</w:t>
      </w:r>
    </w:p>
    <w:p>
      <w:pPr>
        <w:pStyle w:val="1LotusAlef11"/>
        <w:ind w:end="0"/>
        <w:jc w:val="both"/>
        <w:rPr/>
      </w:pPr>
      <w:r>
        <w:rPr/>
        <w:t>1</w:t>
      </w:r>
      <w:r>
        <w:rPr>
          <w:rtl w:val="true"/>
        </w:rPr>
        <w:t xml:space="preserve"> .</w:t>
        <w:tab/>
      </w:r>
      <w:r>
        <w:rPr>
          <w:rtl w:val="true"/>
        </w:rPr>
        <w:t>ابتدا، صرف کاهش مبلغ دفتري سرقفلي مرتبط با مجموعه‌ واحد شود، و</w:t>
      </w:r>
    </w:p>
    <w:p>
      <w:pPr>
        <w:pStyle w:val="1LotusAlef11"/>
        <w:ind w:end="0"/>
        <w:jc w:val="both"/>
        <w:rPr/>
      </w:pPr>
      <w:r>
        <w:rPr/>
        <w:t>2</w:t>
      </w:r>
      <w:r>
        <w:rPr>
          <w:rtl w:val="true"/>
        </w:rPr>
        <w:t xml:space="preserve">  .</w:t>
        <w:tab/>
      </w:r>
      <w:r>
        <w:rPr>
          <w:rtl w:val="true"/>
        </w:rPr>
        <w:t>باقيمانده زيان کاهش ارزش متناسب با مبلغ دفتري ساير داراييهاي غيرجاري مجموعه واحد، به آنها تخصيص يابد</w:t>
      </w:r>
      <w:r>
        <w:rPr>
          <w:rtl w:val="true"/>
        </w:rPr>
        <w:t>.</w:t>
      </w:r>
    </w:p>
    <w:p>
      <w:pPr>
        <w:pStyle w:val="1LotusAlefZir"/>
        <w:ind w:end="0"/>
        <w:jc w:val="both"/>
        <w:rPr/>
      </w:pPr>
      <w:r>
        <w:rPr>
          <w:rtl w:val="true"/>
        </w:rPr>
        <w:t>اين کاهش در مبالغ دفتري بايد به</w:t>
      </w:r>
      <w:r>
        <w:rPr>
          <w:rFonts w:cs="Times New Roman"/>
          <w:rtl w:val="true"/>
        </w:rPr>
        <w:t> </w:t>
      </w:r>
      <w:r>
        <w:rPr>
          <w:rtl w:val="true"/>
        </w:rPr>
        <w:t>عنوان زيان کاهش ارزش هر يک از داراييهاي منفرد درنظر گرفته شود و بلافاصله در</w:t>
      </w:r>
      <w:r>
        <w:rPr>
          <w:rFonts w:hint="cs" w:cs="Times New Roman"/>
          <w:rtl w:val="true"/>
        </w:rPr>
        <w:t> </w:t>
      </w:r>
      <w:r>
        <w:rPr>
          <w:rtl w:val="true"/>
        </w:rPr>
        <w:t>صورت سود و زيان شناسايي گردد</w:t>
      </w:r>
      <w:r>
        <w:rPr>
          <w:rtl w:val="true"/>
        </w:rPr>
        <w:t>.</w:t>
      </w:r>
    </w:p>
    <w:p>
      <w:pPr>
        <w:pStyle w:val="Fa41"/>
        <w:ind w:end="0"/>
        <w:jc w:val="both"/>
        <w:rPr/>
      </w:pPr>
      <w:r>
        <w:rPr>
          <w:rtl w:val="true"/>
        </w:rPr>
      </w:r>
    </w:p>
    <w:p>
      <w:pPr>
        <w:pStyle w:val="1LotusAlef2"/>
        <w:ind w:end="0"/>
        <w:jc w:val="both"/>
        <w:rPr/>
      </w:pPr>
      <w:r>
        <w:rPr>
          <w:rtl w:val="true"/>
        </w:rPr>
        <w:t xml:space="preserve">ب </w:t>
      </w:r>
      <w:r>
        <w:rPr>
          <w:rtl w:val="true"/>
        </w:rPr>
        <w:t>.</w:t>
        <w:tab/>
      </w:r>
      <w:r>
        <w:rPr>
          <w:rtl w:val="true"/>
        </w:rPr>
        <w:t>برگشت زيان کاهش ارزش مجموعه واحد بايد به</w:t>
      </w:r>
      <w:r>
        <w:rPr>
          <w:rFonts w:cs="Times New Roman"/>
          <w:rtl w:val="true"/>
        </w:rPr>
        <w:t> </w:t>
      </w:r>
      <w:r>
        <w:rPr>
          <w:rtl w:val="true"/>
        </w:rPr>
        <w:t xml:space="preserve">منظور افزايش مبلغ دفتري داراييهاي </w:t>
      </w:r>
      <w:r>
        <w:rPr>
          <w:rFonts w:hint="cs"/>
          <w:rtl w:val="true"/>
        </w:rPr>
        <w:t>غير</w:t>
      </w:r>
      <w:r>
        <w:rPr>
          <w:rFonts w:hint="cs" w:cs="Times New Roman"/>
          <w:rtl w:val="true"/>
        </w:rPr>
        <w:t> </w:t>
      </w:r>
      <w:r>
        <w:rPr>
          <w:rFonts w:hint="cs"/>
          <w:rtl w:val="true"/>
        </w:rPr>
        <w:t xml:space="preserve">جاري </w:t>
      </w:r>
      <w:r>
        <w:rPr>
          <w:rtl w:val="true"/>
        </w:rPr>
        <w:t>آن غير از سرقفلي، تخصيص يابد</w:t>
      </w:r>
      <w:r>
        <w:rPr>
          <w:rtl w:val="true"/>
        </w:rPr>
        <w:t>.</w:t>
      </w:r>
    </w:p>
    <w:p>
      <w:pPr>
        <w:pStyle w:val="1LotusAlefZir"/>
        <w:ind w:end="0"/>
        <w:jc w:val="both"/>
        <w:rPr/>
      </w:pPr>
      <w:r>
        <w:rPr>
          <w:rtl w:val="true"/>
        </w:rPr>
        <w:t>اين افزايش در مبالغ دفتري بايد به</w:t>
      </w:r>
      <w:r>
        <w:rPr>
          <w:rFonts w:cs="Times New Roman"/>
          <w:rtl w:val="true"/>
        </w:rPr>
        <w:t> </w:t>
      </w:r>
      <w:r>
        <w:rPr>
          <w:rtl w:val="true"/>
        </w:rPr>
        <w:t>عنوان برگشت زيان کاهش ارزش هر يک از داراييهاي منفرد درنظر گرفته شود و بلافاصله در</w:t>
      </w:r>
      <w:r>
        <w:rPr>
          <w:rFonts w:hint="cs" w:cs="Times New Roman"/>
          <w:rtl w:val="true"/>
        </w:rPr>
        <w:t> </w:t>
      </w:r>
      <w:r>
        <w:rPr>
          <w:rtl w:val="true"/>
        </w:rPr>
        <w:t>صورت سود و زيان شناسايي گردد</w:t>
      </w:r>
      <w:r>
        <w:rPr>
          <w:rtl w:val="true"/>
        </w:rPr>
        <w:t>.</w:t>
      </w:r>
    </w:p>
    <w:p>
      <w:pPr>
        <w:pStyle w:val="1Lotus1"/>
        <w:ind w:end="0"/>
        <w:jc w:val="both"/>
        <w:rPr/>
      </w:pPr>
      <w:r>
        <w:rPr/>
        <w:t>25</w:t>
      </w:r>
      <w:r>
        <w:rPr>
          <w:rtl w:val="true"/>
        </w:rPr>
        <w:t xml:space="preserve"> .</w:t>
        <w:tab/>
      </w:r>
      <w:r>
        <w:rPr>
          <w:rtl w:val="true"/>
        </w:rPr>
        <w:t xml:space="preserve">سود يا زياني که تا تاريخ فروش يک دارايي غيرجاري </w:t>
      </w:r>
      <w:r>
        <w:rPr>
          <w:rtl w:val="true"/>
        </w:rPr>
        <w:t>(</w:t>
      </w:r>
      <w:r>
        <w:rPr>
          <w:rtl w:val="true"/>
        </w:rPr>
        <w:t>يا مجموعه</w:t>
      </w:r>
      <w:r>
        <w:rPr>
          <w:rFonts w:hint="cs"/>
          <w:rtl w:val="true"/>
        </w:rPr>
        <w:t>‌اي</w:t>
      </w:r>
      <w:r>
        <w:rPr>
          <w:rtl w:val="true"/>
        </w:rPr>
        <w:t>‌ واحد</w:t>
      </w:r>
      <w:r>
        <w:rPr>
          <w:rtl w:val="true"/>
        </w:rPr>
        <w:t xml:space="preserve">) </w:t>
      </w:r>
      <w:r>
        <w:rPr>
          <w:rtl w:val="true"/>
        </w:rPr>
        <w:t>شناسايي نشده، بايد در تاريخ قطع شناخت شناسايي گردد</w:t>
      </w:r>
      <w:r>
        <w:rPr>
          <w:rtl w:val="true"/>
        </w:rPr>
        <w:t xml:space="preserve">. </w:t>
      </w:r>
      <w:r>
        <w:rPr>
          <w:rtl w:val="true"/>
        </w:rPr>
        <w:t>الزامات مربوط به قطع شناخت در بندهاي</w:t>
      </w:r>
      <w:r>
        <w:rPr>
          <w:rtl w:val="true"/>
        </w:rPr>
        <w:t> </w:t>
      </w:r>
      <w:r>
        <w:rPr/>
        <w:t>70</w:t>
      </w:r>
      <w:r>
        <w:rPr>
          <w:rtl w:val="true"/>
        </w:rPr>
        <w:t xml:space="preserve"> </w:t>
      </w:r>
      <w:r>
        <w:rPr>
          <w:rtl w:val="true"/>
        </w:rPr>
        <w:t xml:space="preserve">تا </w:t>
      </w:r>
      <w:r>
        <w:rPr>
          <w:rFonts w:hint="cs"/>
        </w:rPr>
        <w:t>75</w:t>
      </w:r>
      <w:r>
        <w:rPr>
          <w:rtl w:val="true"/>
        </w:rPr>
        <w:t xml:space="preserve"> </w:t>
      </w:r>
      <w:r>
        <w:rPr>
          <w:rtl w:val="true"/>
        </w:rPr>
        <w:t xml:space="preserve">استاندارد حسابداري شماره </w:t>
      </w:r>
      <w:r>
        <w:rPr/>
        <w:t>11</w:t>
      </w:r>
      <w:r>
        <w:rPr>
          <w:rtl w:val="true"/>
        </w:rPr>
        <w:t xml:space="preserve"> </w:t>
      </w:r>
      <w:r>
        <w:rPr>
          <w:rtl w:val="true"/>
        </w:rPr>
        <w:t>با</w:t>
      </w:r>
      <w:r>
        <w:rPr>
          <w:rFonts w:hint="cs" w:cs="Times New Roman"/>
          <w:rtl w:val="true"/>
        </w:rPr>
        <w:t> </w:t>
      </w:r>
      <w:r>
        <w:rPr>
          <w:rtl w:val="true"/>
        </w:rPr>
        <w:t xml:space="preserve">عنوان </w:t>
      </w:r>
      <w:r>
        <w:rPr>
          <w:rStyle w:val="D-TrafficVasat"/>
          <w:rtl w:val="true"/>
        </w:rPr>
        <w:t>داراييهاي ثابت مشهود</w:t>
      </w:r>
      <w:r>
        <w:rPr>
          <w:rFonts w:cs="Traffic;Courier New"/>
          <w:sz w:val="20"/>
          <w:szCs w:val="22"/>
          <w:rtl w:val="true"/>
        </w:rPr>
        <w:t xml:space="preserve"> </w:t>
      </w:r>
      <w:r>
        <w:rPr>
          <w:rtl w:val="true"/>
        </w:rPr>
        <w:t>(</w:t>
      </w:r>
      <w:r>
        <w:rPr>
          <w:rtl w:val="true"/>
        </w:rPr>
        <w:t xml:space="preserve">تجديدنظر شده در </w:t>
      </w:r>
      <w:r>
        <w:rPr/>
        <w:t>1386</w:t>
      </w:r>
      <w:r>
        <w:rPr>
          <w:rtl w:val="true"/>
        </w:rPr>
        <w:t>)</w:t>
      </w:r>
      <w:r>
        <w:rPr>
          <w:rtl w:val="true"/>
        </w:rPr>
        <w:t xml:space="preserve">، و بندهاي </w:t>
      </w:r>
      <w:r>
        <w:rPr/>
        <w:t>89</w:t>
      </w:r>
      <w:r>
        <w:rPr>
          <w:rtl w:val="true"/>
        </w:rPr>
        <w:t xml:space="preserve"> </w:t>
      </w:r>
      <w:r>
        <w:rPr>
          <w:rtl w:val="true"/>
        </w:rPr>
        <w:t xml:space="preserve">تا </w:t>
      </w:r>
      <w:r>
        <w:rPr>
          <w:rFonts w:hint="cs"/>
        </w:rPr>
        <w:t>95</w:t>
      </w:r>
      <w:r>
        <w:rPr>
          <w:rtl w:val="true"/>
        </w:rPr>
        <w:t xml:space="preserve"> </w:t>
      </w:r>
      <w:r>
        <w:rPr>
          <w:rtl w:val="true"/>
        </w:rPr>
        <w:t xml:space="preserve">استاندارد حسابداري شماره </w:t>
      </w:r>
      <w:r>
        <w:rPr/>
        <w:t>17</w:t>
      </w:r>
      <w:r>
        <w:rPr>
          <w:rtl w:val="true"/>
        </w:rPr>
        <w:t xml:space="preserve"> </w:t>
      </w:r>
      <w:r>
        <w:rPr>
          <w:rtl w:val="true"/>
        </w:rPr>
        <w:t>با</w:t>
      </w:r>
      <w:r>
        <w:rPr>
          <w:rFonts w:hint="cs" w:cs="Times New Roman"/>
          <w:rtl w:val="true"/>
        </w:rPr>
        <w:t> </w:t>
      </w:r>
      <w:r>
        <w:rPr>
          <w:rtl w:val="true"/>
        </w:rPr>
        <w:t xml:space="preserve">عنوان </w:t>
      </w:r>
      <w:r>
        <w:rPr>
          <w:rFonts w:cs="Traffic;Courier New"/>
          <w:sz w:val="20"/>
          <w:szCs w:val="22"/>
          <w:rtl w:val="true"/>
        </w:rPr>
        <w:t>داراييهاي نامشهود</w:t>
      </w:r>
      <w:r>
        <w:rPr>
          <w:rtl w:val="true"/>
        </w:rPr>
        <w:t xml:space="preserve"> </w:t>
      </w:r>
      <w:r>
        <w:rPr>
          <w:rtl w:val="true"/>
        </w:rPr>
        <w:t>(</w:t>
      </w:r>
      <w:r>
        <w:rPr>
          <w:rtl w:val="true"/>
        </w:rPr>
        <w:t xml:space="preserve">تجديدنظر شده در </w:t>
      </w:r>
      <w:r>
        <w:rPr/>
        <w:t>1386</w:t>
      </w:r>
      <w:r>
        <w:rPr>
          <w:rtl w:val="true"/>
        </w:rPr>
        <w:t>)</w:t>
      </w:r>
      <w:r>
        <w:rPr>
          <w:rtl w:val="true"/>
        </w:rPr>
        <w:t>، آمده است</w:t>
      </w:r>
      <w:r>
        <w:rPr>
          <w:rtl w:val="true"/>
        </w:rPr>
        <w:t>.</w:t>
      </w:r>
    </w:p>
    <w:p>
      <w:pPr>
        <w:pStyle w:val="1Lotus1"/>
        <w:ind w:end="0"/>
        <w:jc w:val="both"/>
        <w:rPr/>
      </w:pPr>
      <w:r>
        <w:rPr/>
        <w:t>26</w:t>
      </w:r>
      <w:r>
        <w:rPr>
          <w:rtl w:val="true"/>
        </w:rPr>
        <w:t xml:space="preserve"> .</w:t>
        <w:tab/>
      </w:r>
      <w:r>
        <w:rPr>
          <w:rtl w:val="true"/>
        </w:rPr>
        <w:t>واحد تجاري نبايد يک دارايي غيرجاري که منفرداً يا در قالب بخشي از يک مجموعه واحد به</w:t>
      </w:r>
      <w:r>
        <w:rPr>
          <w:rFonts w:cs="Times New Roman"/>
          <w:rtl w:val="true"/>
        </w:rPr>
        <w:t> </w:t>
      </w:r>
      <w:r>
        <w:rPr>
          <w:rtl w:val="true"/>
        </w:rPr>
        <w:t>عنوان نگهداري شده براي فروش طبقه‌بندي شده است را مستهلک کند</w:t>
      </w:r>
      <w:r>
        <w:rPr>
          <w:rtl w:val="true"/>
        </w:rPr>
        <w:t xml:space="preserve">. </w:t>
      </w:r>
      <w:r>
        <w:rPr>
          <w:rtl w:val="true"/>
        </w:rPr>
        <w:t>شناسايي سود تضمين شده و ساير هزينه‌هاي قابل انتساب به بدهيهاي مجموعه‌ واحدي که به</w:t>
      </w:r>
      <w:r>
        <w:rPr>
          <w:rFonts w:cs="Times New Roman"/>
          <w:rtl w:val="true"/>
        </w:rPr>
        <w:t> </w:t>
      </w:r>
      <w:r>
        <w:rPr>
          <w:rtl w:val="true"/>
        </w:rPr>
        <w:t>عنوان نگهداري شده براي فروش طبقه‌بندي شده است، ادامه مي‌يابد</w:t>
      </w:r>
      <w:r>
        <w:rPr>
          <w:rtl w:val="true"/>
        </w:rPr>
        <w:t>.</w:t>
      </w:r>
    </w:p>
    <w:p>
      <w:pPr>
        <w:pStyle w:val="Heading2"/>
        <w:ind w:end="0"/>
        <w:jc w:val="start"/>
        <w:rPr/>
      </w:pPr>
      <w:r>
        <w:rPr>
          <w:rtl w:val="true"/>
        </w:rPr>
        <w:t>تغييرات طرح فروش</w:t>
      </w:r>
    </w:p>
    <w:p>
      <w:pPr>
        <w:pStyle w:val="1Lotus1"/>
        <w:ind w:end="0"/>
        <w:jc w:val="both"/>
        <w:rPr/>
      </w:pPr>
      <w:r>
        <w:rPr/>
        <w:t>27</w:t>
      </w:r>
      <w:r>
        <w:rPr>
          <w:rtl w:val="true"/>
        </w:rPr>
        <w:t xml:space="preserve"> .</w:t>
        <w:tab/>
      </w:r>
      <w:r>
        <w:rPr>
          <w:rtl w:val="true"/>
        </w:rPr>
        <w:t>در</w:t>
      </w:r>
      <w:r>
        <w:rPr>
          <w:rFonts w:hint="cs" w:cs="Times New Roman"/>
          <w:rtl w:val="true"/>
        </w:rPr>
        <w:t> </w:t>
      </w:r>
      <w:r>
        <w:rPr>
          <w:rtl w:val="true"/>
        </w:rPr>
        <w:t>صورتي  که واحد تجاري يک داراي</w:t>
      </w:r>
      <w:r>
        <w:rPr>
          <w:rFonts w:hint="cs"/>
          <w:rtl w:val="true"/>
        </w:rPr>
        <w:t>ي غير جاري</w:t>
      </w:r>
      <w:r>
        <w:rPr>
          <w:rtl w:val="true"/>
        </w:rPr>
        <w:t xml:space="preserve"> </w:t>
      </w:r>
      <w:r>
        <w:rPr>
          <w:rtl w:val="true"/>
        </w:rPr>
        <w:t>(</w:t>
      </w:r>
      <w:r>
        <w:rPr>
          <w:rtl w:val="true"/>
        </w:rPr>
        <w:t>يا</w:t>
      </w:r>
      <w:r>
        <w:rPr>
          <w:rFonts w:hint="cs" w:cs="Times New Roman"/>
          <w:rtl w:val="true"/>
        </w:rPr>
        <w:t> </w:t>
      </w:r>
      <w:r>
        <w:rPr>
          <w:rFonts w:hint="cs"/>
          <w:rtl w:val="true"/>
        </w:rPr>
        <w:t>مجموعه</w:t>
      </w:r>
      <w:r>
        <w:rPr>
          <w:rFonts w:hint="eastAsia"/>
          <w:rtl w:val="true"/>
        </w:rPr>
        <w:t>‌اي</w:t>
      </w:r>
      <w:r>
        <w:rPr>
          <w:rFonts w:hint="cs"/>
          <w:rtl w:val="true"/>
        </w:rPr>
        <w:t xml:space="preserve"> واحد</w:t>
      </w:r>
      <w:r>
        <w:rPr>
          <w:rFonts w:hint="cs"/>
          <w:rtl w:val="true"/>
        </w:rPr>
        <w:t xml:space="preserve">) </w:t>
      </w:r>
      <w:r>
        <w:rPr>
          <w:rFonts w:hint="cs"/>
          <w:rtl w:val="true"/>
        </w:rPr>
        <w:t xml:space="preserve">را </w:t>
      </w:r>
      <w:r>
        <w:rPr>
          <w:rtl w:val="true"/>
        </w:rPr>
        <w:t>به</w:t>
      </w:r>
      <w:r>
        <w:rPr>
          <w:rFonts w:cs="Times New Roman"/>
          <w:rtl w:val="true"/>
        </w:rPr>
        <w:t> </w:t>
      </w:r>
      <w:r>
        <w:rPr>
          <w:rtl w:val="true"/>
        </w:rPr>
        <w:t>عنوان نگهداري شده براي فروش طبقه‌بندي نموده باشد، اما معيارهاي مندرج در بندهاي</w:t>
      </w:r>
      <w:r>
        <w:rPr>
          <w:rFonts w:hint="cs" w:cs="Times New Roman"/>
          <w:rtl w:val="true"/>
        </w:rPr>
        <w:t> </w:t>
      </w:r>
      <w:r>
        <w:rPr/>
        <w:t>8</w:t>
      </w:r>
      <w:r>
        <w:rPr>
          <w:rtl w:val="true"/>
        </w:rPr>
        <w:t xml:space="preserve"> </w:t>
      </w:r>
      <w:r>
        <w:rPr>
          <w:rtl w:val="true"/>
        </w:rPr>
        <w:t>تا</w:t>
      </w:r>
      <w:r>
        <w:rPr>
          <w:rFonts w:hint="cs" w:cs="Times New Roman"/>
          <w:rtl w:val="true"/>
        </w:rPr>
        <w:t> </w:t>
      </w:r>
      <w:r>
        <w:rPr/>
        <w:t>10</w:t>
      </w:r>
      <w:r>
        <w:rPr>
          <w:rtl w:val="true"/>
        </w:rPr>
        <w:t xml:space="preserve"> </w:t>
      </w:r>
      <w:r>
        <w:rPr>
          <w:rtl w:val="true"/>
        </w:rPr>
        <w:t xml:space="preserve">ديگر برقرار نباشد، واحد تجاري بايد طبقه‌بندي دارايي </w:t>
      </w:r>
      <w:r>
        <w:rPr>
          <w:rtl w:val="true"/>
        </w:rPr>
        <w:t>(</w:t>
      </w:r>
      <w:r>
        <w:rPr>
          <w:rtl w:val="true"/>
        </w:rPr>
        <w:t>يا</w:t>
      </w:r>
      <w:r>
        <w:rPr>
          <w:rFonts w:hint="cs" w:cs="Times New Roman"/>
          <w:rtl w:val="true"/>
        </w:rPr>
        <w:t> </w:t>
      </w:r>
      <w:r>
        <w:rPr>
          <w:rFonts w:hint="cs"/>
          <w:rtl w:val="true"/>
        </w:rPr>
        <w:t>م</w:t>
      </w:r>
      <w:r>
        <w:rPr>
          <w:rtl w:val="true"/>
        </w:rPr>
        <w:t>جموعه واحد</w:t>
      </w:r>
      <w:r>
        <w:rPr>
          <w:rtl w:val="true"/>
        </w:rPr>
        <w:t xml:space="preserve">) </w:t>
      </w:r>
      <w:r>
        <w:rPr>
          <w:rtl w:val="true"/>
        </w:rPr>
        <w:t>به</w:t>
      </w:r>
      <w:r>
        <w:rPr>
          <w:rFonts w:cs="Times New Roman"/>
          <w:rtl w:val="true"/>
        </w:rPr>
        <w:t> </w:t>
      </w:r>
      <w:r>
        <w:rPr>
          <w:rtl w:val="true"/>
        </w:rPr>
        <w:t>عنوان نگهداري شده براي فروش را متوقف نمايد</w:t>
      </w:r>
      <w:r>
        <w:rPr>
          <w:rtl w:val="true"/>
        </w:rPr>
        <w:t>.</w:t>
      </w:r>
    </w:p>
    <w:p>
      <w:pPr>
        <w:pStyle w:val="1LotusZirAlef1"/>
        <w:ind w:end="0"/>
        <w:jc w:val="both"/>
        <w:rPr/>
      </w:pPr>
      <w:r>
        <w:rPr/>
        <w:t>28</w:t>
      </w:r>
      <w:r>
        <w:rPr>
          <w:rtl w:val="true"/>
        </w:rPr>
        <w:t xml:space="preserve"> .</w:t>
        <w:tab/>
      </w:r>
      <w:r>
        <w:rPr>
          <w:rtl w:val="true"/>
        </w:rPr>
        <w:t>واحد تجاري بايد يک دارايي غيرجاري را که طبقه‌بندي آن به</w:t>
      </w:r>
      <w:r>
        <w:rPr>
          <w:rFonts w:cs="Times New Roman"/>
          <w:rtl w:val="true"/>
        </w:rPr>
        <w:t> </w:t>
      </w:r>
      <w:r>
        <w:rPr>
          <w:rtl w:val="true"/>
        </w:rPr>
        <w:t>عنوان نگهداري شده براي</w:t>
      </w:r>
      <w:r>
        <w:rPr>
          <w:rFonts w:hint="cs" w:cs="Times New Roman"/>
          <w:rtl w:val="true"/>
        </w:rPr>
        <w:t> </w:t>
      </w:r>
      <w:r>
        <w:rPr>
          <w:rtl w:val="true"/>
        </w:rPr>
        <w:t xml:space="preserve">فروش متوقف </w:t>
      </w:r>
      <w:r>
        <w:rPr>
          <w:rFonts w:hint="cs"/>
          <w:rtl w:val="true"/>
        </w:rPr>
        <w:t>شده است</w:t>
      </w:r>
      <w:r>
        <w:rPr>
          <w:rtl w:val="true"/>
        </w:rPr>
        <w:t xml:space="preserve"> </w:t>
      </w:r>
      <w:r>
        <w:rPr>
          <w:rtl w:val="true"/>
        </w:rPr>
        <w:t>(</w:t>
      </w:r>
      <w:r>
        <w:rPr>
          <w:rtl w:val="true"/>
        </w:rPr>
        <w:t>يا</w:t>
      </w:r>
      <w:r>
        <w:rPr>
          <w:rFonts w:hint="cs" w:cs="Times New Roman"/>
          <w:rtl w:val="true"/>
        </w:rPr>
        <w:t> </w:t>
      </w:r>
      <w:r>
        <w:rPr>
          <w:rFonts w:hint="cs"/>
          <w:rtl w:val="true"/>
        </w:rPr>
        <w:t>اينکه از مجموعه واحد نگهداري شده براي فروش خارج مي‌شود</w:t>
      </w:r>
      <w:r>
        <w:rPr>
          <w:rFonts w:hint="cs"/>
          <w:rtl w:val="true"/>
        </w:rPr>
        <w:t>)</w:t>
      </w:r>
      <w:r>
        <w:rPr>
          <w:rFonts w:hint="cs"/>
          <w:rtl w:val="true"/>
        </w:rPr>
        <w:t>، به اقل مبالغ زير اندازه‌گيري کند</w:t>
      </w:r>
      <w:r>
        <w:rPr>
          <w:rFonts w:hint="cs"/>
          <w:rtl w:val="true"/>
        </w:rPr>
        <w:t>:</w:t>
      </w:r>
    </w:p>
    <w:p>
      <w:pPr>
        <w:pStyle w:val="1LotusAlef2"/>
        <w:ind w:end="0"/>
        <w:jc w:val="both"/>
        <w:rPr/>
      </w:pPr>
      <w:r>
        <w:rPr>
          <w:rtl w:val="true"/>
        </w:rPr>
        <w:t>الف</w:t>
      </w:r>
      <w:r>
        <w:rPr>
          <w:rtl w:val="true"/>
        </w:rPr>
        <w:t>.</w:t>
        <w:tab/>
      </w:r>
      <w:r>
        <w:rPr>
          <w:rtl w:val="true"/>
        </w:rPr>
        <w:t xml:space="preserve">مبلغ دفتري آن قبل از اين که دارايي </w:t>
      </w:r>
      <w:r>
        <w:rPr>
          <w:rFonts w:hint="cs"/>
          <w:rtl w:val="true"/>
        </w:rPr>
        <w:t>غير</w:t>
      </w:r>
      <w:r>
        <w:rPr>
          <w:rFonts w:hint="cs" w:cs="Times New Roman"/>
          <w:rtl w:val="true"/>
        </w:rPr>
        <w:t> </w:t>
      </w:r>
      <w:r>
        <w:rPr>
          <w:rFonts w:hint="cs"/>
          <w:rtl w:val="true"/>
        </w:rPr>
        <w:t xml:space="preserve">جاري </w:t>
      </w:r>
      <w:r>
        <w:rPr>
          <w:rtl w:val="true"/>
        </w:rPr>
        <w:t>(</w:t>
      </w:r>
      <w:r>
        <w:rPr>
          <w:rtl w:val="true"/>
        </w:rPr>
        <w:t>يا مجموعه واحد</w:t>
      </w:r>
      <w:r>
        <w:rPr>
          <w:rtl w:val="true"/>
        </w:rPr>
        <w:t xml:space="preserve">) </w:t>
      </w:r>
      <w:r>
        <w:rPr>
          <w:rtl w:val="true"/>
        </w:rPr>
        <w:t>به</w:t>
      </w:r>
      <w:r>
        <w:rPr>
          <w:rFonts w:cs="Times New Roman"/>
          <w:rtl w:val="true"/>
        </w:rPr>
        <w:t> </w:t>
      </w:r>
      <w:r>
        <w:rPr>
          <w:rtl w:val="true"/>
        </w:rPr>
        <w:t>عنوان نگهداري شده براي فروش طبقه‌بندي شود پس</w:t>
      </w:r>
      <w:r>
        <w:rPr>
          <w:rFonts w:cs="Times New Roman"/>
          <w:rtl w:val="true"/>
        </w:rPr>
        <w:t> </w:t>
      </w:r>
      <w:r>
        <w:rPr>
          <w:rtl w:val="true"/>
        </w:rPr>
        <w:t>از تعديل بابت هر گونه استهلاک، يا تجديد ارزيابي که در</w:t>
      </w:r>
      <w:r>
        <w:rPr>
          <w:rFonts w:hint="cs" w:cs="Times New Roman"/>
          <w:rtl w:val="true"/>
        </w:rPr>
        <w:t> </w:t>
      </w:r>
      <w:r>
        <w:rPr>
          <w:rtl w:val="true"/>
        </w:rPr>
        <w:t xml:space="preserve">صورت عدم طبقه‌بندي دارايي </w:t>
      </w:r>
      <w:r>
        <w:rPr>
          <w:rtl w:val="true"/>
        </w:rPr>
        <w:t>(</w:t>
      </w:r>
      <w:r>
        <w:rPr>
          <w:rFonts w:hint="cs"/>
          <w:rtl w:val="true"/>
        </w:rPr>
        <w:t xml:space="preserve">يا </w:t>
      </w:r>
      <w:r>
        <w:rPr>
          <w:rtl w:val="true"/>
        </w:rPr>
        <w:t>مجموعه واحد</w:t>
      </w:r>
      <w:r>
        <w:rPr>
          <w:rtl w:val="true"/>
        </w:rPr>
        <w:t xml:space="preserve">) </w:t>
      </w:r>
      <w:r>
        <w:rPr>
          <w:rtl w:val="true"/>
        </w:rPr>
        <w:t>به</w:t>
      </w:r>
      <w:r>
        <w:rPr>
          <w:rFonts w:cs="Times New Roman"/>
          <w:rtl w:val="true"/>
        </w:rPr>
        <w:t> </w:t>
      </w:r>
      <w:r>
        <w:rPr>
          <w:rtl w:val="true"/>
        </w:rPr>
        <w:t>عنوان نگهداري شده براي فروش شناسايي مي‌شد، و</w:t>
      </w:r>
    </w:p>
    <w:p>
      <w:pPr>
        <w:pStyle w:val="1LotusAlef2"/>
        <w:ind w:end="0"/>
        <w:jc w:val="both"/>
        <w:rPr/>
      </w:pPr>
      <w:r>
        <w:rPr>
          <w:rtl w:val="true"/>
        </w:rPr>
        <w:t xml:space="preserve">ب </w:t>
      </w:r>
      <w:r>
        <w:rPr>
          <w:rtl w:val="true"/>
        </w:rPr>
        <w:t>.</w:t>
        <w:tab/>
      </w:r>
      <w:r>
        <w:rPr>
          <w:rtl w:val="true"/>
        </w:rPr>
        <w:t>مبلغ بازيافتني آن در تاريخ انصراف از فروش</w:t>
      </w:r>
      <w:r>
        <w:rPr>
          <w:rtl w:val="true"/>
        </w:rPr>
        <w:t>.</w:t>
      </w:r>
    </w:p>
    <w:p>
      <w:pPr>
        <w:pStyle w:val="Fa8"/>
        <w:ind w:end="0"/>
        <w:jc w:val="both"/>
        <w:rPr/>
      </w:pPr>
      <w:r>
        <w:rPr>
          <w:rtl w:val="true"/>
        </w:rPr>
      </w:r>
    </w:p>
    <w:p>
      <w:pPr>
        <w:pStyle w:val="1Lotus1"/>
        <w:ind w:end="0"/>
        <w:jc w:val="both"/>
        <w:rPr/>
      </w:pPr>
      <w:r>
        <w:rPr/>
        <w:t>29</w:t>
      </w:r>
      <w:r>
        <w:rPr>
          <w:rtl w:val="true"/>
        </w:rPr>
        <w:t xml:space="preserve"> .</w:t>
        <w:tab/>
      </w:r>
      <w:r>
        <w:rPr>
          <w:rtl w:val="true"/>
        </w:rPr>
        <w:t>واحد تجاري بايد هر گونه تعديل لازم در مبلغ دفتري يک دارايي غيرجاري که طبقه‌بندي آن به</w:t>
      </w:r>
      <w:r>
        <w:rPr>
          <w:rFonts w:cs="Times New Roman"/>
          <w:rtl w:val="true"/>
        </w:rPr>
        <w:t> </w:t>
      </w:r>
      <w:r>
        <w:rPr>
          <w:rtl w:val="true"/>
        </w:rPr>
        <w:t xml:space="preserve">عنوان نگهداري شده براي فروش متوقف شده است را در دوره‌اي که معيارهاي مندرج در بندهاي </w:t>
      </w:r>
      <w:r>
        <w:rPr/>
        <w:t>8</w:t>
      </w:r>
      <w:r>
        <w:rPr>
          <w:rtl w:val="true"/>
        </w:rPr>
        <w:t xml:space="preserve"> </w:t>
      </w:r>
      <w:r>
        <w:rPr>
          <w:rtl w:val="true"/>
        </w:rPr>
        <w:t xml:space="preserve">تا </w:t>
      </w:r>
      <w:r>
        <w:rPr/>
        <w:t>10</w:t>
      </w:r>
      <w:r>
        <w:rPr>
          <w:rtl w:val="true"/>
        </w:rPr>
        <w:t xml:space="preserve"> </w:t>
      </w:r>
      <w:r>
        <w:rPr>
          <w:rtl w:val="true"/>
        </w:rPr>
        <w:t>ديگر برقرار نباشد، در سود و زيان عمليات در حال تداوم منظور نمايد</w:t>
      </w:r>
      <w:r>
        <w:rPr>
          <w:rtl w:val="true"/>
        </w:rPr>
        <w:t xml:space="preserve">. </w:t>
      </w:r>
      <w:r>
        <w:rPr>
          <w:rtl w:val="true"/>
        </w:rPr>
        <w:t>واحد</w:t>
      </w:r>
      <w:r>
        <w:rPr>
          <w:rFonts w:hint="cs" w:cs="Times New Roman"/>
          <w:rtl w:val="true"/>
        </w:rPr>
        <w:t> </w:t>
      </w:r>
      <w:r>
        <w:rPr>
          <w:rFonts w:hint="cs"/>
          <w:rtl w:val="true"/>
        </w:rPr>
        <w:t>تجاري بايد هر گونه تعديل از اين بابت را در همان سرفصل مورد</w:t>
      </w:r>
      <w:r>
        <w:rPr>
          <w:rFonts w:hint="eastAsia" w:cs="Times New Roman"/>
          <w:rtl w:val="true"/>
        </w:rPr>
        <w:t> </w:t>
      </w:r>
      <w:r>
        <w:rPr>
          <w:rFonts w:hint="cs"/>
          <w:rtl w:val="true"/>
        </w:rPr>
        <w:t xml:space="preserve">استفاده </w:t>
      </w:r>
      <w:r>
        <w:rPr>
          <w:rtl w:val="true"/>
        </w:rPr>
        <w:t xml:space="preserve">طبق بند </w:t>
      </w:r>
      <w:r>
        <w:rPr/>
        <w:t>36</w:t>
      </w:r>
      <w:r>
        <w:rPr>
          <w:rtl w:val="true"/>
        </w:rPr>
        <w:t xml:space="preserve"> </w:t>
      </w:r>
      <w:r>
        <w:rPr>
          <w:rtl w:val="true"/>
        </w:rPr>
        <w:t>براي ارائه سود و زيان شناسايي شده</w:t>
      </w:r>
      <w:r>
        <w:rPr>
          <w:rFonts w:hint="cs"/>
          <w:rtl w:val="true"/>
        </w:rPr>
        <w:t>،</w:t>
      </w:r>
      <w:r>
        <w:rPr>
          <w:rtl w:val="true"/>
        </w:rPr>
        <w:t xml:space="preserve"> منظور کند</w:t>
      </w:r>
      <w:r>
        <w:rPr>
          <w:rtl w:val="true"/>
        </w:rPr>
        <w:t>.</w:t>
      </w:r>
    </w:p>
    <w:p>
      <w:pPr>
        <w:pStyle w:val="1Lotus1"/>
        <w:ind w:end="0"/>
        <w:jc w:val="both"/>
        <w:rPr/>
      </w:pPr>
      <w:r>
        <w:rPr/>
        <w:t>30</w:t>
      </w:r>
      <w:r>
        <w:rPr>
          <w:rtl w:val="true"/>
        </w:rPr>
        <w:t xml:space="preserve"> .</w:t>
        <w:tab/>
      </w:r>
      <w:r>
        <w:rPr>
          <w:rtl w:val="true"/>
        </w:rPr>
        <w:t>اگر واحد تجاري از مجموعه‌ واحد</w:t>
      </w:r>
      <w:r>
        <w:rPr>
          <w:rFonts w:hint="cs"/>
          <w:rtl w:val="true"/>
        </w:rPr>
        <w:t>ي</w:t>
      </w:r>
      <w:r>
        <w:rPr>
          <w:rtl w:val="true"/>
        </w:rPr>
        <w:t xml:space="preserve"> که به</w:t>
      </w:r>
      <w:r>
        <w:rPr>
          <w:rFonts w:cs="Times New Roman"/>
          <w:rtl w:val="true"/>
        </w:rPr>
        <w:t> </w:t>
      </w:r>
      <w:r>
        <w:rPr>
          <w:rtl w:val="true"/>
        </w:rPr>
        <w:t xml:space="preserve">عنوان نگهداري شده براي فروش طبقه‌بندي شده است، </w:t>
      </w:r>
      <w:r>
        <w:rPr>
          <w:rFonts w:hint="cs"/>
          <w:rtl w:val="true"/>
        </w:rPr>
        <w:t xml:space="preserve">دارايي يا بدهي منفردي را </w:t>
      </w:r>
      <w:r>
        <w:rPr>
          <w:rtl w:val="true"/>
        </w:rPr>
        <w:t>خارج کند، اندازه‌گيري باقيمانده داراييها و بدهيها در</w:t>
      </w:r>
      <w:r>
        <w:rPr>
          <w:rFonts w:hint="cs" w:cs="Times New Roman"/>
          <w:rtl w:val="true"/>
        </w:rPr>
        <w:t> </w:t>
      </w:r>
      <w:r>
        <w:rPr>
          <w:rtl w:val="true"/>
        </w:rPr>
        <w:t>صورتي  به</w:t>
      </w:r>
      <w:r>
        <w:rPr>
          <w:rFonts w:cs="Times New Roman"/>
          <w:rtl w:val="true"/>
        </w:rPr>
        <w:t> </w:t>
      </w:r>
      <w:r>
        <w:rPr>
          <w:rtl w:val="true"/>
        </w:rPr>
        <w:t xml:space="preserve">عنوان مجموعه واحد ادامه مي‌يابد که اين مجموعه حائز معيارهاي مندرج </w:t>
      </w:r>
      <w:r>
        <w:rPr>
          <w:spacing w:val="-2"/>
          <w:rtl w:val="true"/>
        </w:rPr>
        <w:t xml:space="preserve">در بندهاي </w:t>
      </w:r>
      <w:r>
        <w:rPr>
          <w:spacing w:val="-2"/>
        </w:rPr>
        <w:t>8</w:t>
      </w:r>
      <w:r>
        <w:rPr>
          <w:spacing w:val="-2"/>
          <w:rtl w:val="true"/>
        </w:rPr>
        <w:t xml:space="preserve"> </w:t>
      </w:r>
      <w:r>
        <w:rPr>
          <w:spacing w:val="-2"/>
          <w:rtl w:val="true"/>
        </w:rPr>
        <w:t xml:space="preserve">تا </w:t>
      </w:r>
      <w:r>
        <w:rPr>
          <w:spacing w:val="-2"/>
        </w:rPr>
        <w:t>10</w:t>
      </w:r>
      <w:r>
        <w:rPr>
          <w:spacing w:val="-2"/>
          <w:rtl w:val="true"/>
        </w:rPr>
        <w:t xml:space="preserve"> </w:t>
      </w:r>
      <w:r>
        <w:rPr>
          <w:spacing w:val="-2"/>
          <w:rtl w:val="true"/>
        </w:rPr>
        <w:t>باشد</w:t>
      </w:r>
      <w:r>
        <w:rPr>
          <w:spacing w:val="-2"/>
          <w:rtl w:val="true"/>
        </w:rPr>
        <w:t xml:space="preserve">. </w:t>
      </w:r>
      <w:r>
        <w:rPr>
          <w:spacing w:val="-2"/>
          <w:rtl w:val="true"/>
        </w:rPr>
        <w:t>در</w:t>
      </w:r>
      <w:r>
        <w:rPr>
          <w:rFonts w:hint="cs" w:cs="Times New Roman"/>
          <w:spacing w:val="-2"/>
          <w:rtl w:val="true"/>
        </w:rPr>
        <w:t> </w:t>
      </w:r>
      <w:r>
        <w:rPr>
          <w:rFonts w:hint="cs"/>
          <w:spacing w:val="-2"/>
          <w:rtl w:val="true"/>
        </w:rPr>
        <w:t>غير</w:t>
      </w:r>
      <w:r>
        <w:rPr>
          <w:rFonts w:hint="cs" w:cs="Times New Roman"/>
          <w:spacing w:val="-2"/>
          <w:rtl w:val="true"/>
        </w:rPr>
        <w:t> </w:t>
      </w:r>
      <w:r>
        <w:rPr>
          <w:rFonts w:hint="cs"/>
          <w:spacing w:val="-2"/>
          <w:rtl w:val="true"/>
        </w:rPr>
        <w:t>اين صورت، باقيمانده داراييهاي غيرجاري گروه که به</w:t>
      </w:r>
      <w:r>
        <w:rPr>
          <w:rFonts w:hint="cs" w:cs="Times New Roman"/>
          <w:spacing w:val="-2"/>
          <w:rtl w:val="true"/>
        </w:rPr>
        <w:t> </w:t>
      </w:r>
      <w:r>
        <w:rPr>
          <w:rFonts w:hint="cs"/>
          <w:spacing w:val="-2"/>
          <w:rtl w:val="true"/>
        </w:rPr>
        <w:t>طور</w:t>
      </w:r>
      <w:r>
        <w:rPr>
          <w:rtl w:val="true"/>
        </w:rPr>
        <w:t xml:space="preserve"> منفرد شرايط طبقه‌بندي به</w:t>
      </w:r>
      <w:r>
        <w:rPr>
          <w:rFonts w:cs="Times New Roman"/>
          <w:rtl w:val="true"/>
        </w:rPr>
        <w:t> </w:t>
      </w:r>
      <w:r>
        <w:rPr>
          <w:rtl w:val="true"/>
        </w:rPr>
        <w:t>عنوان نگهداري شده براي فروش را دارند باید به</w:t>
      </w:r>
      <w:r>
        <w:rPr>
          <w:rFonts w:hint="cs" w:cs="Times New Roman"/>
          <w:rtl w:val="true"/>
        </w:rPr>
        <w:t> </w:t>
      </w:r>
      <w:r>
        <w:rPr>
          <w:rtl w:val="true"/>
        </w:rPr>
        <w:t>طور</w:t>
      </w:r>
      <w:r>
        <w:rPr>
          <w:rFonts w:hint="cs"/>
          <w:rtl w:val="true"/>
        </w:rPr>
        <w:t xml:space="preserve"> جداگانه به‌اقل مبلغ دفتري و خالص ارزش فروش در آن تاريخ اندازه‌گيري شوند</w:t>
      </w:r>
      <w:r>
        <w:rPr>
          <w:rFonts w:hint="cs"/>
          <w:rtl w:val="true"/>
        </w:rPr>
        <w:t>.</w:t>
      </w:r>
      <w:r>
        <w:rPr>
          <w:rtl w:val="true"/>
        </w:rPr>
        <w:t xml:space="preserve"> </w:t>
      </w:r>
      <w:r>
        <w:rPr>
          <w:rtl w:val="true"/>
        </w:rPr>
        <w:t>هر</w:t>
      </w:r>
      <w:r>
        <w:rPr>
          <w:rFonts w:cs="Times New Roman"/>
          <w:rtl w:val="true"/>
        </w:rPr>
        <w:t> </w:t>
      </w:r>
      <w:r>
        <w:rPr>
          <w:rtl w:val="true"/>
        </w:rPr>
        <w:t xml:space="preserve">دارايي غيرجاري که معيارهاي ذکر شده را احراز نکند، طبق بند </w:t>
      </w:r>
      <w:r>
        <w:rPr/>
        <w:t>27</w:t>
      </w:r>
      <w:r>
        <w:rPr>
          <w:rtl w:val="true"/>
        </w:rPr>
        <w:t xml:space="preserve"> </w:t>
      </w:r>
      <w:r>
        <w:rPr>
          <w:rtl w:val="true"/>
        </w:rPr>
        <w:t>طبقه‌بندي آن به</w:t>
      </w:r>
      <w:r>
        <w:rPr>
          <w:rFonts w:cs="Times New Roman"/>
          <w:rtl w:val="true"/>
        </w:rPr>
        <w:t> </w:t>
      </w:r>
      <w:r>
        <w:rPr>
          <w:rtl w:val="true"/>
        </w:rPr>
        <w:t>عنوان نگهداري شده براي فروش متوقف مي‌شود</w:t>
      </w:r>
      <w:r>
        <w:rPr>
          <w:rtl w:val="true"/>
        </w:rPr>
        <w:t>.</w:t>
      </w:r>
    </w:p>
    <w:p>
      <w:pPr>
        <w:pStyle w:val="Heading2"/>
        <w:ind w:end="0"/>
        <w:jc w:val="start"/>
        <w:rPr/>
      </w:pPr>
      <w:r>
        <w:rPr>
          <w:rtl w:val="true"/>
        </w:rPr>
        <w:t>ارائه و افشا</w:t>
      </w:r>
    </w:p>
    <w:p>
      <w:pPr>
        <w:pStyle w:val="1Traffic1"/>
        <w:ind w:end="0"/>
        <w:jc w:val="both"/>
        <w:rPr/>
      </w:pPr>
      <w:r>
        <w:rPr/>
        <w:t>31</w:t>
      </w:r>
      <w:r>
        <w:rPr>
          <w:rtl w:val="true"/>
        </w:rPr>
        <w:t xml:space="preserve"> .</w:t>
        <w:tab/>
      </w:r>
      <w:r>
        <w:rPr>
          <w:rtl w:val="true"/>
        </w:rPr>
        <w:t>واحد تجاري بايد اطلاعاتي را ارائه و افشا کند که استفاده‌کنندگان صورتهاي مالي را در ارزيابي آثار</w:t>
      </w:r>
      <w:r>
        <w:rPr>
          <w:rFonts w:hint="cs" w:cs="Times New Roman"/>
          <w:rtl w:val="true"/>
        </w:rPr>
        <w:t> </w:t>
      </w:r>
      <w:r>
        <w:rPr>
          <w:rFonts w:hint="cs"/>
          <w:rtl w:val="true"/>
        </w:rPr>
        <w:t xml:space="preserve">مالي عمليات متوقف شده و واگذاري داراييهاي غيرجاري </w:t>
      </w:r>
      <w:r>
        <w:rPr>
          <w:rFonts w:hint="cs"/>
          <w:rtl w:val="true"/>
        </w:rPr>
        <w:t>(</w:t>
      </w:r>
      <w:r>
        <w:rPr>
          <w:rFonts w:hint="cs"/>
          <w:rtl w:val="true"/>
        </w:rPr>
        <w:t>يا مجموعه‌هاي واحد</w:t>
      </w:r>
      <w:r>
        <w:rPr>
          <w:rFonts w:hint="cs"/>
          <w:rtl w:val="true"/>
        </w:rPr>
        <w:t xml:space="preserve">) </w:t>
      </w:r>
      <w:r>
        <w:rPr>
          <w:rFonts w:hint="cs"/>
          <w:rtl w:val="true"/>
        </w:rPr>
        <w:t>کمک نمايد</w:t>
      </w:r>
      <w:r>
        <w:rPr>
          <w:rFonts w:hint="cs"/>
          <w:rtl w:val="true"/>
        </w:rPr>
        <w:t>.</w:t>
      </w:r>
    </w:p>
    <w:p>
      <w:pPr>
        <w:pStyle w:val="Heading2"/>
        <w:ind w:end="0"/>
        <w:jc w:val="start"/>
        <w:rPr/>
      </w:pPr>
      <w:r>
        <w:rPr>
          <w:rtl w:val="true"/>
        </w:rPr>
        <w:t>ارائه عمليات متوقف شده</w:t>
      </w:r>
    </w:p>
    <w:p>
      <w:pPr>
        <w:pStyle w:val="1LotusZirAlef1"/>
        <w:ind w:end="0"/>
        <w:jc w:val="both"/>
        <w:rPr/>
      </w:pPr>
      <w:r>
        <w:rPr/>
        <w:t>32</w:t>
      </w:r>
      <w:r>
        <w:rPr>
          <w:rtl w:val="true"/>
        </w:rPr>
        <w:t xml:space="preserve"> .</w:t>
        <w:tab/>
      </w:r>
      <w:r>
        <w:rPr>
          <w:rtl w:val="true"/>
        </w:rPr>
        <w:t>واحد تجاري بايد موارد زير را افشا کند</w:t>
      </w:r>
      <w:r>
        <w:rPr>
          <w:rtl w:val="true"/>
        </w:rPr>
        <w:t>:</w:t>
      </w:r>
    </w:p>
    <w:p>
      <w:pPr>
        <w:pStyle w:val="1LotusAlef2"/>
        <w:ind w:end="0"/>
        <w:jc w:val="both"/>
        <w:rPr/>
      </w:pPr>
      <w:r>
        <w:rPr>
          <w:rtl w:val="true"/>
        </w:rPr>
        <w:t>الف</w:t>
      </w:r>
      <w:r>
        <w:rPr>
          <w:rtl w:val="true"/>
        </w:rPr>
        <w:t>.</w:t>
        <w:tab/>
      </w:r>
      <w:r>
        <w:rPr>
          <w:rtl w:val="true"/>
        </w:rPr>
        <w:t>يک مبلغ واحد در متن صورت سود و زيان که شامل مجموع ارقام زير است</w:t>
      </w:r>
      <w:r>
        <w:rPr>
          <w:rtl w:val="true"/>
        </w:rPr>
        <w:t>:</w:t>
      </w:r>
    </w:p>
    <w:p>
      <w:pPr>
        <w:pStyle w:val="1LotusAlef11"/>
        <w:ind w:end="0"/>
        <w:jc w:val="both"/>
        <w:rPr/>
      </w:pPr>
      <w:r>
        <w:rPr>
          <w:rFonts w:hint="cs"/>
        </w:rPr>
        <w:t>1</w:t>
      </w:r>
      <w:r>
        <w:rPr>
          <w:rFonts w:hint="cs"/>
          <w:rtl w:val="true"/>
        </w:rPr>
        <w:t xml:space="preserve"> .</w:t>
      </w:r>
      <w:r>
        <w:rPr>
          <w:rtl w:val="true"/>
        </w:rPr>
        <w:tab/>
      </w:r>
      <w:r>
        <w:rPr>
          <w:rtl w:val="true"/>
        </w:rPr>
        <w:t xml:space="preserve">سود </w:t>
      </w:r>
      <w:r>
        <w:rPr>
          <w:rFonts w:hint="cs"/>
          <w:rtl w:val="true"/>
        </w:rPr>
        <w:t>(</w:t>
      </w:r>
      <w:r>
        <w:rPr>
          <w:rtl w:val="true"/>
        </w:rPr>
        <w:t>بعد از ماليات</w:t>
      </w:r>
      <w:r>
        <w:rPr>
          <w:rFonts w:hint="cs"/>
          <w:rtl w:val="true"/>
        </w:rPr>
        <w:t>)</w:t>
      </w:r>
      <w:r>
        <w:rPr>
          <w:rtl w:val="true"/>
        </w:rPr>
        <w:t xml:space="preserve"> </w:t>
      </w:r>
      <w:r>
        <w:rPr>
          <w:rtl w:val="true"/>
        </w:rPr>
        <w:t>يا زيان عمليات متوقف شده، و</w:t>
      </w:r>
    </w:p>
    <w:p>
      <w:pPr>
        <w:pStyle w:val="1LotusAlef11"/>
        <w:ind w:end="0"/>
        <w:jc w:val="both"/>
        <w:rPr/>
      </w:pPr>
      <w:r>
        <w:rPr>
          <w:rFonts w:hint="cs"/>
        </w:rPr>
        <w:t>2</w:t>
      </w:r>
      <w:r>
        <w:rPr>
          <w:rFonts w:hint="cs"/>
          <w:rtl w:val="true"/>
        </w:rPr>
        <w:t xml:space="preserve"> .</w:t>
      </w:r>
      <w:r>
        <w:rPr>
          <w:rtl w:val="true"/>
        </w:rPr>
        <w:tab/>
      </w:r>
      <w:r>
        <w:rPr>
          <w:rtl w:val="true"/>
        </w:rPr>
        <w:t xml:space="preserve">سود </w:t>
      </w:r>
      <w:r>
        <w:rPr>
          <w:rFonts w:hint="cs"/>
          <w:rtl w:val="true"/>
        </w:rPr>
        <w:t>(</w:t>
      </w:r>
      <w:r>
        <w:rPr>
          <w:rtl w:val="true"/>
        </w:rPr>
        <w:t>بعد از ماليات</w:t>
      </w:r>
      <w:r>
        <w:rPr>
          <w:rFonts w:hint="cs"/>
          <w:rtl w:val="true"/>
        </w:rPr>
        <w:t>)</w:t>
      </w:r>
      <w:r>
        <w:rPr>
          <w:rtl w:val="true"/>
        </w:rPr>
        <w:t xml:space="preserve"> </w:t>
      </w:r>
      <w:r>
        <w:rPr>
          <w:rtl w:val="true"/>
        </w:rPr>
        <w:t xml:space="preserve">يا زيان ناشي از اندازه‌گيري داراييهایی </w:t>
      </w:r>
      <w:r>
        <w:rPr>
          <w:rtl w:val="true"/>
        </w:rPr>
        <w:t>(</w:t>
      </w:r>
      <w:r>
        <w:rPr>
          <w:rtl w:val="true"/>
        </w:rPr>
        <w:t>يا مجموعه‌هاي واحدي</w:t>
      </w:r>
      <w:r>
        <w:rPr>
          <w:rtl w:val="true"/>
        </w:rPr>
        <w:t xml:space="preserve">) </w:t>
      </w:r>
      <w:r>
        <w:rPr>
          <w:rtl w:val="true"/>
        </w:rPr>
        <w:t xml:space="preserve">که عمليات متوقف شده را تشکيل مي‌دهند به خالص ارزش فروش يا </w:t>
      </w:r>
      <w:r>
        <w:rPr>
          <w:rFonts w:hint="cs"/>
          <w:rtl w:val="true"/>
        </w:rPr>
        <w:t xml:space="preserve">سود </w:t>
      </w:r>
      <w:r>
        <w:rPr>
          <w:rFonts w:hint="cs"/>
          <w:rtl w:val="true"/>
        </w:rPr>
        <w:t>(</w:t>
      </w:r>
      <w:r>
        <w:rPr>
          <w:rFonts w:hint="cs"/>
          <w:rtl w:val="true"/>
        </w:rPr>
        <w:t>بعد از ماليات</w:t>
      </w:r>
      <w:r>
        <w:rPr>
          <w:rFonts w:hint="cs"/>
          <w:rtl w:val="true"/>
        </w:rPr>
        <w:t xml:space="preserve">) </w:t>
      </w:r>
      <w:r>
        <w:rPr>
          <w:rFonts w:hint="cs"/>
          <w:rtl w:val="true"/>
        </w:rPr>
        <w:t xml:space="preserve">يا زيان </w:t>
      </w:r>
      <w:r>
        <w:rPr>
          <w:rtl w:val="true"/>
        </w:rPr>
        <w:t>ناشي از واگذاري آنها</w:t>
      </w:r>
      <w:r>
        <w:rPr>
          <w:rtl w:val="true"/>
        </w:rPr>
        <w:t>.</w:t>
      </w:r>
    </w:p>
    <w:p>
      <w:pPr>
        <w:pStyle w:val="1LotusAlef2"/>
        <w:ind w:end="0"/>
        <w:jc w:val="both"/>
        <w:rPr/>
      </w:pPr>
      <w:r>
        <w:rPr>
          <w:rtl w:val="true"/>
        </w:rPr>
        <w:t xml:space="preserve">ب </w:t>
      </w:r>
      <w:r>
        <w:rPr>
          <w:rtl w:val="true"/>
        </w:rPr>
        <w:t>.</w:t>
        <w:tab/>
      </w:r>
      <w:r>
        <w:rPr>
          <w:rtl w:val="true"/>
        </w:rPr>
        <w:t>اجزاي مبلغ ذکر شده در بند الف به تفکيک</w:t>
      </w:r>
      <w:r>
        <w:rPr>
          <w:rtl w:val="true"/>
        </w:rPr>
        <w:t>:</w:t>
      </w:r>
    </w:p>
    <w:p>
      <w:pPr>
        <w:pStyle w:val="1LotusAlef11"/>
        <w:ind w:end="0"/>
        <w:jc w:val="both"/>
        <w:rPr/>
      </w:pPr>
      <w:r>
        <w:rPr>
          <w:rFonts w:hint="cs"/>
        </w:rPr>
        <w:t>1</w:t>
      </w:r>
      <w:r>
        <w:rPr>
          <w:rFonts w:hint="cs"/>
          <w:rtl w:val="true"/>
        </w:rPr>
        <w:t xml:space="preserve"> .</w:t>
      </w:r>
      <w:r>
        <w:rPr>
          <w:rtl w:val="true"/>
        </w:rPr>
        <w:tab/>
      </w:r>
      <w:r>
        <w:rPr>
          <w:rtl w:val="true"/>
        </w:rPr>
        <w:t xml:space="preserve">درآمدها، هزينه‌ها و سود </w:t>
      </w:r>
      <w:r>
        <w:rPr>
          <w:rFonts w:hint="cs"/>
          <w:rtl w:val="true"/>
        </w:rPr>
        <w:t>(</w:t>
      </w:r>
      <w:r>
        <w:rPr>
          <w:rtl w:val="true"/>
        </w:rPr>
        <w:t>قبل از ماليات</w:t>
      </w:r>
      <w:r>
        <w:rPr>
          <w:rFonts w:hint="cs"/>
          <w:rtl w:val="true"/>
        </w:rPr>
        <w:t>)</w:t>
      </w:r>
      <w:r>
        <w:rPr>
          <w:rtl w:val="true"/>
        </w:rPr>
        <w:t xml:space="preserve"> </w:t>
      </w:r>
      <w:r>
        <w:rPr>
          <w:rtl w:val="true"/>
        </w:rPr>
        <w:t>يا زيان عمليات متوقف شده،</w:t>
      </w:r>
    </w:p>
    <w:p>
      <w:pPr>
        <w:pStyle w:val="1LotusAlef11"/>
        <w:ind w:end="0"/>
        <w:jc w:val="both"/>
        <w:rPr/>
      </w:pPr>
      <w:r>
        <w:rPr>
          <w:rFonts w:hint="cs"/>
        </w:rPr>
        <w:t>2</w:t>
      </w:r>
      <w:r>
        <w:rPr>
          <w:rFonts w:hint="cs"/>
          <w:rtl w:val="true"/>
        </w:rPr>
        <w:t xml:space="preserve"> .</w:t>
      </w:r>
      <w:r>
        <w:rPr>
          <w:rtl w:val="true"/>
        </w:rPr>
        <w:tab/>
      </w:r>
      <w:r>
        <w:rPr>
          <w:rtl w:val="true"/>
        </w:rPr>
        <w:t>ماليات بر درآمد عمليات متوقف شده،</w:t>
      </w:r>
    </w:p>
    <w:p>
      <w:pPr>
        <w:pStyle w:val="1LotusAlef11"/>
        <w:ind w:end="0"/>
        <w:jc w:val="both"/>
        <w:rPr/>
      </w:pPr>
      <w:r>
        <w:rPr>
          <w:rFonts w:hint="cs"/>
        </w:rPr>
        <w:t>3</w:t>
      </w:r>
      <w:r>
        <w:rPr>
          <w:rFonts w:hint="cs"/>
          <w:rtl w:val="true"/>
        </w:rPr>
        <w:t xml:space="preserve"> .</w:t>
      </w:r>
      <w:r>
        <w:rPr>
          <w:rtl w:val="true"/>
        </w:rPr>
        <w:tab/>
      </w:r>
      <w:r>
        <w:rPr>
          <w:rtl w:val="true"/>
        </w:rPr>
        <w:t xml:space="preserve">سود يا زيان شناسايي شده ناشي از اندازه‌گيري داراييهایی </w:t>
      </w:r>
      <w:r>
        <w:rPr>
          <w:rtl w:val="true"/>
        </w:rPr>
        <w:t>(</w:t>
      </w:r>
      <w:r>
        <w:rPr>
          <w:rtl w:val="true"/>
        </w:rPr>
        <w:t>يا مجموعه‌هاي واحدي</w:t>
      </w:r>
      <w:r>
        <w:rPr>
          <w:rtl w:val="true"/>
        </w:rPr>
        <w:t xml:space="preserve">) </w:t>
      </w:r>
      <w:r>
        <w:rPr>
          <w:rtl w:val="true"/>
        </w:rPr>
        <w:t xml:space="preserve">که عمليات متوقف شده را تشکيل مي‌دهند به خالص ارزش فروش يا </w:t>
      </w:r>
      <w:r>
        <w:rPr>
          <w:rFonts w:hint="cs"/>
          <w:rtl w:val="true"/>
        </w:rPr>
        <w:t xml:space="preserve">سود </w:t>
      </w:r>
      <w:r>
        <w:rPr>
          <w:rFonts w:hint="cs"/>
          <w:rtl w:val="true"/>
        </w:rPr>
        <w:t>(</w:t>
      </w:r>
      <w:r>
        <w:rPr>
          <w:rFonts w:hint="cs"/>
          <w:rtl w:val="true"/>
        </w:rPr>
        <w:t>بعد از ماليات</w:t>
      </w:r>
      <w:r>
        <w:rPr>
          <w:rFonts w:hint="cs"/>
          <w:rtl w:val="true"/>
        </w:rPr>
        <w:t xml:space="preserve">) </w:t>
      </w:r>
      <w:r>
        <w:rPr>
          <w:rFonts w:hint="cs"/>
          <w:rtl w:val="true"/>
        </w:rPr>
        <w:t xml:space="preserve">يا زيان </w:t>
      </w:r>
      <w:r>
        <w:rPr>
          <w:rtl w:val="true"/>
        </w:rPr>
        <w:t>ناشي از واگذاري آنها، و</w:t>
      </w:r>
    </w:p>
    <w:p>
      <w:pPr>
        <w:pStyle w:val="1LotusAlef11"/>
        <w:ind w:end="0"/>
        <w:jc w:val="both"/>
        <w:rPr>
          <w:rFonts w:hint="cs"/>
        </w:rPr>
      </w:pPr>
      <w:r>
        <w:rPr>
          <w:rFonts w:hint="cs"/>
        </w:rPr>
        <w:t>4</w:t>
      </w:r>
      <w:r>
        <w:rPr>
          <w:rFonts w:hint="cs"/>
          <w:rtl w:val="true"/>
        </w:rPr>
        <w:t xml:space="preserve"> .</w:t>
      </w:r>
      <w:r>
        <w:rPr>
          <w:rtl w:val="true"/>
        </w:rPr>
        <w:tab/>
      </w:r>
      <w:r>
        <w:rPr>
          <w:rtl w:val="true"/>
        </w:rPr>
        <w:t xml:space="preserve">ماليات بر درآمد مربوط به بند </w:t>
      </w:r>
      <w:r>
        <w:rPr/>
        <w:t>3</w:t>
      </w:r>
      <w:r>
        <w:rPr>
          <w:rtl w:val="true"/>
        </w:rPr>
        <w:t>.</w:t>
      </w:r>
    </w:p>
    <w:p>
      <w:pPr>
        <w:pStyle w:val="1LotusAlefZir"/>
        <w:ind w:end="0"/>
        <w:jc w:val="both"/>
        <w:rPr/>
      </w:pPr>
      <w:r>
        <w:rPr>
          <w:rtl w:val="true"/>
        </w:rPr>
        <w:t>اجزاي مذکور را مي‌توان در يادداشتهاي توضيحي يا در متن صورت سود و زيان ارائه کرد</w:t>
      </w:r>
      <w:r>
        <w:rPr>
          <w:rtl w:val="true"/>
        </w:rPr>
        <w:t xml:space="preserve">. </w:t>
      </w:r>
      <w:r>
        <w:rPr>
          <w:rtl w:val="true"/>
        </w:rPr>
        <w:t>در</w:t>
      </w:r>
      <w:r>
        <w:rPr>
          <w:rFonts w:hint="cs" w:cs="Times New Roman"/>
          <w:rtl w:val="true"/>
        </w:rPr>
        <w:t> </w:t>
      </w:r>
      <w:r>
        <w:rPr>
          <w:rtl w:val="true"/>
        </w:rPr>
        <w:t xml:space="preserve">صورتي </w:t>
      </w:r>
      <w:r>
        <w:rPr>
          <w:rFonts w:hint="cs"/>
          <w:rtl w:val="true"/>
        </w:rPr>
        <w:t xml:space="preserve"> که اين اجزا در متن صورت سود و زيان ارائه</w:t>
      </w:r>
      <w:r>
        <w:rPr>
          <w:rtl w:val="true"/>
        </w:rPr>
        <w:t xml:space="preserve"> شود، بايد در بخش عمليات متوقف شده، يعني جدا از عمليات در حال تداوم ارائه گردد</w:t>
      </w:r>
      <w:r>
        <w:rPr>
          <w:rtl w:val="true"/>
        </w:rPr>
        <w:t xml:space="preserve">. </w:t>
      </w:r>
      <w:r>
        <w:rPr>
          <w:rtl w:val="true"/>
        </w:rPr>
        <w:t>درخصوص واحدهاي فرعي اخيراً تحصيل شده که شرايط طبقه‌بندي به</w:t>
      </w:r>
      <w:r>
        <w:rPr>
          <w:rFonts w:cs="Times New Roman"/>
          <w:rtl w:val="true"/>
        </w:rPr>
        <w:t> </w:t>
      </w:r>
      <w:r>
        <w:rPr>
          <w:rtl w:val="true"/>
        </w:rPr>
        <w:t xml:space="preserve">عنوان نگهداري شده براي فروش را در زمان تحصيل احراز مي‌کنند </w:t>
      </w:r>
      <w:r>
        <w:rPr>
          <w:rtl w:val="true"/>
        </w:rPr>
        <w:t>(</w:t>
      </w:r>
      <w:r>
        <w:rPr>
          <w:rtl w:val="true"/>
        </w:rPr>
        <w:t>به</w:t>
      </w:r>
      <w:r>
        <w:rPr>
          <w:rFonts w:hint="cs" w:cs="Times New Roman"/>
          <w:rtl w:val="true"/>
        </w:rPr>
        <w:t> </w:t>
      </w:r>
      <w:r>
        <w:rPr>
          <w:rFonts w:hint="cs"/>
          <w:rtl w:val="true"/>
        </w:rPr>
        <w:t xml:space="preserve">بند </w:t>
      </w:r>
      <w:r>
        <w:rPr>
          <w:rFonts w:hint="cs"/>
        </w:rPr>
        <w:t>12</w:t>
      </w:r>
      <w:r>
        <w:rPr>
          <w:rFonts w:hint="cs"/>
          <w:rtl w:val="true"/>
        </w:rPr>
        <w:t xml:space="preserve"> </w:t>
      </w:r>
      <w:r>
        <w:rPr>
          <w:rFonts w:hint="cs"/>
          <w:rtl w:val="true"/>
        </w:rPr>
        <w:t>مراجعه شود</w:t>
      </w:r>
      <w:r>
        <w:rPr>
          <w:rFonts w:hint="cs"/>
          <w:rtl w:val="true"/>
        </w:rPr>
        <w:t>)</w:t>
      </w:r>
      <w:r>
        <w:rPr>
          <w:rFonts w:hint="cs"/>
          <w:rtl w:val="true"/>
        </w:rPr>
        <w:t>، اين افشا ضرورت ندارد</w:t>
      </w:r>
      <w:r>
        <w:rPr>
          <w:rFonts w:hint="cs"/>
          <w:rtl w:val="true"/>
        </w:rPr>
        <w:t>.</w:t>
      </w:r>
    </w:p>
    <w:p>
      <w:pPr>
        <w:pStyle w:val="1LotusAlef2"/>
        <w:ind w:end="0"/>
        <w:jc w:val="both"/>
        <w:rPr/>
      </w:pPr>
      <w:r>
        <w:rPr>
          <w:rtl w:val="true"/>
        </w:rPr>
        <w:t>ج</w:t>
      </w:r>
      <w:r>
        <w:rPr>
          <w:rtl w:val="true"/>
        </w:rPr>
        <w:tab/>
      </w:r>
      <w:r>
        <w:rPr>
          <w:rtl w:val="true"/>
        </w:rPr>
        <w:t>.</w:t>
        <w:tab/>
      </w:r>
      <w:r>
        <w:rPr>
          <w:rtl w:val="true"/>
        </w:rPr>
        <w:t>خالص جريانهاي نقدي عمليات متوقف شده به تفکيک فعاليتهاي عملياتي، بازده سرمايه‌گذاريها و سود پرداختي بابت تأمين مالي، ماليات بر درآمد، فعاليتهاي سرمايه‌گذاري و فعاليتهاي تأمين مالي</w:t>
      </w:r>
      <w:r>
        <w:rPr>
          <w:rtl w:val="true"/>
        </w:rPr>
        <w:t xml:space="preserve">. </w:t>
      </w:r>
      <w:r>
        <w:rPr>
          <w:rtl w:val="true"/>
        </w:rPr>
        <w:t>اين افشا را مي‌توان در يادداشتهاي توضيحي يا در متن صورت جريان وجوه نقد ارائه کرد</w:t>
      </w:r>
      <w:r>
        <w:rPr>
          <w:rtl w:val="true"/>
        </w:rPr>
        <w:t xml:space="preserve">. </w:t>
      </w:r>
      <w:r>
        <w:rPr>
          <w:rtl w:val="true"/>
        </w:rPr>
        <w:t>در خصوص واحدهاي فرعي اخيراً تحصيل شده که شرايط طبقه‌بندي به</w:t>
      </w:r>
      <w:r>
        <w:rPr>
          <w:rFonts w:cs="Times New Roman"/>
          <w:rtl w:val="true"/>
        </w:rPr>
        <w:t> </w:t>
      </w:r>
      <w:r>
        <w:rPr>
          <w:rtl w:val="true"/>
        </w:rPr>
        <w:t xml:space="preserve">عنوان نگهداري شده براي فروش را در زمان تحصيل احراز مي‌کنند </w:t>
      </w:r>
      <w:r>
        <w:rPr>
          <w:rtl w:val="true"/>
        </w:rPr>
        <w:t>(</w:t>
      </w:r>
      <w:r>
        <w:rPr>
          <w:rtl w:val="true"/>
        </w:rPr>
        <w:t xml:space="preserve">به بند </w:t>
      </w:r>
      <w:r>
        <w:rPr/>
        <w:t>12</w:t>
      </w:r>
      <w:r>
        <w:rPr>
          <w:rtl w:val="true"/>
        </w:rPr>
        <w:t xml:space="preserve"> </w:t>
      </w:r>
      <w:r>
        <w:rPr>
          <w:rtl w:val="true"/>
        </w:rPr>
        <w:t>مراجعه شود</w:t>
      </w:r>
      <w:r>
        <w:rPr>
          <w:rtl w:val="true"/>
        </w:rPr>
        <w:t>)</w:t>
      </w:r>
      <w:r>
        <w:rPr>
          <w:rtl w:val="true"/>
        </w:rPr>
        <w:t>، اين افشا ضرورت ندارد</w:t>
      </w:r>
      <w:r>
        <w:rPr>
          <w:rtl w:val="true"/>
        </w:rPr>
        <w:t>.</w:t>
      </w:r>
    </w:p>
    <w:p>
      <w:pPr>
        <w:pStyle w:val="Fa41"/>
        <w:ind w:end="0"/>
        <w:jc w:val="both"/>
        <w:rPr/>
      </w:pPr>
      <w:r>
        <w:rPr>
          <w:rtl w:val="true"/>
        </w:rPr>
      </w:r>
    </w:p>
    <w:p>
      <w:pPr>
        <w:pStyle w:val="1Lotus1"/>
        <w:ind w:end="0"/>
        <w:jc w:val="both"/>
        <w:rPr/>
      </w:pPr>
      <w:r>
        <w:rPr/>
        <w:t>33</w:t>
      </w:r>
      <w:r>
        <w:rPr>
          <w:rtl w:val="true"/>
        </w:rPr>
        <w:t xml:space="preserve"> .</w:t>
        <w:tab/>
      </w:r>
      <w:r>
        <w:rPr>
          <w:rtl w:val="true"/>
        </w:rPr>
        <w:t>واحد</w:t>
      </w:r>
      <w:r>
        <w:rPr>
          <w:rtl w:val="true"/>
        </w:rPr>
        <w:t xml:space="preserve"> </w:t>
      </w:r>
      <w:r>
        <w:rPr>
          <w:rtl w:val="true"/>
        </w:rPr>
        <w:t xml:space="preserve">تجاري بايد موارد افشاي بند </w:t>
      </w:r>
      <w:r>
        <w:rPr/>
        <w:t>32</w:t>
      </w:r>
      <w:r>
        <w:rPr>
          <w:rtl w:val="true"/>
        </w:rPr>
        <w:t xml:space="preserve"> </w:t>
      </w:r>
      <w:r>
        <w:rPr>
          <w:rtl w:val="true"/>
        </w:rPr>
        <w:t>را براي دوره‌هاي قبلي ارائه شده در صورتهاي مالي، ارائه مجدد کند به گونه‌اي که موارد افشا، همه عمليات متوقف شده‌ تا تاريخ ترازنامه آخرين دوره را دربرگيرد</w:t>
      </w:r>
      <w:r>
        <w:rPr>
          <w:rtl w:val="true"/>
        </w:rPr>
        <w:t>.</w:t>
      </w:r>
    </w:p>
    <w:p>
      <w:pPr>
        <w:pStyle w:val="1LotusZirAlef1"/>
        <w:ind w:end="0"/>
        <w:jc w:val="both"/>
        <w:rPr/>
      </w:pPr>
      <w:r>
        <w:rPr/>
        <w:t>34</w:t>
      </w:r>
      <w:r>
        <w:rPr>
          <w:rtl w:val="true"/>
        </w:rPr>
        <w:t>.</w:t>
        <w:tab/>
      </w:r>
      <w:r>
        <w:rPr>
          <w:rtl w:val="true"/>
        </w:rPr>
        <w:t>تعديلات در دوره جاري نسبت به مبالغي که قبلاً در عمليات متوقف شده ارائه گرديده است و به</w:t>
      </w:r>
      <w:r>
        <w:rPr>
          <w:rFonts w:hint="cs" w:cs="Times New Roman"/>
          <w:rtl w:val="true"/>
        </w:rPr>
        <w:t> </w:t>
      </w:r>
      <w:r>
        <w:rPr>
          <w:rtl w:val="true"/>
        </w:rPr>
        <w:t>طور مستقيم مربوط به واگذاري یا برکناری عمليات متوقف شده در دوره</w:t>
      </w:r>
      <w:r>
        <w:rPr>
          <w:rtl w:val="true"/>
        </w:rPr>
        <w:t>(</w:t>
      </w:r>
      <w:r>
        <w:rPr>
          <w:rtl w:val="true"/>
        </w:rPr>
        <w:t>هاي</w:t>
      </w:r>
      <w:r>
        <w:rPr>
          <w:rtl w:val="true"/>
        </w:rPr>
        <w:t xml:space="preserve">) </w:t>
      </w:r>
      <w:r>
        <w:rPr>
          <w:rtl w:val="true"/>
        </w:rPr>
        <w:t>قبل مي‌باشد بايد به</w:t>
      </w:r>
      <w:r>
        <w:rPr>
          <w:rFonts w:hint="cs" w:cs="Times New Roman"/>
          <w:rtl w:val="true"/>
        </w:rPr>
        <w:t> </w:t>
      </w:r>
      <w:r>
        <w:rPr>
          <w:rtl w:val="true"/>
        </w:rPr>
        <w:t>طور جداگانه در عمليات متوقف شده طبقه‌بندي شود</w:t>
      </w:r>
      <w:r>
        <w:rPr>
          <w:rtl w:val="true"/>
        </w:rPr>
        <w:t xml:space="preserve">. </w:t>
      </w:r>
      <w:r>
        <w:rPr>
          <w:rtl w:val="true"/>
        </w:rPr>
        <w:t>ماهيت و مبلغ چنين تعديلاتي بايد افشا گردد</w:t>
      </w:r>
      <w:r>
        <w:rPr>
          <w:rtl w:val="true"/>
        </w:rPr>
        <w:t xml:space="preserve">. </w:t>
      </w:r>
      <w:r>
        <w:rPr>
          <w:rtl w:val="true"/>
        </w:rPr>
        <w:t>نمونه‌ وضعيتهايي که ممکن است به اين تعديلات منجر شود به</w:t>
      </w:r>
      <w:r>
        <w:rPr>
          <w:rFonts w:cs="Times New Roman"/>
          <w:rtl w:val="true"/>
        </w:rPr>
        <w:t> </w:t>
      </w:r>
      <w:r>
        <w:rPr>
          <w:rtl w:val="true"/>
        </w:rPr>
        <w:t>شرح زير است</w:t>
      </w:r>
      <w:r>
        <w:rPr>
          <w:rtl w:val="true"/>
        </w:rPr>
        <w:t>:</w:t>
      </w:r>
    </w:p>
    <w:p>
      <w:pPr>
        <w:pStyle w:val="1LotusAlef2"/>
        <w:ind w:end="0"/>
        <w:jc w:val="both"/>
        <w:rPr/>
      </w:pPr>
      <w:r>
        <w:rPr>
          <w:rtl w:val="true"/>
        </w:rPr>
        <w:t>الف</w:t>
      </w:r>
      <w:r>
        <w:rPr>
          <w:rtl w:val="true"/>
        </w:rPr>
        <w:t>.</w:t>
        <w:tab/>
      </w:r>
      <w:r>
        <w:rPr>
          <w:rtl w:val="true"/>
        </w:rPr>
        <w:t>رفع ابهامات مربوط به شرايط واگذاري، مانند قطعي شدن بهاي معامله و جبران خسارت وارده</w:t>
      </w:r>
      <w:r>
        <w:rPr>
          <w:rtl w:val="true"/>
        </w:rPr>
        <w:t>.</w:t>
      </w:r>
    </w:p>
    <w:p>
      <w:pPr>
        <w:pStyle w:val="1LotusAlef2"/>
        <w:ind w:end="0"/>
        <w:jc w:val="both"/>
        <w:rPr/>
      </w:pPr>
      <w:r>
        <w:rPr>
          <w:rtl w:val="true"/>
        </w:rPr>
        <w:t>ب</w:t>
      </w:r>
      <w:r>
        <w:rPr>
          <w:rtl w:val="true"/>
        </w:rPr>
        <w:tab/>
      </w:r>
      <w:r>
        <w:rPr>
          <w:rtl w:val="true"/>
        </w:rPr>
        <w:t>.</w:t>
        <w:tab/>
      </w:r>
      <w:r>
        <w:rPr>
          <w:rtl w:val="true"/>
        </w:rPr>
        <w:t>رفع ابهاماتي که به</w:t>
      </w:r>
      <w:r>
        <w:rPr>
          <w:rFonts w:hint="cs" w:cs="Times New Roman"/>
          <w:rtl w:val="true"/>
        </w:rPr>
        <w:t> </w:t>
      </w:r>
      <w:r>
        <w:rPr>
          <w:rtl w:val="true"/>
        </w:rPr>
        <w:t>طور مستقيم به عمليات يک بخش، قبل از واگذاري آن مربوط مي‌شود، مانند تعهدات زيست محيطي و تضمين محصولات توسط فروشنده</w:t>
      </w:r>
      <w:r>
        <w:rPr>
          <w:rtl w:val="true"/>
        </w:rPr>
        <w:t>.</w:t>
      </w:r>
    </w:p>
    <w:p>
      <w:pPr>
        <w:pStyle w:val="1LotusAlef2"/>
        <w:ind w:end="0"/>
        <w:jc w:val="both"/>
        <w:rPr/>
      </w:pPr>
      <w:r>
        <w:rPr>
          <w:rtl w:val="true"/>
        </w:rPr>
        <w:t>ج</w:t>
      </w:r>
      <w:r>
        <w:rPr>
          <w:rtl w:val="true"/>
        </w:rPr>
        <w:tab/>
      </w:r>
      <w:r>
        <w:rPr>
          <w:rtl w:val="true"/>
        </w:rPr>
        <w:t>.</w:t>
        <w:tab/>
      </w:r>
      <w:r>
        <w:rPr>
          <w:rtl w:val="true"/>
        </w:rPr>
        <w:t>تسويه تعهدات مرتبط با مزاياي پايان خدمت و بازنشستگي کارکنان، مشروط بر اينکه تسويه به</w:t>
      </w:r>
      <w:r>
        <w:rPr>
          <w:rFonts w:hint="cs" w:cs="Times New Roman"/>
          <w:rtl w:val="true"/>
        </w:rPr>
        <w:t> </w:t>
      </w:r>
      <w:r>
        <w:rPr>
          <w:rtl w:val="true"/>
        </w:rPr>
        <w:t>طور مستقيم مربوط به واگذاري باشد</w:t>
      </w:r>
      <w:r>
        <w:rPr>
          <w:rtl w:val="true"/>
        </w:rPr>
        <w:t>.</w:t>
      </w:r>
    </w:p>
    <w:p>
      <w:pPr>
        <w:pStyle w:val="Fa41"/>
        <w:ind w:end="0"/>
        <w:jc w:val="both"/>
        <w:rPr/>
      </w:pPr>
      <w:r>
        <w:rPr>
          <w:rtl w:val="true"/>
        </w:rPr>
      </w:r>
    </w:p>
    <w:p>
      <w:pPr>
        <w:pStyle w:val="Normal"/>
        <w:spacing w:before="0" w:after="120"/>
        <w:ind w:hanging="570" w:start="570" w:end="0"/>
        <w:jc w:val="start"/>
        <w:rPr>
          <w:rFonts w:cs="B Lotus"/>
        </w:rPr>
      </w:pPr>
      <w:r>
        <w:rPr>
          <w:rFonts w:cs="B Lotus"/>
        </w:rPr>
        <w:t>35</w:t>
      </w:r>
      <w:r>
        <w:rPr>
          <w:rFonts w:cs="B Lotus"/>
          <w:rtl w:val="true"/>
        </w:rPr>
        <w:t xml:space="preserve"> .</w:t>
        <w:tab/>
      </w:r>
      <w:r>
        <w:rPr>
          <w:rFonts w:cs="B Lotus"/>
          <w:rtl w:val="true"/>
        </w:rPr>
        <w:t>چنانچه واحد تجاري طبقه‌بندي يک بخش از واحد تجاري به</w:t>
      </w:r>
      <w:r>
        <w:rPr>
          <w:rFonts w:cs="Times New Roman"/>
          <w:rtl w:val="true"/>
        </w:rPr>
        <w:t> </w:t>
      </w:r>
      <w:r>
        <w:rPr>
          <w:rFonts w:cs="B Lotus"/>
          <w:rtl w:val="true"/>
        </w:rPr>
        <w:t xml:space="preserve">عنوان نگهداري شده براي فروش را متوقف نمايد، نتايج عمليات </w:t>
      </w:r>
      <w:r>
        <w:rPr>
          <w:rFonts w:hint="cs" w:cs="B Lotus"/>
          <w:rtl w:val="true"/>
        </w:rPr>
        <w:t xml:space="preserve">و جريان وجوه نقد </w:t>
      </w:r>
      <w:r>
        <w:rPr>
          <w:rFonts w:cs="B Lotus"/>
          <w:rtl w:val="true"/>
        </w:rPr>
        <w:t xml:space="preserve">آن بخش که قبلاً تحت عنوان عمليات متوقف شده طبق بندهاي </w:t>
      </w:r>
      <w:r>
        <w:rPr>
          <w:rFonts w:cs="B Lotus"/>
        </w:rPr>
        <w:t>32</w:t>
      </w:r>
      <w:r>
        <w:rPr>
          <w:rFonts w:cs="B Lotus"/>
          <w:rtl w:val="true"/>
        </w:rPr>
        <w:t xml:space="preserve"> </w:t>
      </w:r>
      <w:r>
        <w:rPr>
          <w:rFonts w:cs="B Lotus"/>
          <w:rtl w:val="true"/>
        </w:rPr>
        <w:t xml:space="preserve">تا </w:t>
      </w:r>
      <w:r>
        <w:rPr>
          <w:rFonts w:cs="B Lotus"/>
        </w:rPr>
        <w:t>34</w:t>
      </w:r>
      <w:r>
        <w:rPr>
          <w:rFonts w:cs="B Lotus"/>
          <w:rtl w:val="true"/>
        </w:rPr>
        <w:t xml:space="preserve"> </w:t>
      </w:r>
      <w:r>
        <w:rPr>
          <w:rFonts w:cs="B Lotus"/>
          <w:rtl w:val="true"/>
        </w:rPr>
        <w:t>ارائه شده، بايد تجديد طبقه‌بندي شود</w:t>
      </w:r>
      <w:r>
        <w:rPr>
          <w:rFonts w:cs="B Lotus" w:hint="cs"/>
          <w:rtl w:val="true"/>
        </w:rPr>
        <w:t xml:space="preserve">. </w:t>
      </w:r>
      <w:r>
        <w:rPr>
          <w:rFonts w:cs="B Lotus"/>
          <w:rtl w:val="true"/>
        </w:rPr>
        <w:t>اين</w:t>
      </w:r>
      <w:r>
        <w:rPr>
          <w:rFonts w:hint="cs" w:cs="Times New Roman"/>
          <w:rtl w:val="true"/>
        </w:rPr>
        <w:t> </w:t>
      </w:r>
      <w:r>
        <w:rPr>
          <w:rFonts w:cs="B Lotus"/>
          <w:rtl w:val="true"/>
        </w:rPr>
        <w:t>تجديد ارائه بايد تشريح شود</w:t>
      </w:r>
      <w:r>
        <w:rPr>
          <w:rFonts w:cs="B Lotus"/>
          <w:rtl w:val="true"/>
        </w:rPr>
        <w:t>.</w:t>
      </w:r>
    </w:p>
    <w:p>
      <w:pPr>
        <w:pStyle w:val="Fa41"/>
        <w:ind w:end="0"/>
        <w:jc w:val="both"/>
        <w:rPr/>
      </w:pPr>
      <w:r>
        <w:rPr>
          <w:rFonts w:cs="B Lotus"/>
          <w:rtl w:val="true"/>
        </w:rPr>
      </w:r>
    </w:p>
    <w:p>
      <w:pPr>
        <w:pStyle w:val="Heading2"/>
        <w:ind w:end="0"/>
        <w:jc w:val="start"/>
        <w:rPr/>
      </w:pPr>
      <w:r>
        <w:rPr>
          <w:rtl w:val="true"/>
        </w:rPr>
        <w:t>سود يا زيان مربوط به عمليات در حال تداوم</w:t>
      </w:r>
    </w:p>
    <w:p>
      <w:pPr>
        <w:pStyle w:val="1Lotus1"/>
        <w:ind w:end="0"/>
        <w:jc w:val="both"/>
        <w:rPr/>
      </w:pPr>
      <w:r>
        <w:rPr/>
        <w:t>36</w:t>
      </w:r>
      <w:r>
        <w:rPr>
          <w:rtl w:val="true"/>
        </w:rPr>
        <w:t>.</w:t>
        <w:tab/>
      </w:r>
      <w:r>
        <w:rPr>
          <w:rtl w:val="true"/>
        </w:rPr>
        <w:t xml:space="preserve">هر گونه سود يا زيان اندازه‌گيري مجدد يک دارايي غيرجاري </w:t>
      </w:r>
      <w:r>
        <w:rPr>
          <w:rtl w:val="true"/>
        </w:rPr>
        <w:t>(</w:t>
      </w:r>
      <w:r>
        <w:rPr>
          <w:rtl w:val="true"/>
        </w:rPr>
        <w:t>يا مجموعه</w:t>
      </w:r>
      <w:r>
        <w:rPr>
          <w:rFonts w:hint="cs"/>
          <w:rtl w:val="true"/>
        </w:rPr>
        <w:t>‌اي</w:t>
      </w:r>
      <w:r>
        <w:rPr>
          <w:rtl w:val="true"/>
        </w:rPr>
        <w:t xml:space="preserve"> واحد</w:t>
      </w:r>
      <w:r>
        <w:rPr>
          <w:rtl w:val="true"/>
        </w:rPr>
        <w:t xml:space="preserve">) </w:t>
      </w:r>
      <w:r>
        <w:rPr>
          <w:rtl w:val="true"/>
        </w:rPr>
        <w:t>که به</w:t>
      </w:r>
      <w:r>
        <w:rPr>
          <w:rFonts w:cs="Times New Roman"/>
          <w:rtl w:val="true"/>
        </w:rPr>
        <w:t> </w:t>
      </w:r>
      <w:r>
        <w:rPr>
          <w:rtl w:val="true"/>
        </w:rPr>
        <w:t>عنوان نگهداري شده براي فروش طبقه‌بندي شده است و مشمول تعريف عمليات متوقف شده نگردد بايد در سود يا زیان عمليات در حال تداوم منظور شود</w:t>
      </w:r>
      <w:r>
        <w:rPr>
          <w:rtl w:val="true"/>
        </w:rPr>
        <w:t>.</w:t>
      </w:r>
    </w:p>
    <w:p>
      <w:pPr>
        <w:pStyle w:val="Fa41"/>
        <w:ind w:end="0"/>
        <w:jc w:val="both"/>
        <w:rPr/>
      </w:pPr>
      <w:r>
        <w:rPr>
          <w:rtl w:val="true"/>
        </w:rPr>
      </w:r>
    </w:p>
    <w:p>
      <w:pPr>
        <w:pStyle w:val="Heading2"/>
        <w:ind w:end="0"/>
        <w:jc w:val="start"/>
        <w:rPr/>
      </w:pPr>
      <w:r>
        <w:rPr>
          <w:rtl w:val="true"/>
        </w:rPr>
        <w:t xml:space="preserve">ارائه دارايي غيرجاري </w:t>
      </w:r>
      <w:r>
        <w:rPr>
          <w:rtl w:val="true"/>
        </w:rPr>
        <w:t>(</w:t>
      </w:r>
      <w:r>
        <w:rPr>
          <w:rtl w:val="true"/>
        </w:rPr>
        <w:t>يا مجموعه واحد</w:t>
      </w:r>
      <w:r>
        <w:rPr>
          <w:rtl w:val="true"/>
        </w:rPr>
        <w:t xml:space="preserve">) </w:t>
      </w:r>
      <w:r>
        <w:rPr>
          <w:rtl w:val="true"/>
        </w:rPr>
        <w:t>طبقه‌بندي شده‌ به</w:t>
      </w:r>
      <w:r>
        <w:rPr>
          <w:rFonts w:ascii="Times New Roman" w:hAnsi="Times New Roman" w:hint="cs" w:cs="Times New Roman"/>
          <w:rtl w:val="true"/>
        </w:rPr>
        <w:t> </w:t>
      </w:r>
      <w:r>
        <w:rPr>
          <w:rtl w:val="true"/>
        </w:rPr>
        <w:t xml:space="preserve">عنوان نگهداري شده براي فروش </w:t>
      </w:r>
    </w:p>
    <w:p>
      <w:pPr>
        <w:pStyle w:val="1Lotus1"/>
        <w:ind w:end="0"/>
        <w:jc w:val="both"/>
        <w:rPr/>
      </w:pPr>
      <w:r>
        <w:rPr/>
        <w:t>37</w:t>
      </w:r>
      <w:r>
        <w:rPr>
          <w:rtl w:val="true"/>
        </w:rPr>
        <w:t xml:space="preserve"> .</w:t>
        <w:tab/>
      </w:r>
      <w:r>
        <w:rPr>
          <w:rtl w:val="true"/>
        </w:rPr>
        <w:t>واحد تجاري بايد دارايي غيرجاري طبقه‌بندي شده به</w:t>
      </w:r>
      <w:r>
        <w:rPr>
          <w:rFonts w:cs="Times New Roman"/>
          <w:rtl w:val="true"/>
        </w:rPr>
        <w:t> </w:t>
      </w:r>
      <w:r>
        <w:rPr>
          <w:rtl w:val="true"/>
        </w:rPr>
        <w:t>عنوان نگهداري شده براي فروش و داراييهاي يک مجموعه واحد طبقه‌بندي شده به</w:t>
      </w:r>
      <w:r>
        <w:rPr>
          <w:rFonts w:cs="Times New Roman"/>
          <w:rtl w:val="true"/>
        </w:rPr>
        <w:t> </w:t>
      </w:r>
      <w:r>
        <w:rPr>
          <w:rtl w:val="true"/>
        </w:rPr>
        <w:t>عنوان نگهداري شده براي فروش را جدا از ساير داراييها در ترازنامه ارائه کند</w:t>
      </w:r>
      <w:r>
        <w:rPr>
          <w:rtl w:val="true"/>
        </w:rPr>
        <w:t xml:space="preserve">. </w:t>
      </w:r>
      <w:r>
        <w:rPr>
          <w:rtl w:val="true"/>
        </w:rPr>
        <w:t>بدهيهاي مجموعه واحد طبقه‌بندي شده به</w:t>
      </w:r>
      <w:r>
        <w:rPr>
          <w:rFonts w:cs="Times New Roman"/>
          <w:rtl w:val="true"/>
        </w:rPr>
        <w:t> </w:t>
      </w:r>
      <w:r>
        <w:rPr>
          <w:rtl w:val="true"/>
        </w:rPr>
        <w:t>عنوان نگهداري شده براي فروش</w:t>
      </w:r>
      <w:r>
        <w:rPr>
          <w:rFonts w:hint="cs"/>
          <w:rtl w:val="true"/>
        </w:rPr>
        <w:t xml:space="preserve"> نيز</w:t>
      </w:r>
      <w:r>
        <w:rPr>
          <w:rtl w:val="true"/>
        </w:rPr>
        <w:t xml:space="preserve"> بايد جدا از ساير بدهيها در ترازنامه ارائه ‌گردد</w:t>
      </w:r>
      <w:r>
        <w:rPr>
          <w:rtl w:val="true"/>
        </w:rPr>
        <w:t xml:space="preserve">. </w:t>
      </w:r>
      <w:r>
        <w:rPr>
          <w:rtl w:val="true"/>
        </w:rPr>
        <w:t>اين داراييها و بدهيها نبايد با يکديگر تهاتر شوند و مبلغ آنها به</w:t>
      </w:r>
      <w:r>
        <w:rPr>
          <w:rFonts w:hint="cs" w:cs="Times New Roman"/>
          <w:rtl w:val="true"/>
        </w:rPr>
        <w:t> </w:t>
      </w:r>
      <w:r>
        <w:rPr>
          <w:rtl w:val="true"/>
        </w:rPr>
        <w:t>طور جداگانه ارائه مي‌گردد</w:t>
      </w:r>
      <w:r>
        <w:rPr>
          <w:rtl w:val="true"/>
        </w:rPr>
        <w:t xml:space="preserve">. </w:t>
      </w:r>
      <w:r>
        <w:rPr>
          <w:rtl w:val="true"/>
        </w:rPr>
        <w:t>به</w:t>
      </w:r>
      <w:r>
        <w:rPr>
          <w:rFonts w:hint="cs" w:cs="Times New Roman"/>
          <w:rtl w:val="true"/>
        </w:rPr>
        <w:t> </w:t>
      </w:r>
      <w:r>
        <w:rPr>
          <w:rtl w:val="true"/>
        </w:rPr>
        <w:t>استثناي آنچه که در بند</w:t>
      </w:r>
      <w:r>
        <w:rPr>
          <w:rFonts w:hint="cs" w:cs="Times New Roman"/>
          <w:rtl w:val="true"/>
        </w:rPr>
        <w:t> </w:t>
      </w:r>
      <w:r>
        <w:rPr/>
        <w:t>38</w:t>
      </w:r>
      <w:r>
        <w:rPr>
          <w:rtl w:val="true"/>
        </w:rPr>
        <w:t xml:space="preserve"> </w:t>
      </w:r>
      <w:r>
        <w:rPr>
          <w:rtl w:val="true"/>
        </w:rPr>
        <w:t>مجاز مي‌باشد</w:t>
      </w:r>
      <w:r>
        <w:rPr>
          <w:rFonts w:hint="cs"/>
          <w:rtl w:val="true"/>
        </w:rPr>
        <w:t>،</w:t>
      </w:r>
      <w:r>
        <w:rPr>
          <w:rtl w:val="true"/>
        </w:rPr>
        <w:t xml:space="preserve"> طبقات عمده داراييها و بدهيهاي طبقه‌بندي شده به</w:t>
      </w:r>
      <w:r>
        <w:rPr>
          <w:rFonts w:cs="Times New Roman"/>
          <w:rtl w:val="true"/>
        </w:rPr>
        <w:t> </w:t>
      </w:r>
      <w:r>
        <w:rPr>
          <w:rtl w:val="true"/>
        </w:rPr>
        <w:t>عنوان نگهداري شده براي فروش بايد به</w:t>
      </w:r>
      <w:r>
        <w:rPr>
          <w:rFonts w:hint="cs" w:cs="Times New Roman"/>
          <w:rtl w:val="true"/>
        </w:rPr>
        <w:t> </w:t>
      </w:r>
      <w:r>
        <w:rPr>
          <w:rtl w:val="true"/>
        </w:rPr>
        <w:t>طور جداگانه در يادداشتهاي توضيحي افشا گردد</w:t>
      </w:r>
      <w:r>
        <w:rPr>
          <w:rtl w:val="true"/>
        </w:rPr>
        <w:t xml:space="preserve">. </w:t>
      </w:r>
      <w:r>
        <w:rPr>
          <w:spacing w:val="-2"/>
          <w:rtl w:val="true"/>
        </w:rPr>
        <w:t xml:space="preserve">واحد تجاري بايد هر گونه </w:t>
      </w:r>
      <w:r>
        <w:rPr>
          <w:rFonts w:hint="cs"/>
          <w:spacing w:val="-2"/>
          <w:rtl w:val="true"/>
        </w:rPr>
        <w:t xml:space="preserve">سود تحقق نيافته </w:t>
      </w:r>
      <w:r>
        <w:rPr>
          <w:spacing w:val="-2"/>
          <w:rtl w:val="true"/>
        </w:rPr>
        <w:t xml:space="preserve">مربوط به داراييهاي غيرجاري </w:t>
      </w:r>
      <w:r>
        <w:rPr>
          <w:spacing w:val="-2"/>
          <w:rtl w:val="true"/>
        </w:rPr>
        <w:t>(</w:t>
      </w:r>
      <w:r>
        <w:rPr>
          <w:spacing w:val="-2"/>
          <w:rtl w:val="true"/>
        </w:rPr>
        <w:t>يا</w:t>
      </w:r>
      <w:r>
        <w:rPr>
          <w:rFonts w:hint="cs" w:cs="Times New Roman"/>
          <w:spacing w:val="-2"/>
          <w:rtl w:val="true"/>
        </w:rPr>
        <w:t> </w:t>
      </w:r>
      <w:r>
        <w:rPr>
          <w:spacing w:val="-2"/>
          <w:rtl w:val="true"/>
        </w:rPr>
        <w:t>مجموعه</w:t>
      </w:r>
      <w:r>
        <w:rPr>
          <w:rFonts w:hint="cs"/>
          <w:spacing w:val="-2"/>
          <w:rtl w:val="true"/>
        </w:rPr>
        <w:t>‌هاي</w:t>
      </w:r>
      <w:r>
        <w:rPr>
          <w:rtl w:val="true"/>
        </w:rPr>
        <w:t xml:space="preserve"> واحد</w:t>
      </w:r>
      <w:r>
        <w:rPr>
          <w:rtl w:val="true"/>
        </w:rPr>
        <w:t xml:space="preserve">) </w:t>
      </w:r>
      <w:r>
        <w:rPr>
          <w:rtl w:val="true"/>
        </w:rPr>
        <w:t>طبقه‌بندي شده به</w:t>
      </w:r>
      <w:r>
        <w:rPr>
          <w:rFonts w:cs="Times New Roman"/>
          <w:rtl w:val="true"/>
        </w:rPr>
        <w:t> </w:t>
      </w:r>
      <w:r>
        <w:rPr>
          <w:rtl w:val="true"/>
        </w:rPr>
        <w:t>عنوان نگهداري شده براي فروش را که به</w:t>
      </w:r>
      <w:r>
        <w:rPr>
          <w:rFonts w:hint="cs" w:cs="Times New Roman"/>
          <w:rtl w:val="true"/>
        </w:rPr>
        <w:t> </w:t>
      </w:r>
      <w:r>
        <w:rPr>
          <w:rtl w:val="true"/>
        </w:rPr>
        <w:t>طور مستقيم در حقوق صاحبان سهام شناسايي شده‌ است، به</w:t>
      </w:r>
      <w:r>
        <w:rPr>
          <w:rFonts w:hint="cs" w:cs="Times New Roman"/>
          <w:rtl w:val="true"/>
        </w:rPr>
        <w:t> </w:t>
      </w:r>
      <w:r>
        <w:rPr>
          <w:rtl w:val="true"/>
        </w:rPr>
        <w:t>طور جداگانه ارائه کند</w:t>
      </w:r>
      <w:r>
        <w:rPr>
          <w:rtl w:val="true"/>
        </w:rPr>
        <w:t>.</w:t>
      </w:r>
    </w:p>
    <w:p>
      <w:pPr>
        <w:pStyle w:val="1Lotus1"/>
        <w:ind w:end="0"/>
        <w:jc w:val="both"/>
        <w:rPr/>
      </w:pPr>
      <w:r>
        <w:rPr/>
        <w:t>38</w:t>
      </w:r>
      <w:r>
        <w:rPr>
          <w:rtl w:val="true"/>
        </w:rPr>
        <w:t xml:space="preserve"> .</w:t>
        <w:tab/>
      </w:r>
      <w:r>
        <w:rPr>
          <w:rtl w:val="true"/>
        </w:rPr>
        <w:t>چنانچه مجموعه واحد، يک واحد فرعي باشد که ‌اخيراً تحصيل ‌شده است و شرايط طبقه‌بندي به</w:t>
      </w:r>
      <w:r>
        <w:rPr>
          <w:rFonts w:cs="Times New Roman"/>
          <w:rtl w:val="true"/>
        </w:rPr>
        <w:t> </w:t>
      </w:r>
      <w:r>
        <w:rPr>
          <w:rtl w:val="true"/>
        </w:rPr>
        <w:t xml:space="preserve">عنوان نگهداري شده براي فروش را در زمان تحصيل احراز مي‌کند </w:t>
      </w:r>
      <w:r>
        <w:rPr>
          <w:rtl w:val="true"/>
        </w:rPr>
        <w:t>(</w:t>
      </w:r>
      <w:r>
        <w:rPr>
          <w:rtl w:val="true"/>
        </w:rPr>
        <w:t xml:space="preserve">به بند </w:t>
      </w:r>
      <w:r>
        <w:rPr/>
        <w:t>12</w:t>
      </w:r>
      <w:r>
        <w:rPr>
          <w:rtl w:val="true"/>
        </w:rPr>
        <w:t xml:space="preserve"> </w:t>
      </w:r>
      <w:r>
        <w:rPr>
          <w:rtl w:val="true"/>
        </w:rPr>
        <w:t>مراجعه شود</w:t>
      </w:r>
      <w:r>
        <w:rPr>
          <w:rtl w:val="true"/>
        </w:rPr>
        <w:t>)</w:t>
      </w:r>
      <w:r>
        <w:rPr>
          <w:rtl w:val="true"/>
        </w:rPr>
        <w:t>، افشاي طبقات عمده داراييها و بدهيها ضرورت ندارد</w:t>
      </w:r>
      <w:r>
        <w:rPr>
          <w:rtl w:val="true"/>
        </w:rPr>
        <w:t>.</w:t>
      </w:r>
    </w:p>
    <w:p>
      <w:pPr>
        <w:pStyle w:val="1Lotus1"/>
        <w:ind w:end="0"/>
        <w:jc w:val="both"/>
        <w:rPr/>
      </w:pPr>
      <w:r>
        <w:rPr/>
        <w:t>39</w:t>
      </w:r>
      <w:r>
        <w:rPr>
          <w:rFonts w:hint="cs"/>
          <w:rtl w:val="true"/>
        </w:rPr>
        <w:t xml:space="preserve"> </w:t>
      </w:r>
      <w:r>
        <w:rPr>
          <w:rtl w:val="true"/>
        </w:rPr>
        <w:t>.</w:t>
        <w:tab/>
      </w:r>
      <w:r>
        <w:rPr>
          <w:rtl w:val="true"/>
        </w:rPr>
        <w:t>در</w:t>
      </w:r>
      <w:r>
        <w:rPr>
          <w:rFonts w:cs="Times New Roman"/>
          <w:rtl w:val="true"/>
        </w:rPr>
        <w:t> </w:t>
      </w:r>
      <w:r>
        <w:rPr>
          <w:rtl w:val="true"/>
        </w:rPr>
        <w:t>مواردی که واحد تجاری در دوره جاری، به دلیل ایجاد شرایط جدید، داراییهای غیرجاری یا داراییها و بدهیهای مجموعه واحدی را که در ترازنامه دوره‌های قبل به</w:t>
      </w:r>
      <w:r>
        <w:rPr>
          <w:rFonts w:cs="Times New Roman"/>
          <w:rtl w:val="true"/>
        </w:rPr>
        <w:t> </w:t>
      </w:r>
      <w:r>
        <w:rPr>
          <w:rtl w:val="true"/>
        </w:rPr>
        <w:t>عنوان نگهداری شده برای فروش طبقه‌بندی شده است، تغییر طبقه‌بندی دهد، تجدید ارائه اقلام مقایسه‌ای از این بابت ضرورت ندارد</w:t>
      </w:r>
      <w:r>
        <w:rPr>
          <w:rtl w:val="true"/>
        </w:rPr>
        <w:t xml:space="preserve">. </w:t>
      </w:r>
    </w:p>
    <w:p>
      <w:pPr>
        <w:pStyle w:val="Heading2"/>
        <w:ind w:end="0"/>
        <w:jc w:val="start"/>
        <w:rPr/>
      </w:pPr>
      <w:r>
        <w:rPr>
          <w:rtl w:val="true"/>
        </w:rPr>
        <w:t>ساير موارد افشا</w:t>
      </w:r>
    </w:p>
    <w:p>
      <w:pPr>
        <w:pStyle w:val="1LotusZirAlef1"/>
        <w:spacing w:before="0" w:after="0"/>
        <w:ind w:end="0"/>
        <w:jc w:val="both"/>
        <w:rPr/>
      </w:pPr>
      <w:r>
        <w:rPr/>
        <w:t>40</w:t>
      </w:r>
      <w:r>
        <w:rPr>
          <w:rtl w:val="true"/>
        </w:rPr>
        <w:t xml:space="preserve"> .</w:t>
        <w:tab/>
      </w:r>
      <w:r>
        <w:rPr>
          <w:rtl w:val="true"/>
        </w:rPr>
        <w:t xml:space="preserve">واحد تجاري بايد در دوره‌اي که دارايي غيرجاري </w:t>
      </w:r>
      <w:r>
        <w:rPr>
          <w:rtl w:val="true"/>
        </w:rPr>
        <w:t>(</w:t>
      </w:r>
      <w:r>
        <w:rPr>
          <w:rtl w:val="true"/>
        </w:rPr>
        <w:t>يا مجموعه واحد</w:t>
      </w:r>
      <w:r>
        <w:rPr>
          <w:rtl w:val="true"/>
        </w:rPr>
        <w:t xml:space="preserve">) </w:t>
      </w:r>
      <w:r>
        <w:rPr>
          <w:rtl w:val="true"/>
        </w:rPr>
        <w:t>به</w:t>
      </w:r>
      <w:r>
        <w:rPr>
          <w:rFonts w:cs="Times New Roman"/>
          <w:rtl w:val="true"/>
        </w:rPr>
        <w:t> </w:t>
      </w:r>
      <w:r>
        <w:rPr>
          <w:rtl w:val="true"/>
        </w:rPr>
        <w:t xml:space="preserve">عنوان نگهداري شده براي فروش، طبقه‌بندي يا </w:t>
      </w:r>
      <w:r>
        <w:rPr>
          <w:rFonts w:hint="cs"/>
          <w:rtl w:val="true"/>
        </w:rPr>
        <w:t>واگذار</w:t>
      </w:r>
      <w:r>
        <w:rPr>
          <w:rtl w:val="true"/>
        </w:rPr>
        <w:t xml:space="preserve"> مي‌شود، اطلاعات زير را در يادداشتهاي توضيحي افشا کند</w:t>
      </w:r>
      <w:r>
        <w:rPr>
          <w:rtl w:val="true"/>
        </w:rPr>
        <w:t>:</w:t>
      </w:r>
    </w:p>
    <w:p>
      <w:pPr>
        <w:pStyle w:val="1LotusAlef2"/>
        <w:ind w:end="0"/>
        <w:jc w:val="both"/>
        <w:rPr/>
      </w:pPr>
      <w:r>
        <w:rPr>
          <w:rtl w:val="true"/>
        </w:rPr>
        <w:t>الف</w:t>
      </w:r>
      <w:r>
        <w:rPr>
          <w:rtl w:val="true"/>
        </w:rPr>
        <w:t>.</w:t>
        <w:tab/>
      </w:r>
      <w:r>
        <w:rPr>
          <w:rtl w:val="true"/>
        </w:rPr>
        <w:t xml:space="preserve">شرحي از دارايي غيرجاري </w:t>
      </w:r>
      <w:r>
        <w:rPr>
          <w:rtl w:val="true"/>
        </w:rPr>
        <w:t>(</w:t>
      </w:r>
      <w:r>
        <w:rPr>
          <w:rtl w:val="true"/>
        </w:rPr>
        <w:t>يا مجموعه واحد</w:t>
      </w:r>
      <w:r>
        <w:rPr>
          <w:rtl w:val="true"/>
        </w:rPr>
        <w:t>)</w:t>
      </w:r>
      <w:r>
        <w:rPr>
          <w:rtl w:val="true"/>
        </w:rPr>
        <w:t>،</w:t>
      </w:r>
    </w:p>
    <w:p>
      <w:pPr>
        <w:pStyle w:val="1LotusAlef2"/>
        <w:ind w:end="0"/>
        <w:jc w:val="both"/>
        <w:rPr/>
      </w:pPr>
      <w:r>
        <w:rPr>
          <w:rtl w:val="true"/>
        </w:rPr>
        <w:t>ب</w:t>
      </w:r>
      <w:r>
        <w:rPr>
          <w:rtl w:val="true"/>
        </w:rPr>
        <w:tab/>
        <w:t>.</w:t>
        <w:tab/>
      </w:r>
      <w:r>
        <w:rPr>
          <w:rtl w:val="true"/>
        </w:rPr>
        <w:t>تشريح واقعيتها و شرايطي که به واگذاري مورد انتظار منجر مي‌شود و روش و زمان‌ مورد انتظار واگذاري،</w:t>
      </w:r>
    </w:p>
    <w:p>
      <w:pPr>
        <w:pStyle w:val="1LotusAlef2"/>
        <w:ind w:end="0"/>
        <w:jc w:val="both"/>
        <w:rPr/>
      </w:pPr>
      <w:r>
        <w:rPr>
          <w:rtl w:val="true"/>
        </w:rPr>
        <w:t>ج</w:t>
      </w:r>
      <w:r>
        <w:rPr>
          <w:rtl w:val="true"/>
        </w:rPr>
        <w:tab/>
        <w:t>.</w:t>
        <w:tab/>
      </w:r>
      <w:r>
        <w:rPr>
          <w:rtl w:val="true"/>
        </w:rPr>
        <w:t xml:space="preserve">سود يا زيان شناسايي شده بر طبق بندهاي </w:t>
      </w:r>
      <w:r>
        <w:rPr/>
        <w:t>21</w:t>
      </w:r>
      <w:r>
        <w:rPr>
          <w:rtl w:val="true"/>
        </w:rPr>
        <w:t xml:space="preserve"> </w:t>
      </w:r>
      <w:r>
        <w:rPr>
          <w:rtl w:val="true"/>
        </w:rPr>
        <w:t xml:space="preserve">تا </w:t>
      </w:r>
      <w:r>
        <w:rPr/>
        <w:t>23</w:t>
      </w:r>
      <w:r>
        <w:rPr>
          <w:rtl w:val="true"/>
        </w:rPr>
        <w:t>، و در</w:t>
      </w:r>
      <w:r>
        <w:rPr>
          <w:rFonts w:hint="cs" w:cs="Times New Roman"/>
          <w:rtl w:val="true"/>
        </w:rPr>
        <w:t> </w:t>
      </w:r>
      <w:r>
        <w:rPr>
          <w:rtl w:val="true"/>
        </w:rPr>
        <w:t>صورت عدم ارائه جداگانه در متن صورت سود و زيان، سرفصلي از صورت سود و زيان که شامل آن سود و زيان مي‌باشد، و</w:t>
      </w:r>
    </w:p>
    <w:p>
      <w:pPr>
        <w:pStyle w:val="1LotusAlef2"/>
        <w:ind w:end="0"/>
        <w:jc w:val="both"/>
        <w:rPr/>
      </w:pPr>
      <w:r>
        <w:rPr>
          <w:rtl w:val="true"/>
        </w:rPr>
        <w:t>د</w:t>
      </w:r>
      <w:r>
        <w:rPr>
          <w:rtl w:val="true"/>
        </w:rPr>
        <w:tab/>
        <w:t>.</w:t>
        <w:tab/>
      </w:r>
      <w:r>
        <w:rPr>
          <w:rtl w:val="true"/>
        </w:rPr>
        <w:t xml:space="preserve">در موارد لازم، قسمتي که در آن، دارايي غيرجاري </w:t>
      </w:r>
      <w:r>
        <w:rPr>
          <w:rtl w:val="true"/>
        </w:rPr>
        <w:t>(</w:t>
      </w:r>
      <w:r>
        <w:rPr>
          <w:rtl w:val="true"/>
        </w:rPr>
        <w:t>يا مجموعه واحد</w:t>
      </w:r>
      <w:r>
        <w:rPr>
          <w:rtl w:val="true"/>
        </w:rPr>
        <w:t xml:space="preserve">) </w:t>
      </w:r>
      <w:r>
        <w:rPr>
          <w:rtl w:val="true"/>
        </w:rPr>
        <w:t xml:space="preserve">طبق استاندارد حسابداري شماره </w:t>
      </w:r>
      <w:r>
        <w:rPr/>
        <w:t>25</w:t>
      </w:r>
      <w:r>
        <w:rPr>
          <w:rtl w:val="true"/>
        </w:rPr>
        <w:t xml:space="preserve"> </w:t>
      </w:r>
      <w:r>
        <w:rPr>
          <w:rtl w:val="true"/>
        </w:rPr>
        <w:t>با</w:t>
      </w:r>
      <w:r>
        <w:rPr>
          <w:rFonts w:hint="cs" w:cs="Times New Roman"/>
          <w:rtl w:val="true"/>
        </w:rPr>
        <w:t> </w:t>
      </w:r>
      <w:r>
        <w:rPr>
          <w:rtl w:val="true"/>
        </w:rPr>
        <w:t xml:space="preserve">عنوان </w:t>
      </w:r>
      <w:r>
        <w:rPr>
          <w:rStyle w:val="D-TrafficVasat"/>
          <w:rtl w:val="true"/>
        </w:rPr>
        <w:t>گزارشگري بر حسب قسمتهاي مختلف</w:t>
      </w:r>
      <w:r>
        <w:rPr>
          <w:rtl w:val="true"/>
        </w:rPr>
        <w:t xml:space="preserve"> ارائه مي‌شود</w:t>
      </w:r>
      <w:r>
        <w:rPr>
          <w:rtl w:val="true"/>
        </w:rPr>
        <w:t>.</w:t>
      </w:r>
    </w:p>
    <w:p>
      <w:pPr>
        <w:pStyle w:val="Fa41"/>
        <w:ind w:end="0"/>
        <w:jc w:val="both"/>
        <w:rPr/>
      </w:pPr>
      <w:r>
        <w:rPr>
          <w:rtl w:val="true"/>
        </w:rPr>
      </w:r>
    </w:p>
    <w:p>
      <w:pPr>
        <w:pStyle w:val="1Lotus1"/>
        <w:ind w:end="0"/>
        <w:jc w:val="both"/>
        <w:rPr/>
      </w:pPr>
      <w:r>
        <w:rPr>
          <w:spacing w:val="-2"/>
        </w:rPr>
        <w:t>41</w:t>
      </w:r>
      <w:r>
        <w:rPr>
          <w:spacing w:val="-2"/>
          <w:rtl w:val="true"/>
        </w:rPr>
        <w:t xml:space="preserve"> .</w:t>
        <w:tab/>
      </w:r>
      <w:r>
        <w:rPr>
          <w:rtl w:val="true"/>
        </w:rPr>
        <w:t>چنانچه بن</w:t>
      </w:r>
      <w:r>
        <w:rPr>
          <w:rFonts w:hint="cs"/>
          <w:rtl w:val="true"/>
        </w:rPr>
        <w:t>ـ</w:t>
      </w:r>
      <w:r>
        <w:rPr>
          <w:rtl w:val="true"/>
        </w:rPr>
        <w:t xml:space="preserve">د </w:t>
      </w:r>
      <w:r>
        <w:rPr/>
        <w:t>27</w:t>
      </w:r>
      <w:r>
        <w:rPr>
          <w:rtl w:val="true"/>
        </w:rPr>
        <w:t xml:space="preserve"> </w:t>
      </w:r>
      <w:r>
        <w:rPr>
          <w:rtl w:val="true"/>
        </w:rPr>
        <w:t xml:space="preserve">يا بند </w:t>
      </w:r>
      <w:r>
        <w:rPr/>
        <w:t>30</w:t>
      </w:r>
      <w:r>
        <w:rPr>
          <w:rtl w:val="true"/>
        </w:rPr>
        <w:t xml:space="preserve"> </w:t>
      </w:r>
      <w:r>
        <w:rPr>
          <w:rtl w:val="true"/>
        </w:rPr>
        <w:t>بکار</w:t>
      </w:r>
      <w:r>
        <w:rPr>
          <w:rFonts w:hint="cs" w:cs="Times New Roman"/>
          <w:sz w:val="16"/>
          <w:szCs w:val="22"/>
          <w:rtl w:val="true"/>
        </w:rPr>
        <w:t> </w:t>
      </w:r>
      <w:r>
        <w:rPr>
          <w:rtl w:val="true"/>
        </w:rPr>
        <w:t>گرفته ش</w:t>
      </w:r>
      <w:r>
        <w:rPr>
          <w:rFonts w:hint="cs"/>
          <w:rtl w:val="true"/>
        </w:rPr>
        <w:t>ـ</w:t>
      </w:r>
      <w:r>
        <w:rPr>
          <w:rtl w:val="true"/>
        </w:rPr>
        <w:t>ود، واح</w:t>
      </w:r>
      <w:r>
        <w:rPr>
          <w:rFonts w:hint="cs"/>
          <w:rtl w:val="true"/>
        </w:rPr>
        <w:t>ـ</w:t>
      </w:r>
      <w:r>
        <w:rPr>
          <w:rtl w:val="true"/>
        </w:rPr>
        <w:t>د تج</w:t>
      </w:r>
      <w:r>
        <w:rPr>
          <w:rFonts w:hint="cs"/>
          <w:rtl w:val="true"/>
        </w:rPr>
        <w:t>ـ</w:t>
      </w:r>
      <w:r>
        <w:rPr>
          <w:rtl w:val="true"/>
        </w:rPr>
        <w:t xml:space="preserve">اري در دوره‌اي که تصميم مي‌گيرد طرح فروش دارايي غيرجاري </w:t>
      </w:r>
      <w:r>
        <w:rPr>
          <w:rtl w:val="true"/>
        </w:rPr>
        <w:t>(</w:t>
      </w:r>
      <w:r>
        <w:rPr>
          <w:rtl w:val="true"/>
        </w:rPr>
        <w:t>يا مجموعه واحد</w:t>
      </w:r>
      <w:r>
        <w:rPr>
          <w:rtl w:val="true"/>
        </w:rPr>
        <w:t xml:space="preserve">) </w:t>
      </w:r>
      <w:r>
        <w:rPr>
          <w:rtl w:val="true"/>
        </w:rPr>
        <w:t>را تغيير دهد، بايد شرحي از واقعيتها و شرايطي که</w:t>
      </w:r>
      <w:r>
        <w:rPr>
          <w:rFonts w:hint="cs" w:cs="Times New Roman"/>
          <w:rtl w:val="true"/>
        </w:rPr>
        <w:t> </w:t>
      </w:r>
      <w:r>
        <w:rPr>
          <w:rFonts w:hint="cs"/>
          <w:rtl w:val="true"/>
        </w:rPr>
        <w:t>منجر به اين تصميم شده است و اثرات اين تصميم بر نتايج عمليات و جريان وجوه نقد آن دوره و دوره‌‌هاي قبلي که ارائه مي‌شود را افشا کند</w:t>
      </w:r>
      <w:r>
        <w:rPr>
          <w:rFonts w:hint="cs"/>
          <w:rtl w:val="true"/>
        </w:rPr>
        <w:t>.</w:t>
      </w:r>
    </w:p>
    <w:p>
      <w:pPr>
        <w:pStyle w:val="Heading1"/>
        <w:ind w:end="0"/>
        <w:jc w:val="start"/>
        <w:rPr/>
      </w:pPr>
      <w:r>
        <w:rPr>
          <w:rtl w:val="true"/>
        </w:rPr>
        <w:t>تاريخ اجرا</w:t>
      </w:r>
    </w:p>
    <w:p>
      <w:pPr>
        <w:pStyle w:val="1Lotus1"/>
        <w:ind w:end="0"/>
        <w:jc w:val="both"/>
        <w:rPr>
          <w:rFonts w:cs="B Traffic"/>
          <w:szCs w:val="22"/>
        </w:rPr>
      </w:pPr>
      <w:r>
        <w:rPr>
          <w:rFonts w:cs="B Traffic"/>
          <w:szCs w:val="22"/>
        </w:rPr>
        <w:t>42</w:t>
      </w:r>
      <w:r>
        <w:rPr>
          <w:rFonts w:cs="B Traffic"/>
          <w:szCs w:val="22"/>
          <w:rtl w:val="true"/>
        </w:rPr>
        <w:t xml:space="preserve"> .</w:t>
      </w:r>
      <w:r>
        <w:rPr>
          <w:rtl w:val="true"/>
        </w:rPr>
        <w:tab/>
      </w:r>
      <w:r>
        <w:rPr>
          <w:rFonts w:cs="B Traffic"/>
          <w:szCs w:val="22"/>
          <w:rtl w:val="true"/>
        </w:rPr>
        <w:t xml:space="preserve">الزامات اين استاندارد براي کليه صورتهاي مالي که دوره مالي آن از تاريخ </w:t>
      </w:r>
      <w:r>
        <w:rPr>
          <w:rFonts w:cs="B Traffic"/>
          <w:szCs w:val="22"/>
        </w:rPr>
        <w:t>1/1/</w:t>
      </w:r>
      <w:r>
        <w:rPr>
          <w:rFonts w:cs="B Traffic" w:hint="cs"/>
          <w:szCs w:val="22"/>
        </w:rPr>
        <w:t>1389</w:t>
      </w:r>
      <w:r>
        <w:rPr>
          <w:rFonts w:cs="B Traffic"/>
          <w:szCs w:val="22"/>
          <w:rtl w:val="true"/>
        </w:rPr>
        <w:t xml:space="preserve"> </w:t>
      </w:r>
      <w:r>
        <w:rPr>
          <w:rFonts w:cs="B Traffic"/>
          <w:szCs w:val="22"/>
          <w:rtl w:val="true"/>
        </w:rPr>
        <w:t>و بعد از آن شروع مي‌شود، لازم‌الاجراست</w:t>
      </w:r>
      <w:r>
        <w:rPr>
          <w:rFonts w:cs="B Traffic"/>
          <w:szCs w:val="22"/>
          <w:rtl w:val="true"/>
        </w:rPr>
        <w:t>.</w:t>
      </w:r>
    </w:p>
    <w:p>
      <w:pPr>
        <w:pStyle w:val="Heading1"/>
        <w:ind w:end="0"/>
        <w:jc w:val="start"/>
        <w:rPr/>
      </w:pPr>
      <w:r>
        <w:rPr>
          <w:rtl w:val="true"/>
        </w:rPr>
        <w:t>مطابقت با استانداردهاي بين‌المللي حسابداري</w:t>
      </w:r>
    </w:p>
    <w:p>
      <w:pPr>
        <w:pStyle w:val="Normal"/>
        <w:spacing w:before="0" w:after="120"/>
        <w:ind w:hanging="570" w:start="570" w:end="0"/>
        <w:jc w:val="start"/>
        <w:rPr>
          <w:rFonts w:cs="B Lotus"/>
        </w:rPr>
      </w:pPr>
      <w:r>
        <w:rPr>
          <w:rFonts w:cs="B Lotus"/>
        </w:rPr>
        <w:t>43</w:t>
      </w:r>
      <w:r>
        <w:rPr>
          <w:rFonts w:cs="B Lotus"/>
          <w:rtl w:val="true"/>
        </w:rPr>
        <w:t>.</w:t>
        <w:tab/>
      </w:r>
      <w:r>
        <w:rPr>
          <w:rFonts w:cs="B Lotus"/>
          <w:rtl w:val="true"/>
        </w:rPr>
        <w:t xml:space="preserve">با اجراي الزامات اين استاندارد، مفاد استاندارد بين‌المللي گزارشگري مالي شماره </w:t>
      </w:r>
      <w:r>
        <w:rPr>
          <w:rFonts w:cs="B Lotus"/>
        </w:rPr>
        <w:t>5</w:t>
      </w:r>
      <w:r>
        <w:rPr>
          <w:rFonts w:cs="B Lotus"/>
          <w:rtl w:val="true"/>
        </w:rPr>
        <w:br/>
      </w:r>
      <w:r>
        <w:rPr>
          <w:rFonts w:cs="B Lotus"/>
          <w:rtl w:val="true"/>
        </w:rPr>
        <w:t>با</w:t>
      </w:r>
      <w:r>
        <w:rPr>
          <w:rFonts w:hint="cs" w:cs="Times New Roman"/>
          <w:rtl w:val="true"/>
        </w:rPr>
        <w:t> </w:t>
      </w:r>
      <w:r>
        <w:rPr>
          <w:rFonts w:cs="B Lotus"/>
          <w:rtl w:val="true"/>
        </w:rPr>
        <w:t xml:space="preserve">عنوان </w:t>
      </w:r>
      <w:r>
        <w:rPr>
          <w:rFonts w:cs="Traffic;Courier New"/>
          <w:sz w:val="20"/>
          <w:szCs w:val="22"/>
          <w:rtl w:val="true"/>
        </w:rPr>
        <w:t xml:space="preserve">داراييهاي غيرجاري نگهداري شده براي فروش و عمليات متوقف شده </w:t>
      </w:r>
      <w:r>
        <w:rPr>
          <w:rFonts w:cs="B Lotus"/>
          <w:rtl w:val="true"/>
        </w:rPr>
        <w:t>نيز رعايت مي‌شود</w:t>
      </w:r>
      <w:r>
        <w:rPr>
          <w:rFonts w:cs="B Lotus"/>
          <w:rtl w:val="true"/>
        </w:rPr>
        <w:t>.</w:t>
      </w:r>
    </w:p>
    <w:p>
      <w:pPr>
        <w:pStyle w:val="Normal"/>
        <w:spacing w:before="0" w:after="120"/>
        <w:ind w:hanging="567" w:start="567" w:end="0"/>
        <w:jc w:val="start"/>
        <w:rPr>
          <w:rFonts w:cs="B Lotus"/>
          <w:color w:val="FFCC00"/>
        </w:rPr>
      </w:pPr>
      <w:r>
        <w:rPr>
          <w:rFonts w:cs="B Lotus"/>
          <w:color w:val="FFCC00"/>
          <w:rtl w:val="true"/>
        </w:rPr>
      </w:r>
    </w:p>
    <w:p>
      <w:pPr>
        <w:sectPr>
          <w:type w:val="continuous"/>
          <w:pgSz w:w="11906" w:h="16838"/>
          <w:pgMar w:left="1701" w:right="1701" w:gutter="0" w:header="1418" w:top="2268" w:footer="1134" w:bottom="1701"/>
          <w:formProt w:val="false"/>
          <w:textDirection w:val="lrTb"/>
          <w:bidi/>
          <w:rtlGutter/>
          <w:docGrid w:type="default" w:linePitch="360" w:charSpace="0"/>
        </w:sectPr>
      </w:pPr>
    </w:p>
    <w:p>
      <w:pPr>
        <w:pStyle w:val="Header"/>
        <w:spacing w:before="0" w:after="120"/>
        <w:ind w:end="0"/>
        <w:jc w:val="center"/>
        <w:rPr>
          <w:rFonts w:cs="B Zar" w:hint="cs"/>
          <w:b/>
          <w:sz w:val="28"/>
        </w:rPr>
      </w:pPr>
      <w:r>
        <w:rPr>
          <w:rFonts w:cs="B Zar"/>
          <w:b/>
          <w:b/>
          <w:sz w:val="28"/>
          <w:rtl w:val="true"/>
        </w:rPr>
        <w:t xml:space="preserve">پيوست شماره </w:t>
      </w:r>
      <w:r>
        <w:rPr>
          <w:rFonts w:cs="B Zar"/>
          <w:b/>
          <w:sz w:val="28"/>
        </w:rPr>
        <w:t>1</w:t>
      </w:r>
      <w:r>
        <w:rPr>
          <w:rFonts w:cs="B Zar" w:hint="cs"/>
          <w:b/>
          <w:sz w:val="28"/>
          <w:rtl w:val="true"/>
        </w:rPr>
        <w:t xml:space="preserve"> :  </w:t>
      </w:r>
      <w:r>
        <w:rPr>
          <w:rFonts w:hint="cs" w:cs="B Zar"/>
          <w:b/>
          <w:b/>
          <w:sz w:val="28"/>
          <w:rtl w:val="true"/>
        </w:rPr>
        <w:t>توضیحات تکمیلی</w:t>
      </w:r>
    </w:p>
    <w:p>
      <w:pPr>
        <w:pStyle w:val="IN1"/>
        <w:ind w:end="0"/>
        <w:jc w:val="center"/>
        <w:rPr/>
      </w:pPr>
      <w:r>
        <w:rPr>
          <w:rtl w:val="true"/>
        </w:rPr>
        <w:t xml:space="preserve">اين پيوست جزء لاينفک استاندارد حسابداري شماره </w:t>
      </w:r>
      <w:r>
        <w:rPr>
          <w:rFonts w:hint="cs"/>
        </w:rPr>
        <w:t>31</w:t>
      </w:r>
      <w:r>
        <w:rPr>
          <w:rtl w:val="true"/>
        </w:rPr>
        <w:t xml:space="preserve"> </w:t>
      </w:r>
      <w:r>
        <w:rPr>
          <w:rtl w:val="true"/>
        </w:rPr>
        <w:t>است</w:t>
      </w:r>
      <w:r>
        <w:rPr>
          <w:rtl w:val="true"/>
        </w:rPr>
        <w:t>.</w:t>
      </w:r>
    </w:p>
    <w:p>
      <w:pPr>
        <w:pStyle w:val="Heading1"/>
        <w:ind w:end="0"/>
        <w:jc w:val="start"/>
        <w:rPr/>
      </w:pPr>
      <w:r>
        <w:rPr>
          <w:rtl w:val="true"/>
        </w:rPr>
        <w:t>طولاني‌تر شدن دوره مورد نياز براي تکميل فروش</w:t>
      </w:r>
    </w:p>
    <w:p>
      <w:pPr>
        <w:pStyle w:val="1LotusZirAlef1"/>
        <w:ind w:end="0"/>
        <w:jc w:val="both"/>
        <w:rPr/>
      </w:pPr>
      <w:r>
        <w:rPr/>
        <w:t>1</w:t>
      </w:r>
      <w:r>
        <w:rPr>
          <w:rtl w:val="true"/>
        </w:rPr>
        <w:t xml:space="preserve">  .</w:t>
        <w:tab/>
      </w:r>
      <w:r>
        <w:rPr>
          <w:rtl w:val="true"/>
        </w:rPr>
        <w:t xml:space="preserve">همان‌گونه که در بند </w:t>
      </w:r>
      <w:r>
        <w:rPr/>
        <w:t>10</w:t>
      </w:r>
      <w:r>
        <w:rPr>
          <w:rtl w:val="true"/>
        </w:rPr>
        <w:t xml:space="preserve"> </w:t>
      </w:r>
      <w:r>
        <w:rPr>
          <w:rtl w:val="true"/>
        </w:rPr>
        <w:t>اشاره شد</w:t>
      </w:r>
      <w:r>
        <w:rPr>
          <w:rFonts w:hint="cs"/>
          <w:rtl w:val="true"/>
        </w:rPr>
        <w:t>ه است</w:t>
      </w:r>
      <w:r>
        <w:rPr>
          <w:rtl w:val="true"/>
        </w:rPr>
        <w:t>، طولاني‌تر شدن دوره تکميل فروش، در</w:t>
      </w:r>
      <w:r>
        <w:rPr>
          <w:rFonts w:hint="cs" w:cs="Times New Roman"/>
          <w:rtl w:val="true"/>
        </w:rPr>
        <w:t> </w:t>
      </w:r>
      <w:r>
        <w:rPr>
          <w:rtl w:val="true"/>
        </w:rPr>
        <w:t xml:space="preserve">صورتي مانع از طبقه‌بندي يک دارايي </w:t>
      </w:r>
      <w:r>
        <w:rPr>
          <w:rFonts w:hint="cs"/>
          <w:rtl w:val="true"/>
        </w:rPr>
        <w:t>غير</w:t>
      </w:r>
      <w:r>
        <w:rPr>
          <w:rFonts w:hint="cs" w:cs="Times New Roman"/>
          <w:rtl w:val="true"/>
        </w:rPr>
        <w:t> </w:t>
      </w:r>
      <w:r>
        <w:rPr>
          <w:rFonts w:hint="cs"/>
          <w:rtl w:val="true"/>
        </w:rPr>
        <w:t xml:space="preserve">جاري </w:t>
      </w:r>
      <w:r>
        <w:rPr>
          <w:rtl w:val="true"/>
        </w:rPr>
        <w:t>(</w:t>
      </w:r>
      <w:r>
        <w:rPr>
          <w:rtl w:val="true"/>
        </w:rPr>
        <w:t>يا</w:t>
      </w:r>
      <w:r>
        <w:rPr>
          <w:rFonts w:cs="Times New Roman"/>
          <w:rtl w:val="true"/>
        </w:rPr>
        <w:t> </w:t>
      </w:r>
      <w:r>
        <w:rPr>
          <w:rtl w:val="true"/>
        </w:rPr>
        <w:t>مجموعه</w:t>
      </w:r>
      <w:r>
        <w:rPr>
          <w:rFonts w:hint="cs"/>
          <w:rtl w:val="true"/>
        </w:rPr>
        <w:t>‌اي</w:t>
      </w:r>
      <w:r>
        <w:rPr>
          <w:rtl w:val="true"/>
        </w:rPr>
        <w:t>‌ واحد</w:t>
      </w:r>
      <w:r>
        <w:rPr>
          <w:rtl w:val="true"/>
        </w:rPr>
        <w:t xml:space="preserve">) </w:t>
      </w:r>
      <w:r>
        <w:rPr>
          <w:rtl w:val="true"/>
        </w:rPr>
        <w:t>به</w:t>
      </w:r>
      <w:r>
        <w:rPr>
          <w:rFonts w:cs="Times New Roman"/>
          <w:rtl w:val="true"/>
        </w:rPr>
        <w:t> </w:t>
      </w:r>
      <w:r>
        <w:rPr>
          <w:rtl w:val="true"/>
        </w:rPr>
        <w:t>عنوان نگهداري شده براي فروش نمي‌شود، که اين تأخير از رويدادها و شرايطي خارج از کنترل واحد تجاري ناشي شود و شواهد کافي وجود داشته باشد که واحد تجاري به تعهدات خود براي طرح</w:t>
      </w:r>
      <w:r>
        <w:rPr>
          <w:rFonts w:hint="cs" w:cs="Times New Roman"/>
          <w:rtl w:val="true"/>
        </w:rPr>
        <w:t> </w:t>
      </w:r>
      <w:r>
        <w:rPr>
          <w:rtl w:val="true"/>
        </w:rPr>
        <w:t xml:space="preserve">فروش دارايي </w:t>
      </w:r>
      <w:r>
        <w:rPr>
          <w:rtl w:val="true"/>
        </w:rPr>
        <w:t>(</w:t>
      </w:r>
      <w:r>
        <w:rPr>
          <w:rtl w:val="true"/>
        </w:rPr>
        <w:t>يا</w:t>
      </w:r>
      <w:r>
        <w:rPr>
          <w:rFonts w:hint="cs" w:cs="Times New Roman"/>
          <w:rtl w:val="true"/>
        </w:rPr>
        <w:t> </w:t>
      </w:r>
      <w:r>
        <w:rPr>
          <w:rFonts w:hint="cs"/>
          <w:rtl w:val="true"/>
        </w:rPr>
        <w:t>مجم</w:t>
      </w:r>
      <w:r>
        <w:rPr>
          <w:rtl w:val="true"/>
        </w:rPr>
        <w:t>وعه‌ واحد</w:t>
      </w:r>
      <w:r>
        <w:rPr>
          <w:rtl w:val="true"/>
        </w:rPr>
        <w:t xml:space="preserve">) </w:t>
      </w:r>
      <w:r>
        <w:rPr>
          <w:rtl w:val="true"/>
        </w:rPr>
        <w:t>پايبند است</w:t>
      </w:r>
      <w:r>
        <w:rPr>
          <w:rtl w:val="true"/>
        </w:rPr>
        <w:t xml:space="preserve">. </w:t>
      </w:r>
      <w:r>
        <w:rPr>
          <w:rtl w:val="true"/>
        </w:rPr>
        <w:t>در موارد زير، محدوديت زماني يکساله براي تکميل فروش به</w:t>
      </w:r>
      <w:r>
        <w:rPr>
          <w:rFonts w:cs="Times New Roman"/>
          <w:rtl w:val="true"/>
        </w:rPr>
        <w:t> </w:t>
      </w:r>
      <w:r>
        <w:rPr>
          <w:rtl w:val="true"/>
        </w:rPr>
        <w:t xml:space="preserve">شرح مندرج در بند </w:t>
      </w:r>
      <w:r>
        <w:rPr/>
        <w:t>9</w:t>
      </w:r>
      <w:r>
        <w:rPr>
          <w:rtl w:val="true"/>
        </w:rPr>
        <w:t xml:space="preserve"> </w:t>
      </w:r>
      <w:r>
        <w:rPr>
          <w:rtl w:val="true"/>
        </w:rPr>
        <w:t>تعديل مي‌شود</w:t>
      </w:r>
      <w:r>
        <w:rPr>
          <w:rtl w:val="true"/>
        </w:rPr>
        <w:t>:</w:t>
      </w:r>
    </w:p>
    <w:p>
      <w:pPr>
        <w:pStyle w:val="1LotusAlef2"/>
        <w:ind w:end="0"/>
        <w:jc w:val="both"/>
        <w:rPr/>
      </w:pPr>
      <w:r>
        <w:rPr>
          <w:rtl w:val="true"/>
        </w:rPr>
        <w:t>الف</w:t>
      </w:r>
      <w:r>
        <w:rPr>
          <w:rtl w:val="true"/>
        </w:rPr>
        <w:t>.</w:t>
        <w:tab/>
      </w:r>
      <w:r>
        <w:rPr>
          <w:rtl w:val="true"/>
        </w:rPr>
        <w:t xml:space="preserve">در تاريخي که واحد تجاري خود را متعهد به طرح فروش دارايي غيرجاري </w:t>
      </w:r>
      <w:r>
        <w:rPr>
          <w:rtl w:val="true"/>
        </w:rPr>
        <w:t>(</w:t>
      </w:r>
      <w:r>
        <w:rPr>
          <w:rtl w:val="true"/>
        </w:rPr>
        <w:t>يا</w:t>
      </w:r>
      <w:r>
        <w:rPr>
          <w:rFonts w:hint="cs" w:cs="Times New Roman"/>
          <w:rtl w:val="true"/>
        </w:rPr>
        <w:t> </w:t>
      </w:r>
      <w:r>
        <w:rPr>
          <w:rFonts w:hint="cs"/>
          <w:rtl w:val="true"/>
        </w:rPr>
        <w:t>مجموعه‌ واحد</w:t>
      </w:r>
      <w:r>
        <w:rPr>
          <w:rFonts w:hint="cs"/>
          <w:rtl w:val="true"/>
        </w:rPr>
        <w:t xml:space="preserve">) </w:t>
      </w:r>
      <w:r>
        <w:rPr>
          <w:rFonts w:hint="cs"/>
          <w:rtl w:val="true"/>
        </w:rPr>
        <w:t>مي‌کند، به</w:t>
      </w:r>
      <w:r>
        <w:rPr>
          <w:rFonts w:hint="cs" w:cs="Times New Roman"/>
          <w:rtl w:val="true"/>
        </w:rPr>
        <w:t> </w:t>
      </w:r>
      <w:r>
        <w:rPr>
          <w:rFonts w:hint="cs"/>
          <w:rtl w:val="true"/>
        </w:rPr>
        <w:t xml:space="preserve">طور منطقي انتظار داشته باشد که ديگران </w:t>
      </w:r>
      <w:r>
        <w:rPr>
          <w:rFonts w:hint="cs"/>
          <w:rtl w:val="true"/>
        </w:rPr>
        <w:t>(</w:t>
      </w:r>
      <w:r>
        <w:rPr>
          <w:rFonts w:hint="cs"/>
          <w:rtl w:val="true"/>
        </w:rPr>
        <w:t>نه</w:t>
      </w:r>
      <w:r>
        <w:rPr>
          <w:rFonts w:cs="Times New Roman"/>
          <w:rtl w:val="true"/>
        </w:rPr>
        <w:t> </w:t>
      </w:r>
      <w:r>
        <w:rPr>
          <w:rtl w:val="true"/>
        </w:rPr>
        <w:t>خريدار</w:t>
      </w:r>
      <w:r>
        <w:rPr>
          <w:rtl w:val="true"/>
        </w:rPr>
        <w:t xml:space="preserve">) </w:t>
      </w:r>
      <w:r>
        <w:rPr>
          <w:rtl w:val="true"/>
        </w:rPr>
        <w:t xml:space="preserve">شرايطي را براي انتقال دارايي </w:t>
      </w:r>
      <w:r>
        <w:rPr>
          <w:rtl w:val="true"/>
        </w:rPr>
        <w:t>(</w:t>
      </w:r>
      <w:r>
        <w:rPr>
          <w:rtl w:val="true"/>
        </w:rPr>
        <w:t>يا</w:t>
      </w:r>
      <w:r>
        <w:rPr>
          <w:rFonts w:hint="cs" w:cs="Times New Roman"/>
          <w:rtl w:val="true"/>
        </w:rPr>
        <w:t> </w:t>
      </w:r>
      <w:r>
        <w:rPr>
          <w:rFonts w:hint="cs"/>
          <w:rtl w:val="true"/>
        </w:rPr>
        <w:t>مجموعه‌ واحد</w:t>
      </w:r>
      <w:r>
        <w:rPr>
          <w:rFonts w:hint="cs"/>
          <w:rtl w:val="true"/>
        </w:rPr>
        <w:t xml:space="preserve">) </w:t>
      </w:r>
      <w:r>
        <w:rPr>
          <w:rFonts w:hint="cs"/>
          <w:rtl w:val="true"/>
        </w:rPr>
        <w:t>وضع نمايند که دوره تکميل فروش را طولاني‌تر کند، و</w:t>
      </w:r>
      <w:r>
        <w:rPr>
          <w:rFonts w:hint="eastAsia"/>
          <w:rtl w:val="true"/>
        </w:rPr>
        <w:t> </w:t>
      </w:r>
      <w:r>
        <w:rPr>
          <w:rFonts w:hint="cs"/>
          <w:rtl w:val="true"/>
        </w:rPr>
        <w:t>:</w:t>
      </w:r>
    </w:p>
    <w:p>
      <w:pPr>
        <w:pStyle w:val="1LotusAlef11"/>
        <w:ind w:end="0"/>
        <w:jc w:val="both"/>
        <w:rPr/>
      </w:pPr>
      <w:r>
        <w:rPr>
          <w:rFonts w:hint="cs"/>
        </w:rPr>
        <w:t>1</w:t>
      </w:r>
      <w:r>
        <w:rPr>
          <w:rFonts w:hint="cs"/>
          <w:rtl w:val="true"/>
        </w:rPr>
        <w:t xml:space="preserve">  .</w:t>
      </w:r>
      <w:r>
        <w:rPr>
          <w:rtl w:val="true"/>
        </w:rPr>
        <w:tab/>
      </w:r>
      <w:r>
        <w:rPr>
          <w:rtl w:val="true"/>
        </w:rPr>
        <w:t>اقدامات لازم در خصوص آن شرايط را نتوان تا زمان دستيابي به تعهد قطعي خريد آغاز کرد، و</w:t>
      </w:r>
    </w:p>
    <w:p>
      <w:pPr>
        <w:pStyle w:val="1LotusAlef11"/>
        <w:ind w:end="0"/>
        <w:jc w:val="both"/>
        <w:rPr>
          <w:rFonts w:hint="cs"/>
        </w:rPr>
      </w:pPr>
      <w:r>
        <w:rPr>
          <w:rFonts w:hint="cs"/>
        </w:rPr>
        <w:t>2</w:t>
      </w:r>
      <w:r>
        <w:rPr>
          <w:rFonts w:hint="cs"/>
          <w:rtl w:val="true"/>
        </w:rPr>
        <w:t xml:space="preserve">  .</w:t>
      </w:r>
      <w:r>
        <w:rPr>
          <w:rtl w:val="true"/>
        </w:rPr>
        <w:tab/>
      </w:r>
      <w:r>
        <w:rPr>
          <w:rtl w:val="true"/>
        </w:rPr>
        <w:t>تعهد قطعي خريد طي يک سال، بسيار محتمل باشد</w:t>
      </w:r>
      <w:r>
        <w:rPr>
          <w:rtl w:val="true"/>
        </w:rPr>
        <w:t>.</w:t>
      </w:r>
    </w:p>
    <w:p>
      <w:pPr>
        <w:pStyle w:val="Fa41"/>
        <w:ind w:end="0"/>
        <w:jc w:val="both"/>
        <w:rPr>
          <w:rFonts w:hint="cs"/>
        </w:rPr>
      </w:pPr>
      <w:r>
        <w:rPr>
          <w:rFonts w:hint="cs"/>
          <w:rtl w:val="true"/>
        </w:rPr>
      </w:r>
    </w:p>
    <w:p>
      <w:pPr>
        <w:pStyle w:val="1LotusAlef2"/>
        <w:ind w:end="0"/>
        <w:jc w:val="both"/>
        <w:rPr/>
      </w:pPr>
      <w:r>
        <w:rPr>
          <w:rtl w:val="true"/>
        </w:rPr>
        <w:t>ب</w:t>
      </w:r>
      <w:r>
        <w:rPr>
          <w:rFonts w:hint="cs"/>
          <w:rtl w:val="true"/>
        </w:rPr>
        <w:tab/>
      </w:r>
      <w:r>
        <w:rPr>
          <w:rtl w:val="true"/>
        </w:rPr>
        <w:t>.</w:t>
        <w:tab/>
      </w:r>
      <w:r>
        <w:rPr>
          <w:rtl w:val="true"/>
        </w:rPr>
        <w:t>واحد تجاري يک تعهد قطعي خريد به</w:t>
      </w:r>
      <w:r>
        <w:rPr>
          <w:rFonts w:cs="Times New Roman"/>
          <w:rtl w:val="true"/>
        </w:rPr>
        <w:t> </w:t>
      </w:r>
      <w:r>
        <w:rPr>
          <w:rtl w:val="true"/>
        </w:rPr>
        <w:t>دست مي‌آورد و اما به</w:t>
      </w:r>
      <w:r>
        <w:rPr>
          <w:rFonts w:cs="Times New Roman"/>
          <w:rtl w:val="true"/>
        </w:rPr>
        <w:t> </w:t>
      </w:r>
      <w:r>
        <w:rPr>
          <w:rtl w:val="true"/>
        </w:rPr>
        <w:t>دنبال آن، خريدار يا ديگران به</w:t>
      </w:r>
      <w:r>
        <w:rPr>
          <w:rFonts w:hint="cs" w:cs="Times New Roman"/>
          <w:rtl w:val="true"/>
        </w:rPr>
        <w:t> </w:t>
      </w:r>
      <w:r>
        <w:rPr>
          <w:rtl w:val="true"/>
        </w:rPr>
        <w:t xml:space="preserve">طور غيرمنتظره، شرايطي را براي انتقال دارايي غيرجاري </w:t>
      </w:r>
      <w:r>
        <w:rPr>
          <w:rtl w:val="true"/>
        </w:rPr>
        <w:t>(</w:t>
      </w:r>
      <w:r>
        <w:rPr>
          <w:rtl w:val="true"/>
        </w:rPr>
        <w:t>يا مجموعه‌ واحد</w:t>
      </w:r>
      <w:r>
        <w:rPr>
          <w:rtl w:val="true"/>
        </w:rPr>
        <w:t xml:space="preserve">) </w:t>
      </w:r>
      <w:r>
        <w:rPr>
          <w:rtl w:val="true"/>
        </w:rPr>
        <w:t>طبقه بندي شده در قبل به</w:t>
      </w:r>
      <w:r>
        <w:rPr>
          <w:rFonts w:cs="Times New Roman"/>
          <w:rtl w:val="true"/>
        </w:rPr>
        <w:t> </w:t>
      </w:r>
      <w:r>
        <w:rPr>
          <w:rtl w:val="true"/>
        </w:rPr>
        <w:t>عنوان نگهداري شده براي فروش وضع مي‌نمايند به گونه‌اي که دوره مورد نياز براي تکميل فروش طولاني‌تر مي‌شود، و</w:t>
      </w:r>
      <w:r>
        <w:rPr>
          <w:rtl w:val="true"/>
        </w:rPr>
        <w:t>:</w:t>
      </w:r>
    </w:p>
    <w:p>
      <w:pPr>
        <w:pStyle w:val="1LotusAlef11"/>
        <w:ind w:end="0"/>
        <w:jc w:val="both"/>
        <w:rPr/>
      </w:pPr>
      <w:r>
        <w:rPr>
          <w:rFonts w:hint="cs"/>
        </w:rPr>
        <w:t>1</w:t>
      </w:r>
      <w:r>
        <w:rPr>
          <w:rFonts w:hint="cs"/>
          <w:rtl w:val="true"/>
        </w:rPr>
        <w:t xml:space="preserve">  .</w:t>
      </w:r>
      <w:r>
        <w:rPr>
          <w:rtl w:val="true"/>
        </w:rPr>
        <w:tab/>
      </w:r>
      <w:r>
        <w:rPr>
          <w:rtl w:val="true"/>
        </w:rPr>
        <w:t>اقدامات لازم در خصوص آن شرايط، به موقع انجام شود، و</w:t>
      </w:r>
    </w:p>
    <w:p>
      <w:pPr>
        <w:pStyle w:val="1LotusAlef11"/>
        <w:ind w:end="0"/>
        <w:jc w:val="both"/>
        <w:rPr/>
      </w:pPr>
      <w:r>
        <w:rPr>
          <w:rFonts w:hint="cs"/>
        </w:rPr>
        <w:t>2</w:t>
      </w:r>
      <w:r>
        <w:rPr>
          <w:rFonts w:hint="cs"/>
          <w:rtl w:val="true"/>
        </w:rPr>
        <w:t xml:space="preserve">  .</w:t>
      </w:r>
      <w:r>
        <w:rPr>
          <w:rtl w:val="true"/>
        </w:rPr>
        <w:tab/>
      </w:r>
      <w:r>
        <w:rPr>
          <w:rtl w:val="true"/>
        </w:rPr>
        <w:t>رفع مناسب عوامل ايجادکنندة تأخير مورد انتظار باشد</w:t>
      </w:r>
      <w:r>
        <w:rPr>
          <w:rtl w:val="true"/>
        </w:rPr>
        <w:t>.</w:t>
      </w:r>
    </w:p>
    <w:p>
      <w:pPr>
        <w:pStyle w:val="Normal"/>
        <w:ind w:start="1134" w:end="0"/>
        <w:jc w:val="start"/>
        <w:rPr>
          <w:rFonts w:cs="B Lotus"/>
          <w:color w:val="FFCC00"/>
          <w:sz w:val="10"/>
          <w:szCs w:val="16"/>
        </w:rPr>
        <w:sectPr>
          <w:headerReference w:type="default" r:id="rId6"/>
          <w:footerReference w:type="default" r:id="rId7"/>
          <w:type w:val="nextPage"/>
          <w:pgSz w:w="11906" w:h="16838"/>
          <w:pgMar w:left="1701" w:right="1701" w:gutter="0" w:header="1134" w:top="2835" w:footer="1134" w:bottom="1701"/>
          <w:pgNumType w:fmt="decimal"/>
          <w:formProt w:val="false"/>
          <w:textDirection w:val="lrTb"/>
          <w:bidi/>
          <w:rtlGutter/>
          <w:docGrid w:type="default" w:linePitch="360" w:charSpace="0"/>
        </w:sectPr>
      </w:pPr>
      <w:r>
        <w:rPr>
          <w:rFonts w:cs="B Lotus"/>
          <w:color w:val="FFCC00"/>
          <w:sz w:val="10"/>
          <w:szCs w:val="16"/>
          <w:rtl w:val="true"/>
        </w:rPr>
      </w:r>
    </w:p>
    <w:p>
      <w:pPr>
        <w:pStyle w:val="1LotusAlef2"/>
        <w:ind w:end="0"/>
        <w:jc w:val="both"/>
        <w:rPr/>
      </w:pPr>
      <w:r>
        <w:rPr>
          <w:rtl w:val="true"/>
        </w:rPr>
        <w:t>ج</w:t>
      </w:r>
      <w:r>
        <w:rPr>
          <w:rFonts w:hint="cs"/>
          <w:rtl w:val="true"/>
        </w:rPr>
        <w:tab/>
      </w:r>
      <w:r>
        <w:rPr>
          <w:rtl w:val="true"/>
        </w:rPr>
        <w:t>.</w:t>
        <w:tab/>
      </w:r>
      <w:r>
        <w:rPr>
          <w:rtl w:val="true"/>
        </w:rPr>
        <w:t xml:space="preserve">طي يک سال اول، شرايطي به وجود ‌آيد که قبلاً بعيد تلقي مي‌شد و در نتيجه، دارايي غيرجاري </w:t>
      </w:r>
      <w:r>
        <w:rPr>
          <w:rtl w:val="true"/>
        </w:rPr>
        <w:t>(</w:t>
      </w:r>
      <w:r>
        <w:rPr>
          <w:rtl w:val="true"/>
        </w:rPr>
        <w:t>يا مجموعه‌ واحد</w:t>
      </w:r>
      <w:r>
        <w:rPr>
          <w:rtl w:val="true"/>
        </w:rPr>
        <w:t xml:space="preserve">) </w:t>
      </w:r>
      <w:r>
        <w:rPr>
          <w:rtl w:val="true"/>
        </w:rPr>
        <w:t>طبقه‌بندي شده در قبل به</w:t>
      </w:r>
      <w:r>
        <w:rPr>
          <w:rFonts w:cs="Times New Roman"/>
          <w:rtl w:val="true"/>
        </w:rPr>
        <w:t> </w:t>
      </w:r>
      <w:r>
        <w:rPr>
          <w:rtl w:val="true"/>
        </w:rPr>
        <w:t>عنوان نگهداري شده براي فروش تا پايان آن دوره فروش نرود، و</w:t>
      </w:r>
      <w:r>
        <w:rPr>
          <w:rtl w:val="true"/>
        </w:rPr>
        <w:t>:</w:t>
      </w:r>
    </w:p>
    <w:p>
      <w:pPr>
        <w:pStyle w:val="1LotusAlef11"/>
        <w:ind w:end="0"/>
        <w:jc w:val="both"/>
        <w:rPr/>
      </w:pPr>
      <w:r>
        <w:rPr>
          <w:rFonts w:hint="cs"/>
        </w:rPr>
        <w:t>1</w:t>
      </w:r>
      <w:r>
        <w:rPr>
          <w:rFonts w:hint="cs"/>
          <w:rtl w:val="true"/>
        </w:rPr>
        <w:t xml:space="preserve">  .</w:t>
      </w:r>
      <w:r>
        <w:rPr>
          <w:rtl w:val="true"/>
        </w:rPr>
        <w:tab/>
      </w:r>
      <w:r>
        <w:rPr>
          <w:rtl w:val="true"/>
        </w:rPr>
        <w:t>طي يک سال اول، واحد تجاري اقدام لازم در خصوص تغيير شرايط را انجام</w:t>
      </w:r>
      <w:r>
        <w:rPr>
          <w:rFonts w:hint="cs" w:cs="Times New Roman"/>
          <w:rtl w:val="true"/>
        </w:rPr>
        <w:t> </w:t>
      </w:r>
      <w:r>
        <w:rPr>
          <w:rtl w:val="true"/>
        </w:rPr>
        <w:t>داده باشد،</w:t>
      </w:r>
    </w:p>
    <w:p>
      <w:pPr>
        <w:pStyle w:val="1LotusAlef11"/>
        <w:ind w:end="0"/>
        <w:jc w:val="both"/>
        <w:rPr/>
      </w:pPr>
      <w:r>
        <w:rPr>
          <w:rFonts w:hint="cs"/>
        </w:rPr>
        <w:t>2</w:t>
      </w:r>
      <w:r>
        <w:rPr>
          <w:rFonts w:hint="cs"/>
          <w:rtl w:val="true"/>
        </w:rPr>
        <w:t xml:space="preserve">  .</w:t>
      </w:r>
      <w:r>
        <w:rPr>
          <w:rtl w:val="true"/>
        </w:rPr>
        <w:tab/>
      </w:r>
      <w:r>
        <w:rPr>
          <w:rtl w:val="true"/>
        </w:rPr>
        <w:t xml:space="preserve">با فرض تغيير شرايط، بازاريابي مؤثري براي فروش دارايي غيرجاري </w:t>
      </w:r>
      <w:r>
        <w:rPr>
          <w:rtl w:val="true"/>
        </w:rPr>
        <w:t>(</w:t>
      </w:r>
      <w:r>
        <w:rPr>
          <w:rtl w:val="true"/>
        </w:rPr>
        <w:t>يا مجموعه‌ واحد</w:t>
      </w:r>
      <w:r>
        <w:rPr>
          <w:rtl w:val="true"/>
        </w:rPr>
        <w:t xml:space="preserve">) </w:t>
      </w:r>
      <w:r>
        <w:rPr>
          <w:rtl w:val="true"/>
        </w:rPr>
        <w:t>به قيمتي منطقي، در جريان باشد، و</w:t>
      </w:r>
    </w:p>
    <w:p>
      <w:pPr>
        <w:pStyle w:val="1LotusAlef11"/>
        <w:ind w:end="0"/>
        <w:jc w:val="both"/>
        <w:rPr/>
      </w:pPr>
      <w:r>
        <w:rPr>
          <w:rFonts w:hint="cs"/>
        </w:rPr>
        <w:t>3</w:t>
      </w:r>
      <w:r>
        <w:rPr>
          <w:rFonts w:hint="cs"/>
          <w:rtl w:val="true"/>
        </w:rPr>
        <w:t xml:space="preserve">  .</w:t>
      </w:r>
      <w:r>
        <w:rPr>
          <w:rtl w:val="true"/>
        </w:rPr>
        <w:tab/>
      </w:r>
      <w:r>
        <w:rPr>
          <w:rtl w:val="true"/>
        </w:rPr>
        <w:t xml:space="preserve">معيارهاي مندرج در بندهاي </w:t>
      </w:r>
      <w:r>
        <w:rPr/>
        <w:t>8</w:t>
      </w:r>
      <w:r>
        <w:rPr>
          <w:rtl w:val="true"/>
        </w:rPr>
        <w:t xml:space="preserve"> </w:t>
      </w:r>
      <w:r>
        <w:rPr>
          <w:rtl w:val="true"/>
        </w:rPr>
        <w:t xml:space="preserve">و </w:t>
      </w:r>
      <w:r>
        <w:rPr/>
        <w:t>9</w:t>
      </w:r>
      <w:r>
        <w:rPr>
          <w:rtl w:val="true"/>
        </w:rPr>
        <w:t xml:space="preserve"> </w:t>
      </w:r>
      <w:r>
        <w:rPr>
          <w:rtl w:val="true"/>
        </w:rPr>
        <w:t>احراز شود</w:t>
      </w:r>
      <w:r>
        <w:rPr>
          <w:rFonts w:hint="cs"/>
          <w:rtl w:val="true"/>
        </w:rPr>
        <w:t>.</w:t>
      </w:r>
    </w:p>
    <w:p>
      <w:pPr>
        <w:pStyle w:val="Normal"/>
        <w:spacing w:before="0" w:after="120"/>
        <w:ind w:start="567" w:end="0"/>
        <w:jc w:val="start"/>
        <w:rPr>
          <w:rFonts w:cs="B Lotus"/>
          <w:color w:val="FFCC00"/>
        </w:rPr>
        <w:sectPr>
          <w:headerReference w:type="default" r:id="rId8"/>
          <w:headerReference w:type="first" r:id="rId9"/>
          <w:footerReference w:type="default" r:id="rId10"/>
          <w:footerReference w:type="first" r:id="rId11"/>
          <w:type w:val="nextPage"/>
          <w:pgSz w:w="11906" w:h="16838"/>
          <w:pgMar w:left="1701" w:right="1701" w:gutter="0" w:header="1418" w:top="3402" w:footer="1134" w:bottom="1701"/>
          <w:pgNumType w:fmt="decimal"/>
          <w:formProt w:val="false"/>
          <w:textDirection w:val="lrTb"/>
          <w:bidi/>
          <w:rtlGutter/>
          <w:docGrid w:type="default" w:linePitch="360" w:charSpace="0"/>
        </w:sectPr>
      </w:pPr>
      <w:r>
        <w:rPr>
          <w:rFonts w:cs="B Lotus"/>
          <w:color w:val="FFCC00"/>
          <w:rtl w:val="true"/>
        </w:rPr>
      </w:r>
    </w:p>
    <w:p>
      <w:pPr>
        <w:pStyle w:val="TitrePageOne"/>
        <w:ind w:end="0"/>
        <w:jc w:val="center"/>
        <w:rPr>
          <w:rFonts w:cs="B Zar" w:hint="cs"/>
          <w:szCs w:val="28"/>
        </w:rPr>
      </w:pPr>
      <w:r>
        <w:rPr>
          <w:rFonts w:hint="eastAsia" w:cs="B Zar"/>
          <w:szCs w:val="28"/>
          <w:rtl w:val="true"/>
        </w:rPr>
        <w:t>پ</w:t>
      </w:r>
      <w:r>
        <w:rPr>
          <w:rFonts w:hint="cs" w:cs="B Zar"/>
          <w:szCs w:val="28"/>
          <w:rtl w:val="true"/>
        </w:rPr>
        <w:t xml:space="preserve">یوست شماره </w:t>
      </w:r>
      <w:r>
        <w:rPr>
          <w:rFonts w:cs="B Zar" w:hint="cs"/>
          <w:szCs w:val="28"/>
        </w:rPr>
        <w:t>2</w:t>
      </w:r>
      <w:r>
        <w:rPr>
          <w:rFonts w:cs="B Zar" w:hint="cs"/>
          <w:szCs w:val="28"/>
          <w:rtl w:val="true"/>
        </w:rPr>
        <w:t xml:space="preserve"> :  </w:t>
      </w:r>
      <w:r>
        <w:rPr>
          <w:rFonts w:hint="cs" w:cs="B Zar"/>
          <w:szCs w:val="28"/>
          <w:rtl w:val="true"/>
        </w:rPr>
        <w:t>رهنمود بکارگیری</w:t>
      </w:r>
    </w:p>
    <w:p>
      <w:pPr>
        <w:pStyle w:val="Normal"/>
        <w:ind w:end="0"/>
        <w:jc w:val="start"/>
        <w:rPr>
          <w:rFonts w:cs="B Lotus" w:hint="cs"/>
        </w:rPr>
      </w:pPr>
      <w:r>
        <w:rPr>
          <w:rFonts w:cs="B Lotus" w:hint="cs"/>
          <w:szCs w:val="28"/>
          <w:rtl w:val="true"/>
        </w:rPr>
      </w:r>
    </w:p>
    <w:tbl>
      <w:tblPr>
        <w:bidiVisual w:val="true"/>
        <w:tblW w:w="7960" w:type="dxa"/>
        <w:jc w:val="center"/>
        <w:tblInd w:w="0" w:type="dxa"/>
        <w:tblLayout w:type="fixed"/>
        <w:tblCellMar>
          <w:top w:w="0" w:type="dxa"/>
          <w:start w:w="108" w:type="dxa"/>
          <w:bottom w:w="0" w:type="dxa"/>
          <w:end w:w="108" w:type="dxa"/>
        </w:tblCellMar>
      </w:tblPr>
      <w:tblGrid>
        <w:gridCol w:w="6932"/>
        <w:gridCol w:w="1028"/>
      </w:tblGrid>
      <w:tr>
        <w:trPr/>
        <w:tc>
          <w:tcPr>
            <w:tcW w:w="6932" w:type="dxa"/>
            <w:tcBorders/>
          </w:tcPr>
          <w:p>
            <w:pPr>
              <w:pStyle w:val="FehrestTitr"/>
              <w:ind w:end="0"/>
              <w:jc w:val="center"/>
              <w:rPr/>
            </w:pPr>
            <w:r>
              <w:rPr>
                <w:rtl w:val="true"/>
              </w:rPr>
              <w:t>فهرست</w:t>
            </w:r>
          </w:p>
        </w:tc>
        <w:tc>
          <w:tcPr>
            <w:tcW w:w="1028" w:type="dxa"/>
            <w:tcBorders/>
          </w:tcPr>
          <w:p>
            <w:pPr>
              <w:pStyle w:val="FehrestTitr"/>
              <w:ind w:end="0"/>
              <w:jc w:val="center"/>
              <w:rPr/>
            </w:pPr>
            <w:r>
              <w:rPr>
                <w:rtl w:val="true"/>
              </w:rPr>
              <w:t>مثال</w:t>
            </w:r>
          </w:p>
        </w:tc>
      </w:tr>
      <w:tr>
        <w:trPr/>
        <w:tc>
          <w:tcPr>
            <w:tcW w:w="6932" w:type="dxa"/>
            <w:tcBorders/>
          </w:tcPr>
          <w:p>
            <w:pPr>
              <w:pStyle w:val="FehrestMatn"/>
              <w:ind w:end="0"/>
              <w:jc w:val="start"/>
              <w:rPr/>
            </w:pPr>
            <w:r>
              <w:rPr>
                <w:rtl w:val="true"/>
              </w:rPr>
              <w:t xml:space="preserve">آماده بودن براي فروش فوري </w:t>
            </w:r>
            <w:r>
              <w:rPr>
                <w:rtl w:val="true"/>
              </w:rPr>
              <w:t>(</w:t>
            </w:r>
            <w:r>
              <w:rPr>
                <w:rtl w:val="true"/>
              </w:rPr>
              <w:t xml:space="preserve">بند </w:t>
            </w:r>
            <w:r>
              <w:rPr/>
              <w:t>8</w:t>
            </w:r>
            <w:r>
              <w:rPr>
                <w:rtl w:val="true"/>
              </w:rPr>
              <w:t>)</w:t>
            </w:r>
          </w:p>
        </w:tc>
        <w:tc>
          <w:tcPr>
            <w:tcW w:w="1028" w:type="dxa"/>
            <w:tcBorders/>
          </w:tcPr>
          <w:p>
            <w:pPr>
              <w:pStyle w:val="FehrestNumber"/>
              <w:ind w:end="0"/>
              <w:jc w:val="center"/>
              <w:rPr/>
            </w:pPr>
            <w:r>
              <w:rPr/>
              <w:t>3</w:t>
            </w:r>
            <w:r>
              <w:rPr>
                <w:rtl w:val="true"/>
              </w:rPr>
              <w:t xml:space="preserve"> - </w:t>
            </w:r>
            <w:r>
              <w:rPr/>
              <w:t>1</w:t>
            </w:r>
          </w:p>
        </w:tc>
      </w:tr>
      <w:tr>
        <w:trPr/>
        <w:tc>
          <w:tcPr>
            <w:tcW w:w="6932" w:type="dxa"/>
            <w:tcBorders/>
          </w:tcPr>
          <w:p>
            <w:pPr>
              <w:pStyle w:val="FehrestMatn"/>
              <w:ind w:end="0"/>
              <w:jc w:val="start"/>
              <w:rPr/>
            </w:pPr>
            <w:r>
              <w:rPr>
                <w:rtl w:val="true"/>
              </w:rPr>
              <w:t xml:space="preserve">انتظار تکميل فروش طي يکسال </w:t>
            </w:r>
            <w:r>
              <w:rPr>
                <w:rtl w:val="true"/>
              </w:rPr>
              <w:t>(</w:t>
            </w:r>
            <w:r>
              <w:rPr>
                <w:rtl w:val="true"/>
              </w:rPr>
              <w:t xml:space="preserve">بند </w:t>
            </w:r>
            <w:r>
              <w:rPr/>
              <w:t>9</w:t>
            </w:r>
            <w:r>
              <w:rPr>
                <w:rtl w:val="true"/>
              </w:rPr>
              <w:t>)</w:t>
            </w:r>
          </w:p>
        </w:tc>
        <w:tc>
          <w:tcPr>
            <w:tcW w:w="1028" w:type="dxa"/>
            <w:tcBorders/>
          </w:tcPr>
          <w:p>
            <w:pPr>
              <w:pStyle w:val="FehrestNumber"/>
              <w:ind w:end="0"/>
              <w:jc w:val="center"/>
              <w:rPr/>
            </w:pPr>
            <w:r>
              <w:rPr/>
              <w:t>4</w:t>
            </w:r>
          </w:p>
        </w:tc>
      </w:tr>
      <w:tr>
        <w:trPr/>
        <w:tc>
          <w:tcPr>
            <w:tcW w:w="6932" w:type="dxa"/>
            <w:tcBorders/>
          </w:tcPr>
          <w:p>
            <w:pPr>
              <w:pStyle w:val="FehrestMatn"/>
              <w:ind w:end="0"/>
              <w:jc w:val="start"/>
              <w:rPr>
                <w:rFonts w:cs="Times New Roman"/>
              </w:rPr>
            </w:pPr>
            <w:r>
              <w:rPr>
                <w:rtl w:val="true"/>
              </w:rPr>
              <w:t xml:space="preserve">استثنا براي معیار مندرج در بند </w:t>
            </w:r>
            <w:r>
              <w:rPr/>
              <w:t>9</w:t>
            </w:r>
            <w:r>
              <w:rPr>
                <w:rtl w:val="true"/>
              </w:rPr>
              <w:t xml:space="preserve"> (</w:t>
            </w:r>
            <w:r>
              <w:rPr>
                <w:rtl w:val="true"/>
              </w:rPr>
              <w:t xml:space="preserve">بند </w:t>
            </w:r>
            <w:r>
              <w:rPr/>
              <w:t>10</w:t>
            </w:r>
            <w:r>
              <w:rPr>
                <w:rtl w:val="true"/>
              </w:rPr>
              <w:t xml:space="preserve"> </w:t>
            </w:r>
            <w:r>
              <w:rPr>
                <w:rFonts w:hint="cs"/>
                <w:rtl w:val="true"/>
              </w:rPr>
              <w:t xml:space="preserve">و </w:t>
            </w:r>
            <w:r>
              <w:rPr>
                <w:rtl w:val="true"/>
              </w:rPr>
              <w:t xml:space="preserve">پیوست شماره </w:t>
            </w:r>
            <w:r>
              <w:rPr/>
              <w:t>1</w:t>
            </w:r>
            <w:r>
              <w:rPr>
                <w:rtl w:val="true"/>
              </w:rPr>
              <w:t>)</w:t>
            </w:r>
          </w:p>
        </w:tc>
        <w:tc>
          <w:tcPr>
            <w:tcW w:w="1028" w:type="dxa"/>
            <w:tcBorders/>
          </w:tcPr>
          <w:p>
            <w:pPr>
              <w:pStyle w:val="FehrestNumber"/>
              <w:ind w:end="0"/>
              <w:jc w:val="center"/>
              <w:rPr/>
            </w:pPr>
            <w:r>
              <w:rPr/>
              <w:t>7</w:t>
            </w:r>
            <w:r>
              <w:rPr>
                <w:rtl w:val="true"/>
              </w:rPr>
              <w:t xml:space="preserve"> </w:t>
            </w:r>
            <w:r>
              <w:rPr>
                <w:rFonts w:hint="cs"/>
                <w:rtl w:val="true"/>
              </w:rPr>
              <w:t>-</w:t>
            </w:r>
            <w:r>
              <w:rPr>
                <w:rtl w:val="true"/>
              </w:rPr>
              <w:t xml:space="preserve"> </w:t>
            </w:r>
            <w:r>
              <w:rPr/>
              <w:t>5</w:t>
            </w:r>
          </w:p>
        </w:tc>
      </w:tr>
      <w:tr>
        <w:trPr/>
        <w:tc>
          <w:tcPr>
            <w:tcW w:w="6932" w:type="dxa"/>
            <w:tcBorders/>
          </w:tcPr>
          <w:p>
            <w:pPr>
              <w:pStyle w:val="FehrestMatn"/>
              <w:ind w:end="0"/>
              <w:jc w:val="start"/>
              <w:rPr/>
            </w:pPr>
            <w:r>
              <w:rPr>
                <w:rtl w:val="true"/>
              </w:rPr>
              <w:t>تشخیص يک دارايي به</w:t>
            </w:r>
            <w:r>
              <w:rPr>
                <w:rFonts w:cs="Times New Roman"/>
                <w:rtl w:val="true"/>
              </w:rPr>
              <w:t> </w:t>
            </w:r>
            <w:r>
              <w:rPr>
                <w:rtl w:val="true"/>
              </w:rPr>
              <w:t xml:space="preserve">عنوان برکنار شده </w:t>
            </w:r>
            <w:r>
              <w:rPr>
                <w:rtl w:val="true"/>
              </w:rPr>
              <w:t>(</w:t>
            </w:r>
            <w:r>
              <w:rPr>
                <w:rtl w:val="true"/>
              </w:rPr>
              <w:t xml:space="preserve">بندهاي </w:t>
            </w:r>
            <w:r>
              <w:rPr/>
              <w:t>14</w:t>
            </w:r>
            <w:r>
              <w:rPr>
                <w:rtl w:val="true"/>
              </w:rPr>
              <w:t xml:space="preserve"> </w:t>
            </w:r>
            <w:r>
              <w:rPr>
                <w:rtl w:val="true"/>
              </w:rPr>
              <w:t xml:space="preserve">و </w:t>
            </w:r>
            <w:r>
              <w:rPr/>
              <w:t>15</w:t>
            </w:r>
            <w:r>
              <w:rPr>
                <w:rtl w:val="true"/>
              </w:rPr>
              <w:t>)</w:t>
            </w:r>
          </w:p>
        </w:tc>
        <w:tc>
          <w:tcPr>
            <w:tcW w:w="1028" w:type="dxa"/>
            <w:tcBorders/>
          </w:tcPr>
          <w:p>
            <w:pPr>
              <w:pStyle w:val="FehrestNumber"/>
              <w:ind w:end="0"/>
              <w:jc w:val="center"/>
              <w:rPr/>
            </w:pPr>
            <w:r>
              <w:rPr/>
              <w:t>8</w:t>
            </w:r>
          </w:p>
        </w:tc>
      </w:tr>
      <w:tr>
        <w:trPr/>
        <w:tc>
          <w:tcPr>
            <w:tcW w:w="6932" w:type="dxa"/>
            <w:tcBorders/>
          </w:tcPr>
          <w:p>
            <w:pPr>
              <w:pStyle w:val="FehrestMatn"/>
              <w:ind w:end="0"/>
              <w:jc w:val="start"/>
              <w:rPr/>
            </w:pPr>
            <w:r>
              <w:rPr>
                <w:rtl w:val="true"/>
              </w:rPr>
              <w:t xml:space="preserve">ارائه عمليات متوقف شده مربوط به داراییهای غیرجاری یا مجموعه‌های واحد برکنار شده </w:t>
            </w:r>
            <w:r>
              <w:rPr>
                <w:rtl w:val="true"/>
              </w:rPr>
              <w:t>(</w:t>
            </w:r>
            <w:r>
              <w:rPr>
                <w:rtl w:val="true"/>
              </w:rPr>
              <w:t xml:space="preserve">بند </w:t>
            </w:r>
            <w:r>
              <w:rPr/>
              <w:t>14</w:t>
            </w:r>
            <w:r>
              <w:rPr>
                <w:rtl w:val="true"/>
              </w:rPr>
              <w:t>)</w:t>
            </w:r>
          </w:p>
        </w:tc>
        <w:tc>
          <w:tcPr>
            <w:tcW w:w="1028" w:type="dxa"/>
            <w:tcBorders/>
            <w:vAlign w:val="bottom"/>
          </w:tcPr>
          <w:p>
            <w:pPr>
              <w:pStyle w:val="FehrestNumber"/>
              <w:ind w:end="0"/>
              <w:jc w:val="center"/>
              <w:rPr/>
            </w:pPr>
            <w:r>
              <w:rPr/>
              <w:t>9</w:t>
            </w:r>
          </w:p>
        </w:tc>
      </w:tr>
      <w:tr>
        <w:trPr/>
        <w:tc>
          <w:tcPr>
            <w:tcW w:w="6932" w:type="dxa"/>
            <w:tcBorders/>
          </w:tcPr>
          <w:p>
            <w:pPr>
              <w:pStyle w:val="FehrestMatn"/>
              <w:ind w:end="0"/>
              <w:jc w:val="start"/>
              <w:rPr/>
            </w:pPr>
            <w:r>
              <w:rPr>
                <w:rtl w:val="true"/>
              </w:rPr>
              <w:t xml:space="preserve">تخصيص زيان کاهش ارزش به مجموعه‌هاي واحد </w:t>
            </w:r>
            <w:r>
              <w:rPr>
                <w:rtl w:val="true"/>
              </w:rPr>
              <w:t>(</w:t>
            </w:r>
            <w:r>
              <w:rPr>
                <w:rtl w:val="true"/>
              </w:rPr>
              <w:t xml:space="preserve">بند </w:t>
            </w:r>
            <w:r>
              <w:rPr/>
              <w:t>24</w:t>
            </w:r>
            <w:r>
              <w:rPr>
                <w:rtl w:val="true"/>
              </w:rPr>
              <w:t>)</w:t>
            </w:r>
          </w:p>
        </w:tc>
        <w:tc>
          <w:tcPr>
            <w:tcW w:w="1028" w:type="dxa"/>
            <w:tcBorders/>
          </w:tcPr>
          <w:p>
            <w:pPr>
              <w:pStyle w:val="FehrestNumber"/>
              <w:ind w:end="0"/>
              <w:jc w:val="center"/>
              <w:rPr/>
            </w:pPr>
            <w:r>
              <w:rPr/>
              <w:t>10</w:t>
            </w:r>
          </w:p>
        </w:tc>
      </w:tr>
      <w:tr>
        <w:trPr/>
        <w:tc>
          <w:tcPr>
            <w:tcW w:w="6932" w:type="dxa"/>
            <w:tcBorders/>
          </w:tcPr>
          <w:p>
            <w:pPr>
              <w:pStyle w:val="FehrestMatn"/>
              <w:ind w:end="0"/>
              <w:jc w:val="start"/>
              <w:rPr/>
            </w:pPr>
            <w:r>
              <w:rPr>
                <w:rtl w:val="true"/>
              </w:rPr>
              <w:t>ارائه عمليات متوقف شده در</w:t>
            </w:r>
            <w:r>
              <w:rPr>
                <w:rFonts w:hint="cs" w:cs="Times New Roman"/>
                <w:rtl w:val="true"/>
              </w:rPr>
              <w:t> </w:t>
            </w:r>
            <w:r>
              <w:rPr>
                <w:rtl w:val="true"/>
              </w:rPr>
              <w:t xml:space="preserve">صورت سود و زيان </w:t>
            </w:r>
            <w:r>
              <w:rPr>
                <w:rtl w:val="true"/>
              </w:rPr>
              <w:t>(</w:t>
            </w:r>
            <w:r>
              <w:rPr>
                <w:rtl w:val="true"/>
              </w:rPr>
              <w:t xml:space="preserve">بند </w:t>
            </w:r>
            <w:r>
              <w:rPr/>
              <w:t>32</w:t>
            </w:r>
            <w:r>
              <w:rPr>
                <w:rtl w:val="true"/>
              </w:rPr>
              <w:t>)</w:t>
            </w:r>
          </w:p>
        </w:tc>
        <w:tc>
          <w:tcPr>
            <w:tcW w:w="1028" w:type="dxa"/>
            <w:tcBorders/>
          </w:tcPr>
          <w:p>
            <w:pPr>
              <w:pStyle w:val="FehrestNumber"/>
              <w:ind w:end="0"/>
              <w:jc w:val="center"/>
              <w:rPr/>
            </w:pPr>
            <w:r>
              <w:rPr/>
              <w:t>11</w:t>
            </w:r>
          </w:p>
        </w:tc>
      </w:tr>
      <w:tr>
        <w:trPr/>
        <w:tc>
          <w:tcPr>
            <w:tcW w:w="6932" w:type="dxa"/>
            <w:tcBorders/>
          </w:tcPr>
          <w:p>
            <w:pPr>
              <w:pStyle w:val="FehrestMatn"/>
              <w:ind w:end="0"/>
              <w:jc w:val="start"/>
              <w:rPr/>
            </w:pPr>
            <w:r>
              <w:rPr>
                <w:rtl w:val="true"/>
              </w:rPr>
              <w:t xml:space="preserve">ارائه دارايي غيرجاري </w:t>
            </w:r>
            <w:r>
              <w:rPr>
                <w:rtl w:val="true"/>
              </w:rPr>
              <w:t>(</w:t>
            </w:r>
            <w:r>
              <w:rPr>
                <w:rtl w:val="true"/>
              </w:rPr>
              <w:t>یا مجموعه‌ واحد</w:t>
            </w:r>
            <w:r>
              <w:rPr>
                <w:rtl w:val="true"/>
              </w:rPr>
              <w:t xml:space="preserve">) </w:t>
            </w:r>
            <w:r>
              <w:rPr>
                <w:rtl w:val="true"/>
              </w:rPr>
              <w:t>طبقه‌بندي شده به</w:t>
            </w:r>
            <w:r>
              <w:rPr>
                <w:rFonts w:cs="Times New Roman"/>
                <w:rtl w:val="true"/>
              </w:rPr>
              <w:t> </w:t>
            </w:r>
            <w:r>
              <w:rPr>
                <w:rtl w:val="true"/>
              </w:rPr>
              <w:t xml:space="preserve">عنوان نگهداري شده براي فروش </w:t>
            </w:r>
            <w:r>
              <w:rPr>
                <w:rtl w:val="true"/>
              </w:rPr>
              <w:t>(</w:t>
            </w:r>
            <w:r>
              <w:rPr>
                <w:rtl w:val="true"/>
              </w:rPr>
              <w:t xml:space="preserve">بند </w:t>
            </w:r>
            <w:r>
              <w:rPr/>
              <w:t>37</w:t>
            </w:r>
            <w:r>
              <w:rPr>
                <w:rtl w:val="true"/>
              </w:rPr>
              <w:t>)</w:t>
            </w:r>
          </w:p>
        </w:tc>
        <w:tc>
          <w:tcPr>
            <w:tcW w:w="1028" w:type="dxa"/>
            <w:tcBorders/>
            <w:vAlign w:val="bottom"/>
          </w:tcPr>
          <w:p>
            <w:pPr>
              <w:pStyle w:val="FehrestNumber"/>
              <w:ind w:end="0"/>
              <w:jc w:val="center"/>
              <w:rPr/>
            </w:pPr>
            <w:r>
              <w:rPr/>
              <w:t>12</w:t>
            </w:r>
          </w:p>
        </w:tc>
      </w:tr>
      <w:tr>
        <w:trPr/>
        <w:tc>
          <w:tcPr>
            <w:tcW w:w="6932" w:type="dxa"/>
            <w:tcBorders/>
          </w:tcPr>
          <w:p>
            <w:pPr>
              <w:pStyle w:val="FehrestMatn"/>
              <w:ind w:end="0"/>
              <w:jc w:val="start"/>
              <w:rPr/>
            </w:pPr>
            <w:r>
              <w:rPr>
                <w:rtl w:val="true"/>
              </w:rPr>
              <w:t>اندازه‌گيري و ارائه واحدهاي فرعي تحصيل شده به</w:t>
            </w:r>
            <w:r>
              <w:rPr>
                <w:rFonts w:cs="Times New Roman"/>
                <w:rtl w:val="true"/>
              </w:rPr>
              <w:t> </w:t>
            </w:r>
            <w:r>
              <w:rPr>
                <w:rtl w:val="true"/>
              </w:rPr>
              <w:t>منظور فروش مجدد و طبقه‌بندي شده به</w:t>
            </w:r>
            <w:r>
              <w:rPr>
                <w:rFonts w:cs="Times New Roman"/>
                <w:rtl w:val="true"/>
              </w:rPr>
              <w:t> </w:t>
            </w:r>
            <w:r>
              <w:rPr>
                <w:rtl w:val="true"/>
              </w:rPr>
              <w:t xml:space="preserve">عنوان نگهداري شده براي فروش </w:t>
            </w:r>
            <w:r>
              <w:rPr>
                <w:rtl w:val="true"/>
              </w:rPr>
              <w:t>(</w:t>
            </w:r>
            <w:r>
              <w:rPr>
                <w:rtl w:val="true"/>
              </w:rPr>
              <w:t xml:space="preserve">بندهاي </w:t>
            </w:r>
            <w:r>
              <w:rPr/>
              <w:t>12</w:t>
            </w:r>
            <w:r>
              <w:rPr>
                <w:rtl w:val="true"/>
              </w:rPr>
              <w:t xml:space="preserve"> </w:t>
            </w:r>
            <w:r>
              <w:rPr>
                <w:rtl w:val="true"/>
              </w:rPr>
              <w:t xml:space="preserve">و </w:t>
            </w:r>
            <w:r>
              <w:rPr/>
              <w:t>38</w:t>
            </w:r>
            <w:r>
              <w:rPr>
                <w:rtl w:val="true"/>
              </w:rPr>
              <w:t>)</w:t>
            </w:r>
          </w:p>
        </w:tc>
        <w:tc>
          <w:tcPr>
            <w:tcW w:w="1028" w:type="dxa"/>
            <w:tcBorders/>
            <w:vAlign w:val="bottom"/>
          </w:tcPr>
          <w:p>
            <w:pPr>
              <w:pStyle w:val="FehrestNumber"/>
              <w:ind w:end="0"/>
              <w:jc w:val="center"/>
              <w:rPr/>
            </w:pPr>
            <w:r>
              <w:rPr/>
              <w:t>13</w:t>
            </w:r>
          </w:p>
        </w:tc>
      </w:tr>
    </w:tbl>
    <w:p>
      <w:pPr>
        <w:pStyle w:val="Normal"/>
        <w:spacing w:before="0" w:after="120"/>
        <w:ind w:end="0"/>
        <w:jc w:val="start"/>
        <w:rPr>
          <w:rFonts w:cs="B Zar"/>
          <w:b/>
          <w:color w:val="FFCC00"/>
          <w:sz w:val="24"/>
          <w:szCs w:val="26"/>
        </w:rPr>
        <w:sectPr>
          <w:headerReference w:type="default" r:id="rId12"/>
          <w:headerReference w:type="first" r:id="rId13"/>
          <w:footerReference w:type="default" r:id="rId14"/>
          <w:footerReference w:type="first" r:id="rId15"/>
          <w:type w:val="nextPage"/>
          <w:pgSz w:w="11906" w:h="16838"/>
          <w:pgMar w:left="1701" w:right="1701" w:gutter="0" w:header="1418" w:top="2835" w:footer="1134" w:bottom="1985"/>
          <w:pgNumType w:start="723" w:fmt="decimal"/>
          <w:formProt w:val="false"/>
          <w:textDirection w:val="lrTb"/>
          <w:bidi/>
          <w:rtlGutter/>
          <w:docGrid w:type="default" w:linePitch="360" w:charSpace="0"/>
        </w:sectPr>
      </w:pPr>
      <w:r>
        <w:rPr>
          <w:rFonts w:cs="B Zar"/>
          <w:b/>
          <w:color w:val="FFCC00"/>
          <w:sz w:val="24"/>
          <w:szCs w:val="26"/>
          <w:rtl w:val="true"/>
        </w:rPr>
      </w:r>
    </w:p>
    <w:p>
      <w:pPr>
        <w:pStyle w:val="TitrePageOne"/>
        <w:ind w:end="0"/>
        <w:jc w:val="center"/>
        <w:rPr>
          <w:rFonts w:cs="B Zar"/>
          <w:szCs w:val="28"/>
        </w:rPr>
      </w:pPr>
      <w:r>
        <w:rPr>
          <w:rFonts w:cs="B Zar"/>
          <w:szCs w:val="28"/>
          <w:rtl w:val="true"/>
        </w:rPr>
        <w:t xml:space="preserve">پیوست شماره </w:t>
      </w:r>
      <w:r>
        <w:rPr>
          <w:rFonts w:cs="B Zar" w:hint="cs"/>
          <w:szCs w:val="28"/>
        </w:rPr>
        <w:t>2</w:t>
      </w:r>
      <w:r>
        <w:rPr>
          <w:rFonts w:cs="B Zar"/>
          <w:szCs w:val="28"/>
          <w:rtl w:val="true"/>
        </w:rPr>
        <w:t xml:space="preserve"> :  </w:t>
      </w:r>
      <w:r>
        <w:rPr>
          <w:rFonts w:cs="B Zar"/>
          <w:szCs w:val="28"/>
          <w:rtl w:val="true"/>
        </w:rPr>
        <w:t>رهنمود بکارگیری</w:t>
      </w:r>
    </w:p>
    <w:p>
      <w:pPr>
        <w:pStyle w:val="IN1"/>
        <w:ind w:end="0"/>
        <w:jc w:val="center"/>
        <w:rPr>
          <w:spacing w:val="-6"/>
        </w:rPr>
      </w:pPr>
      <w:r>
        <w:rPr>
          <w:spacing w:val="-6"/>
          <w:rtl w:val="true"/>
        </w:rPr>
        <w:t>اين رهنمود براي کمک به کاربرد استاندارد تدوين شده است و بخشي از استاندارد نمي‌باشد</w:t>
      </w:r>
      <w:r>
        <w:rPr>
          <w:spacing w:val="-6"/>
          <w:rtl w:val="true"/>
        </w:rPr>
        <w:t>.</w:t>
      </w:r>
    </w:p>
    <w:p>
      <w:pPr>
        <w:pStyle w:val="Normal"/>
        <w:ind w:end="0"/>
        <w:jc w:val="center"/>
        <w:rPr>
          <w:rFonts w:cs="B Lotus"/>
          <w:b/>
          <w:i/>
          <w:iCs/>
          <w:color w:val="FFCC00"/>
          <w:sz w:val="32"/>
          <w:szCs w:val="30"/>
        </w:rPr>
      </w:pPr>
      <w:r>
        <w:rPr>
          <w:rFonts w:cs="B Lotus"/>
          <w:b/>
          <w:i/>
          <w:iCs/>
          <w:color w:val="FFCC00"/>
          <w:spacing w:val="-6"/>
          <w:sz w:val="32"/>
          <w:szCs w:val="30"/>
          <w:rtl w:val="true"/>
        </w:rPr>
      </w:r>
    </w:p>
    <w:p>
      <w:pPr>
        <w:sectPr>
          <w:headerReference w:type="default" r:id="rId16"/>
          <w:headerReference w:type="first" r:id="rId17"/>
          <w:footerReference w:type="default" r:id="rId18"/>
          <w:footerReference w:type="first" r:id="rId19"/>
          <w:type w:val="nextPage"/>
          <w:pgSz w:w="11906" w:h="16838"/>
          <w:pgMar w:left="1701" w:right="1701" w:gutter="0" w:header="1134" w:top="2835" w:footer="1134" w:bottom="1701"/>
          <w:pgNumType w:start="725" w:fmt="decimal"/>
          <w:formProt w:val="false"/>
          <w:textDirection w:val="lrTb"/>
          <w:bidi/>
          <w:rtlGutter/>
          <w:docGrid w:type="default" w:linePitch="360" w:charSpace="0"/>
        </w:sectPr>
      </w:pPr>
    </w:p>
    <w:p>
      <w:pPr>
        <w:pStyle w:val="Heading1"/>
        <w:ind w:end="0"/>
        <w:jc w:val="start"/>
        <w:rPr/>
      </w:pPr>
      <w:r>
        <w:rPr>
          <w:rtl w:val="true"/>
        </w:rPr>
        <w:t xml:space="preserve">آماده بودن براي فروش فوري </w:t>
      </w:r>
      <w:r>
        <w:rPr>
          <w:rtl w:val="true"/>
        </w:rPr>
        <w:t>(</w:t>
      </w:r>
      <w:r>
        <w:rPr>
          <w:rtl w:val="true"/>
        </w:rPr>
        <w:t xml:space="preserve">بند </w:t>
      </w:r>
      <w:r>
        <w:rPr/>
        <w:t>8</w:t>
      </w:r>
      <w:r>
        <w:rPr>
          <w:rtl w:val="true"/>
        </w:rPr>
        <w:t>)</w:t>
      </w:r>
    </w:p>
    <w:p>
      <w:pPr>
        <w:pStyle w:val="Matn"/>
        <w:ind w:end="0"/>
        <w:jc w:val="both"/>
        <w:rPr/>
      </w:pPr>
      <w:r>
        <w:rPr>
          <w:rtl w:val="true"/>
        </w:rPr>
        <w:t xml:space="preserve">يک دارايي غيرجاري </w:t>
      </w:r>
      <w:r>
        <w:rPr>
          <w:rtl w:val="true"/>
        </w:rPr>
        <w:t>(</w:t>
      </w:r>
      <w:r>
        <w:rPr>
          <w:rtl w:val="true"/>
        </w:rPr>
        <w:t>يا مجموعه</w:t>
      </w:r>
      <w:r>
        <w:rPr>
          <w:rFonts w:hint="cs"/>
          <w:rtl w:val="true"/>
        </w:rPr>
        <w:t>‌اي</w:t>
      </w:r>
      <w:r>
        <w:rPr>
          <w:rtl w:val="true"/>
        </w:rPr>
        <w:t>‌ واحد</w:t>
      </w:r>
      <w:r>
        <w:rPr>
          <w:rtl w:val="true"/>
        </w:rPr>
        <w:t xml:space="preserve">) </w:t>
      </w:r>
      <w:r>
        <w:rPr>
          <w:rtl w:val="true"/>
        </w:rPr>
        <w:t>در</w:t>
      </w:r>
      <w:r>
        <w:rPr>
          <w:rFonts w:hint="cs" w:cs="Times New Roman"/>
          <w:rtl w:val="true"/>
        </w:rPr>
        <w:t> </w:t>
      </w:r>
      <w:r>
        <w:rPr>
          <w:rtl w:val="true"/>
        </w:rPr>
        <w:t>صورتي  واجد شرايط طبقه‌بندي به</w:t>
      </w:r>
      <w:r>
        <w:rPr>
          <w:rFonts w:cs="Times New Roman"/>
          <w:rtl w:val="true"/>
        </w:rPr>
        <w:t> </w:t>
      </w:r>
      <w:r>
        <w:rPr>
          <w:rtl w:val="true"/>
        </w:rPr>
        <w:t xml:space="preserve">عنوان نگهداري شده براي فروش است که براي فروش فوري در وضعيت فعلي آن، فقط برحسب شرايطي که براي فروش چنين داراييهايي </w:t>
      </w:r>
      <w:r>
        <w:rPr>
          <w:rtl w:val="true"/>
        </w:rPr>
        <w:t>(</w:t>
      </w:r>
      <w:r>
        <w:rPr>
          <w:rtl w:val="true"/>
        </w:rPr>
        <w:t>يا مجموعه‌هاي واحدي</w:t>
      </w:r>
      <w:r>
        <w:rPr>
          <w:rtl w:val="true"/>
        </w:rPr>
        <w:t xml:space="preserve">) </w:t>
      </w:r>
      <w:r>
        <w:rPr>
          <w:rtl w:val="true"/>
        </w:rPr>
        <w:t xml:space="preserve">مرسوم و معمول است، آماده باشد </w:t>
      </w:r>
      <w:r>
        <w:rPr>
          <w:rtl w:val="true"/>
        </w:rPr>
        <w:t>(</w:t>
      </w:r>
      <w:r>
        <w:rPr>
          <w:rtl w:val="true"/>
        </w:rPr>
        <w:t>بند</w:t>
      </w:r>
      <w:r>
        <w:rPr>
          <w:rtl w:val="true"/>
        </w:rPr>
        <w:t> </w:t>
      </w:r>
      <w:r>
        <w:rPr/>
        <w:t>8</w:t>
      </w:r>
      <w:r>
        <w:rPr>
          <w:rtl w:val="true"/>
        </w:rPr>
        <w:t xml:space="preserve">) </w:t>
      </w:r>
      <w:r>
        <w:rPr>
          <w:rtl w:val="true"/>
        </w:rPr>
        <w:t xml:space="preserve">و واحد تجاري قصد و توانايي انتقال دارايي </w:t>
      </w:r>
      <w:r>
        <w:rPr>
          <w:rtl w:val="true"/>
        </w:rPr>
        <w:t>(</w:t>
      </w:r>
      <w:r>
        <w:rPr>
          <w:rtl w:val="true"/>
        </w:rPr>
        <w:t>يا مجموعه‌ واحد</w:t>
      </w:r>
      <w:r>
        <w:rPr>
          <w:rtl w:val="true"/>
        </w:rPr>
        <w:t xml:space="preserve">) </w:t>
      </w:r>
      <w:r>
        <w:rPr>
          <w:rtl w:val="true"/>
        </w:rPr>
        <w:t>را در وضعيت فعلي آن، به</w:t>
      </w:r>
      <w:r>
        <w:rPr>
          <w:rFonts w:cs="Times New Roman"/>
          <w:rtl w:val="true"/>
        </w:rPr>
        <w:t> </w:t>
      </w:r>
      <w:r>
        <w:rPr>
          <w:rtl w:val="true"/>
        </w:rPr>
        <w:t>خريدار داشته باشد</w:t>
      </w:r>
      <w:r>
        <w:rPr>
          <w:rtl w:val="true"/>
        </w:rPr>
        <w:t xml:space="preserve">. </w:t>
      </w:r>
      <w:r>
        <w:rPr>
          <w:rtl w:val="true"/>
        </w:rPr>
        <w:t xml:space="preserve">مثالهاي </w:t>
      </w:r>
      <w:r>
        <w:rPr/>
        <w:t>1</w:t>
      </w:r>
      <w:r>
        <w:rPr>
          <w:rtl w:val="true"/>
        </w:rPr>
        <w:t xml:space="preserve"> </w:t>
      </w:r>
      <w:r>
        <w:rPr>
          <w:rtl w:val="true"/>
        </w:rPr>
        <w:t xml:space="preserve">تا </w:t>
      </w:r>
      <w:r>
        <w:rPr/>
        <w:t>3</w:t>
      </w:r>
      <w:r>
        <w:rPr>
          <w:rtl w:val="true"/>
        </w:rPr>
        <w:t xml:space="preserve"> </w:t>
      </w:r>
      <w:r>
        <w:rPr>
          <w:rtl w:val="true"/>
        </w:rPr>
        <w:t xml:space="preserve">مواردي از احراز يا عدم احراز معيارهاي مندرج در بند </w:t>
      </w:r>
      <w:r>
        <w:rPr/>
        <w:t>8</w:t>
      </w:r>
      <w:r>
        <w:rPr>
          <w:rtl w:val="true"/>
        </w:rPr>
        <w:t xml:space="preserve"> </w:t>
      </w:r>
      <w:r>
        <w:rPr>
          <w:rtl w:val="true"/>
        </w:rPr>
        <w:t>را نشان مي‌دهد</w:t>
      </w:r>
      <w:r>
        <w:rPr>
          <w:rtl w:val="true"/>
        </w:rPr>
        <w:t>.</w:t>
      </w:r>
    </w:p>
    <w:p>
      <w:pPr>
        <w:pStyle w:val="MesalTraffic"/>
        <w:ind w:end="0"/>
        <w:jc w:val="start"/>
        <w:rPr/>
      </w:pPr>
      <w:r>
        <w:rPr>
          <w:rtl w:val="true"/>
        </w:rPr>
        <w:t>مث</w:t>
      </w:r>
      <w:r>
        <w:rPr>
          <w:rFonts w:hint="cs"/>
          <w:rtl w:val="true"/>
        </w:rPr>
        <w:t>ـ</w:t>
      </w:r>
      <w:r>
        <w:rPr>
          <w:rtl w:val="true"/>
        </w:rPr>
        <w:t xml:space="preserve">ال </w:t>
      </w:r>
      <w:r>
        <w:rPr/>
        <w:t>1</w:t>
      </w:r>
    </w:p>
    <w:p>
      <w:pPr>
        <w:pStyle w:val="Matn"/>
        <w:ind w:end="0"/>
        <w:jc w:val="both"/>
        <w:rPr/>
      </w:pPr>
      <w:r>
        <w:rPr>
          <w:rtl w:val="true"/>
        </w:rPr>
        <w:t>واحد تجاري به اجراي طرح فروش ساختمان دفتر مرکزي خود متعهد شده و اقداماتي را براي يافتن خريدار آغاز کرده است</w:t>
      </w:r>
      <w:r>
        <w:rPr>
          <w:rtl w:val="true"/>
        </w:rPr>
        <w:t>.</w:t>
      </w:r>
    </w:p>
    <w:p>
      <w:pPr>
        <w:pStyle w:val="MatnAlef"/>
        <w:ind w:end="0"/>
        <w:jc w:val="both"/>
        <w:rPr/>
      </w:pPr>
      <w:r>
        <w:rPr>
          <w:rtl w:val="true"/>
        </w:rPr>
        <w:t>(</w:t>
      </w:r>
      <w:r>
        <w:rPr>
          <w:rtl w:val="true"/>
        </w:rPr>
        <w:t>الف</w:t>
      </w:r>
      <w:r>
        <w:rPr>
          <w:rtl w:val="true"/>
        </w:rPr>
        <w:t>)</w:t>
        <w:tab/>
      </w:r>
      <w:r>
        <w:rPr>
          <w:rtl w:val="true"/>
        </w:rPr>
        <w:t>واحد تجاري قصد دارد ساختمان را پس</w:t>
      </w:r>
      <w:r>
        <w:rPr>
          <w:rtl w:val="true"/>
        </w:rPr>
        <w:t> </w:t>
      </w:r>
      <w:r>
        <w:rPr>
          <w:rtl w:val="true"/>
        </w:rPr>
        <w:t>از تخليه به خريدار منتقل کند</w:t>
      </w:r>
      <w:r>
        <w:rPr>
          <w:rtl w:val="true"/>
        </w:rPr>
        <w:t xml:space="preserve">. </w:t>
      </w:r>
      <w:r>
        <w:rPr>
          <w:rtl w:val="true"/>
        </w:rPr>
        <w:t>زمان مورد نياز براي تخليه ساختمان براي فروش چنين داراييهايي معمول و مرسوم است</w:t>
      </w:r>
      <w:r>
        <w:rPr>
          <w:rtl w:val="true"/>
        </w:rPr>
        <w:t xml:space="preserve">. </w:t>
      </w:r>
      <w:r>
        <w:rPr>
          <w:rtl w:val="true"/>
        </w:rPr>
        <w:t xml:space="preserve">در تاريخ تعهد به اجراي طرح، معيار مندرج در بند </w:t>
      </w:r>
      <w:r>
        <w:rPr/>
        <w:t>8</w:t>
      </w:r>
      <w:r>
        <w:rPr>
          <w:rtl w:val="true"/>
        </w:rPr>
        <w:t xml:space="preserve"> </w:t>
      </w:r>
      <w:r>
        <w:rPr>
          <w:rtl w:val="true"/>
        </w:rPr>
        <w:t>احراز شده است</w:t>
      </w:r>
      <w:r>
        <w:rPr>
          <w:rtl w:val="true"/>
        </w:rPr>
        <w:t>.</w:t>
      </w:r>
    </w:p>
    <w:p>
      <w:pPr>
        <w:pStyle w:val="MatnAlef"/>
        <w:ind w:end="0"/>
        <w:jc w:val="both"/>
        <w:rPr/>
      </w:pPr>
      <w:r>
        <w:rPr>
          <w:rtl w:val="true"/>
        </w:rPr>
        <w:t>(</w:t>
      </w:r>
      <w:r>
        <w:rPr>
          <w:rtl w:val="true"/>
        </w:rPr>
        <w:t>ب</w:t>
      </w:r>
      <w:r>
        <w:rPr>
          <w:rtl w:val="true"/>
        </w:rPr>
        <w:t>)</w:t>
        <w:tab/>
      </w:r>
      <w:r>
        <w:rPr>
          <w:rtl w:val="true"/>
        </w:rPr>
        <w:t>واحد تجاري تا زمان تکميل ساختمان جديد دفتر مرکزي، به استفاده از اين ساختمان ادامه خواهد داد</w:t>
      </w:r>
      <w:r>
        <w:rPr>
          <w:rtl w:val="true"/>
        </w:rPr>
        <w:t xml:space="preserve">. </w:t>
      </w:r>
      <w:r>
        <w:rPr>
          <w:rtl w:val="true"/>
        </w:rPr>
        <w:t>واحد تجاري قصد ندارد پيش از تکميل ساختمان جديد، ساختمان فعلي را تخليه و به خريدار منتقل کند</w:t>
      </w:r>
      <w:r>
        <w:rPr>
          <w:rtl w:val="true"/>
        </w:rPr>
        <w:t xml:space="preserve">. </w:t>
      </w:r>
      <w:r>
        <w:rPr>
          <w:rtl w:val="true"/>
        </w:rPr>
        <w:t xml:space="preserve">تأخير در زمان‌بندي انتقال ساختمان فعلي که توسط واحد تجاري </w:t>
      </w:r>
      <w:r>
        <w:rPr>
          <w:rtl w:val="true"/>
        </w:rPr>
        <w:t>(</w:t>
      </w:r>
      <w:r>
        <w:rPr>
          <w:rtl w:val="true"/>
        </w:rPr>
        <w:t>فروشنده</w:t>
      </w:r>
      <w:r>
        <w:rPr>
          <w:rtl w:val="true"/>
        </w:rPr>
        <w:t xml:space="preserve">) </w:t>
      </w:r>
      <w:r>
        <w:rPr>
          <w:rtl w:val="true"/>
        </w:rPr>
        <w:t>تحميل شده است، نشانگر آن است که ساختمان براي فروش فوري آماده نمي‌باشد</w:t>
      </w:r>
      <w:r>
        <w:rPr>
          <w:rtl w:val="true"/>
        </w:rPr>
        <w:t xml:space="preserve">. </w:t>
      </w:r>
      <w:r>
        <w:rPr>
          <w:rtl w:val="true"/>
        </w:rPr>
        <w:t xml:space="preserve">تا زمان تکميل ساختمان جديد معيار مندرج در بند </w:t>
      </w:r>
      <w:r>
        <w:rPr/>
        <w:t>8</w:t>
      </w:r>
      <w:r>
        <w:rPr>
          <w:rtl w:val="true"/>
        </w:rPr>
        <w:t xml:space="preserve">  </w:t>
      </w:r>
      <w:r>
        <w:rPr>
          <w:rtl w:val="true"/>
        </w:rPr>
        <w:t>احراز نمي‌گردد، حتي اگر يک تعهد قطعي خريد براي انتقال آتي ساختمان فعلي در دست باشد</w:t>
      </w:r>
      <w:r>
        <w:rPr>
          <w:rtl w:val="true"/>
        </w:rPr>
        <w:t>.</w:t>
      </w:r>
    </w:p>
    <w:p>
      <w:pPr>
        <w:pStyle w:val="MesalTraffic"/>
        <w:spacing w:before="120" w:after="0"/>
        <w:ind w:end="0"/>
        <w:jc w:val="start"/>
        <w:rPr/>
      </w:pPr>
      <w:r>
        <w:rPr>
          <w:rtl w:val="true"/>
        </w:rPr>
        <w:t xml:space="preserve">مثال </w:t>
      </w:r>
      <w:r>
        <w:rPr/>
        <w:t>2</w:t>
      </w:r>
    </w:p>
    <w:p>
      <w:pPr>
        <w:pStyle w:val="Matn"/>
        <w:spacing w:before="0" w:after="0"/>
        <w:ind w:end="0"/>
        <w:jc w:val="both"/>
        <w:rPr/>
      </w:pPr>
      <w:r>
        <w:rPr>
          <w:rtl w:val="true"/>
        </w:rPr>
        <w:t>واحد تجاري به اجراي طرح فروش يک دستگاه توليدي متعهد شده و اقداماتي را براي يافتن خريدار آغاز کرده است</w:t>
      </w:r>
      <w:r>
        <w:rPr>
          <w:rtl w:val="true"/>
        </w:rPr>
        <w:t xml:space="preserve">. </w:t>
      </w:r>
      <w:r>
        <w:rPr>
          <w:rtl w:val="true"/>
        </w:rPr>
        <w:t>در تاريخ تعهد به اجراي طرح، سفارش</w:t>
      </w:r>
      <w:r>
        <w:rPr>
          <w:rFonts w:hint="cs"/>
          <w:rtl w:val="true"/>
        </w:rPr>
        <w:t xml:space="preserve">هاي </w:t>
      </w:r>
      <w:r>
        <w:rPr>
          <w:rtl w:val="true"/>
        </w:rPr>
        <w:t>تکميل نشده مشتريان نيز وجود دارد</w:t>
      </w:r>
      <w:r>
        <w:rPr>
          <w:rtl w:val="true"/>
        </w:rPr>
        <w:t>.</w:t>
      </w:r>
    </w:p>
    <w:p>
      <w:pPr>
        <w:pStyle w:val="MatnAlef"/>
        <w:spacing w:before="0" w:after="0"/>
        <w:ind w:hanging="692" w:start="692" w:end="0"/>
        <w:jc w:val="both"/>
        <w:rPr/>
      </w:pPr>
      <w:r>
        <w:rPr>
          <w:rtl w:val="true"/>
        </w:rPr>
        <w:t>(</w:t>
      </w:r>
      <w:r>
        <w:rPr>
          <w:rtl w:val="true"/>
        </w:rPr>
        <w:t>الف</w:t>
      </w:r>
      <w:r>
        <w:rPr>
          <w:rtl w:val="true"/>
        </w:rPr>
        <w:t>)</w:t>
        <w:tab/>
      </w:r>
      <w:r>
        <w:rPr>
          <w:rtl w:val="true"/>
        </w:rPr>
        <w:t>واحد تجاري قصد دارد اين دستگاه توليدي را در حين انجام عمليات به فروش رساند</w:t>
      </w:r>
      <w:r>
        <w:rPr>
          <w:rtl w:val="true"/>
        </w:rPr>
        <w:t xml:space="preserve">. </w:t>
      </w:r>
      <w:r>
        <w:rPr>
          <w:rtl w:val="true"/>
        </w:rPr>
        <w:t>هر</w:t>
      </w:r>
      <w:r>
        <w:rPr>
          <w:rtl w:val="true"/>
        </w:rPr>
        <w:t> </w:t>
      </w:r>
      <w:r>
        <w:rPr>
          <w:rtl w:val="true"/>
        </w:rPr>
        <w:t>گونه سفارش</w:t>
      </w:r>
      <w:r>
        <w:rPr>
          <w:rFonts w:hint="cs"/>
          <w:rtl w:val="true"/>
        </w:rPr>
        <w:t>هاي</w:t>
      </w:r>
      <w:r>
        <w:rPr>
          <w:rtl w:val="true"/>
        </w:rPr>
        <w:t xml:space="preserve"> تکميل نشده مشتريان در تاريخ فروش به خريدار منتقل مي‌شود</w:t>
      </w:r>
      <w:r>
        <w:rPr>
          <w:rtl w:val="true"/>
        </w:rPr>
        <w:t xml:space="preserve">. </w:t>
      </w:r>
      <w:r>
        <w:rPr>
          <w:rtl w:val="true"/>
        </w:rPr>
        <w:t>انتقال سفارش</w:t>
      </w:r>
      <w:r>
        <w:rPr>
          <w:rFonts w:hint="cs"/>
          <w:rtl w:val="true"/>
        </w:rPr>
        <w:t xml:space="preserve">هاي </w:t>
      </w:r>
      <w:r>
        <w:rPr>
          <w:rtl w:val="true"/>
        </w:rPr>
        <w:t>تکميل نشده مشتريان در تاريخ فروش بر زمان‌بندي انتقال اين دستگاه تأثيري نخواهد داشت</w:t>
      </w:r>
      <w:r>
        <w:rPr>
          <w:rtl w:val="true"/>
        </w:rPr>
        <w:t xml:space="preserve">. </w:t>
      </w:r>
      <w:r>
        <w:rPr>
          <w:rtl w:val="true"/>
        </w:rPr>
        <w:t xml:space="preserve">معيار مندرج در بند </w:t>
      </w:r>
      <w:r>
        <w:rPr/>
        <w:t>8</w:t>
      </w:r>
      <w:r>
        <w:rPr>
          <w:rtl w:val="true"/>
        </w:rPr>
        <w:t xml:space="preserve"> </w:t>
      </w:r>
      <w:r>
        <w:rPr>
          <w:rtl w:val="true"/>
        </w:rPr>
        <w:t>در تاريخ تعهد به اجراي طرح، احراز شده است</w:t>
      </w:r>
      <w:r>
        <w:rPr>
          <w:rtl w:val="true"/>
        </w:rPr>
        <w:t>.</w:t>
      </w:r>
    </w:p>
    <w:p>
      <w:pPr>
        <w:pStyle w:val="MatnAlef"/>
        <w:spacing w:before="0" w:after="0"/>
        <w:ind w:hanging="692" w:start="692" w:end="0"/>
        <w:jc w:val="both"/>
        <w:rPr/>
      </w:pPr>
      <w:r>
        <w:rPr>
          <w:rtl w:val="true"/>
        </w:rPr>
        <w:t>(</w:t>
      </w:r>
      <w:r>
        <w:rPr>
          <w:rtl w:val="true"/>
        </w:rPr>
        <w:t>ب</w:t>
      </w:r>
      <w:r>
        <w:rPr>
          <w:rtl w:val="true"/>
        </w:rPr>
        <w:t>)</w:t>
        <w:tab/>
      </w:r>
      <w:r>
        <w:rPr>
          <w:rtl w:val="true"/>
        </w:rPr>
        <w:t>واحد تجاري قصد دارد اين دستگاه توليدي را پس</w:t>
      </w:r>
      <w:r>
        <w:rPr>
          <w:rtl w:val="true"/>
        </w:rPr>
        <w:t> </w:t>
      </w:r>
      <w:r>
        <w:rPr>
          <w:rtl w:val="true"/>
        </w:rPr>
        <w:t>از توقف عمليات به فروش رساند</w:t>
      </w:r>
      <w:r>
        <w:rPr>
          <w:rtl w:val="true"/>
        </w:rPr>
        <w:t xml:space="preserve">. </w:t>
      </w:r>
      <w:r>
        <w:rPr>
          <w:rtl w:val="true"/>
        </w:rPr>
        <w:t>واحد تجاري قصد ندارد پيش از متوقف نمودن تمام عمليات آن دستگاه و تکميل سفارش</w:t>
      </w:r>
      <w:r>
        <w:rPr>
          <w:rFonts w:hint="cs"/>
          <w:rtl w:val="true"/>
        </w:rPr>
        <w:t>هاي</w:t>
      </w:r>
      <w:r>
        <w:rPr>
          <w:rtl w:val="true"/>
        </w:rPr>
        <w:t xml:space="preserve"> مشتريان، دستگاه توليدي را به خريدار منتقل نمايد</w:t>
      </w:r>
      <w:r>
        <w:rPr>
          <w:rtl w:val="true"/>
        </w:rPr>
        <w:t xml:space="preserve">. </w:t>
      </w:r>
      <w:r>
        <w:rPr>
          <w:rtl w:val="true"/>
        </w:rPr>
        <w:t xml:space="preserve">تأخير در زمان‌بندي انتقال اين دستگاه که توسط واحد تجاري </w:t>
      </w:r>
      <w:r>
        <w:rPr>
          <w:rtl w:val="true"/>
        </w:rPr>
        <w:t>(</w:t>
      </w:r>
      <w:r>
        <w:rPr>
          <w:rtl w:val="true"/>
        </w:rPr>
        <w:t>فروشنده</w:t>
      </w:r>
      <w:r>
        <w:rPr>
          <w:rtl w:val="true"/>
        </w:rPr>
        <w:t xml:space="preserve">) </w:t>
      </w:r>
      <w:r>
        <w:rPr>
          <w:rtl w:val="true"/>
        </w:rPr>
        <w:t>تحميل شده است، نشانگر آن است که اين دستگاه براي فروش فوري آماده نيست</w:t>
      </w:r>
      <w:r>
        <w:rPr>
          <w:rtl w:val="true"/>
        </w:rPr>
        <w:t xml:space="preserve">. </w:t>
      </w:r>
      <w:r>
        <w:rPr>
          <w:rtl w:val="true"/>
        </w:rPr>
        <w:t xml:space="preserve">تا زمان توقف عمليات اين دستگاه، معيار مندرج در بند </w:t>
      </w:r>
      <w:r>
        <w:rPr/>
        <w:t>8</w:t>
      </w:r>
      <w:r>
        <w:rPr>
          <w:rtl w:val="true"/>
        </w:rPr>
        <w:t xml:space="preserve"> </w:t>
      </w:r>
      <w:r>
        <w:rPr>
          <w:rtl w:val="true"/>
        </w:rPr>
        <w:t>احراز نمي‌شود، حتي اگر يک تعهد قطعي خريد براي انتقال آتي اين دستگاه در</w:t>
      </w:r>
      <w:r>
        <w:rPr>
          <w:rtl w:val="true"/>
        </w:rPr>
        <w:t> </w:t>
      </w:r>
      <w:r>
        <w:rPr>
          <w:rtl w:val="true"/>
        </w:rPr>
        <w:t>دست باشد</w:t>
      </w:r>
      <w:r>
        <w:rPr>
          <w:rtl w:val="true"/>
        </w:rPr>
        <w:t>.</w:t>
      </w:r>
    </w:p>
    <w:p>
      <w:pPr>
        <w:pStyle w:val="MesalTraffic"/>
        <w:spacing w:before="120" w:after="0"/>
        <w:ind w:end="0"/>
        <w:jc w:val="start"/>
        <w:rPr/>
      </w:pPr>
      <w:r>
        <w:rPr>
          <w:rtl w:val="true"/>
        </w:rPr>
        <w:t xml:space="preserve">مثال </w:t>
      </w:r>
      <w:r>
        <w:rPr/>
        <w:t>3</w:t>
      </w:r>
    </w:p>
    <w:p>
      <w:pPr>
        <w:pStyle w:val="Matn"/>
        <w:ind w:end="0"/>
        <w:jc w:val="both"/>
        <w:rPr/>
      </w:pPr>
      <w:r>
        <w:rPr>
          <w:rtl w:val="true"/>
        </w:rPr>
        <w:t>يک واحد تجاري قصد فروش مجموعه‌اي از املاک</w:t>
      </w:r>
      <w:r>
        <w:rPr>
          <w:rFonts w:hint="cs"/>
          <w:rtl w:val="true"/>
        </w:rPr>
        <w:t xml:space="preserve"> خود</w:t>
      </w:r>
      <w:r>
        <w:rPr>
          <w:rtl w:val="true"/>
        </w:rPr>
        <w:t xml:space="preserve"> شامل زمين و تعدادي ساختمان را دارد که از</w:t>
      </w:r>
      <w:r>
        <w:rPr>
          <w:rFonts w:hint="cs" w:cs="Times New Roman"/>
          <w:rtl w:val="true"/>
        </w:rPr>
        <w:t> </w:t>
      </w:r>
      <w:r>
        <w:rPr>
          <w:rtl w:val="true"/>
        </w:rPr>
        <w:t>طريق تمليک وثيقه تحصيل کرده است</w:t>
      </w:r>
      <w:r>
        <w:rPr>
          <w:rtl w:val="true"/>
        </w:rPr>
        <w:t>:</w:t>
      </w:r>
    </w:p>
    <w:p>
      <w:pPr>
        <w:pStyle w:val="MatnAlef"/>
        <w:ind w:end="0"/>
        <w:jc w:val="both"/>
        <w:rPr/>
      </w:pPr>
      <w:r>
        <w:rPr>
          <w:rtl w:val="true"/>
        </w:rPr>
        <w:t>(</w:t>
      </w:r>
      <w:r>
        <w:rPr>
          <w:rtl w:val="true"/>
        </w:rPr>
        <w:t>الف</w:t>
      </w:r>
      <w:r>
        <w:rPr>
          <w:rtl w:val="true"/>
        </w:rPr>
        <w:t>)</w:t>
        <w:tab/>
      </w:r>
      <w:r>
        <w:rPr>
          <w:rtl w:val="true"/>
        </w:rPr>
        <w:t>واحد تجاري قصد ندارد پيش از تکميل بازسازي که سبب افزايش ارزش فروش اين املاک مي‌شود، آنها را به خريدار منتقل کند</w:t>
      </w:r>
      <w:r>
        <w:rPr>
          <w:rtl w:val="true"/>
        </w:rPr>
        <w:t xml:space="preserve">. </w:t>
      </w:r>
      <w:r>
        <w:rPr>
          <w:rtl w:val="true"/>
        </w:rPr>
        <w:t xml:space="preserve">تأخير در زمان‌بندي انتقال اين املاک که توسط واحد تجاري </w:t>
      </w:r>
      <w:r>
        <w:rPr>
          <w:rtl w:val="true"/>
        </w:rPr>
        <w:t>(</w:t>
      </w:r>
      <w:r>
        <w:rPr>
          <w:rtl w:val="true"/>
        </w:rPr>
        <w:t>فروشنده</w:t>
      </w:r>
      <w:r>
        <w:rPr>
          <w:rtl w:val="true"/>
        </w:rPr>
        <w:t xml:space="preserve">) </w:t>
      </w:r>
      <w:r>
        <w:rPr>
          <w:rtl w:val="true"/>
        </w:rPr>
        <w:t>تحميل شده است، نشانگر آن  است که اين املاک براي فروش فوري آماده نمي‌باشد</w:t>
      </w:r>
      <w:r>
        <w:rPr>
          <w:rtl w:val="true"/>
        </w:rPr>
        <w:t xml:space="preserve">. </w:t>
      </w:r>
      <w:r>
        <w:rPr>
          <w:rtl w:val="true"/>
        </w:rPr>
        <w:t xml:space="preserve">تا زمان تکميل بازسازي، معيار مندرج در بند </w:t>
      </w:r>
      <w:r>
        <w:rPr/>
        <w:t>8</w:t>
      </w:r>
      <w:r>
        <w:rPr>
          <w:rtl w:val="true"/>
        </w:rPr>
        <w:t xml:space="preserve"> </w:t>
      </w:r>
      <w:r>
        <w:rPr>
          <w:rtl w:val="true"/>
        </w:rPr>
        <w:t>احراز نمي‌شود</w:t>
      </w:r>
      <w:r>
        <w:rPr>
          <w:rtl w:val="true"/>
        </w:rPr>
        <w:t>.</w:t>
      </w:r>
    </w:p>
    <w:p>
      <w:pPr>
        <w:pStyle w:val="MatnAlef"/>
        <w:ind w:end="0"/>
        <w:jc w:val="both"/>
        <w:rPr/>
      </w:pPr>
      <w:r>
        <w:rPr>
          <w:rtl w:val="true"/>
        </w:rPr>
        <w:t>(</w:t>
      </w:r>
      <w:r>
        <w:rPr>
          <w:rtl w:val="true"/>
        </w:rPr>
        <w:t>ب</w:t>
      </w:r>
      <w:r>
        <w:rPr>
          <w:rtl w:val="true"/>
        </w:rPr>
        <w:t>)</w:t>
        <w:tab/>
      </w:r>
      <w:r>
        <w:rPr>
          <w:rtl w:val="true"/>
        </w:rPr>
        <w:t>پس از تکميل بازسازي و طبقه‌بندي املاک به عنوان نگهداري شده براي فروش اما پيش از دستيابي به تعهد قطعي خريد، واحد تجاري ملزم شد خسارتهاي زيست‌محيطي را جبران کند</w:t>
      </w:r>
      <w:r>
        <w:rPr>
          <w:rtl w:val="true"/>
        </w:rPr>
        <w:t xml:space="preserve">. </w:t>
      </w:r>
      <w:r>
        <w:rPr>
          <w:rtl w:val="true"/>
        </w:rPr>
        <w:t>واحد تجاري همچنان قصد فروش اين املاک را دارد</w:t>
      </w:r>
      <w:r>
        <w:rPr>
          <w:rtl w:val="true"/>
        </w:rPr>
        <w:t xml:space="preserve">. </w:t>
      </w:r>
      <w:r>
        <w:rPr>
          <w:rtl w:val="true"/>
        </w:rPr>
        <w:t>با اين حال، واحد تجاري پيش از جبران خسارت قادر به انتقال املاک به خريدار نيست</w:t>
      </w:r>
      <w:r>
        <w:rPr>
          <w:rtl w:val="true"/>
        </w:rPr>
        <w:t xml:space="preserve">. </w:t>
      </w:r>
      <w:r>
        <w:rPr>
          <w:rtl w:val="true"/>
        </w:rPr>
        <w:t>تأخير در زمان‌بندي انتقال املاک که پيش از به دست آمدن تعهد قطعي خريد توسط ديگران تحميل شده، نشانگر آن است که املاک براي فروش فوري آماده نيست</w:t>
      </w:r>
      <w:r>
        <w:rPr>
          <w:rtl w:val="true"/>
        </w:rPr>
        <w:t xml:space="preserve">. </w:t>
      </w:r>
      <w:r>
        <w:rPr>
          <w:rFonts w:hint="cs"/>
          <w:rtl w:val="true"/>
        </w:rPr>
        <w:t xml:space="preserve">لذا </w:t>
      </w:r>
      <w:r>
        <w:rPr>
          <w:rtl w:val="true"/>
        </w:rPr>
        <w:t xml:space="preserve">معيار مندرج در بند </w:t>
      </w:r>
      <w:r>
        <w:rPr/>
        <w:t>8</w:t>
      </w:r>
      <w:r>
        <w:rPr>
          <w:rtl w:val="true"/>
        </w:rPr>
        <w:t xml:space="preserve"> </w:t>
      </w:r>
      <w:r>
        <w:rPr>
          <w:rtl w:val="true"/>
        </w:rPr>
        <w:t>ديگر برقرار نمي‌باشد</w:t>
      </w:r>
      <w:r>
        <w:rPr>
          <w:rFonts w:hint="cs"/>
          <w:rtl w:val="true"/>
        </w:rPr>
        <w:t xml:space="preserve"> و درنتيجه </w:t>
      </w:r>
      <w:r>
        <w:rPr>
          <w:rtl w:val="true"/>
        </w:rPr>
        <w:t xml:space="preserve">طبق بند </w:t>
      </w:r>
      <w:r>
        <w:rPr/>
        <w:t>27</w:t>
      </w:r>
      <w:r>
        <w:rPr>
          <w:rtl w:val="true"/>
        </w:rPr>
        <w:t>، طبقه‌بندي اين املاک به عنوان نگهداري شده براي فروش، متوقف مي‌شود</w:t>
      </w:r>
      <w:r>
        <w:rPr>
          <w:rtl w:val="true"/>
        </w:rPr>
        <w:t>.</w:t>
      </w:r>
    </w:p>
    <w:p>
      <w:pPr>
        <w:pStyle w:val="Heading1"/>
        <w:ind w:end="0"/>
        <w:jc w:val="start"/>
        <w:rPr/>
      </w:pPr>
      <w:r>
        <w:rPr>
          <w:rtl w:val="true"/>
        </w:rPr>
        <w:t xml:space="preserve">انتظار تکميل فروش طي يکسال </w:t>
      </w:r>
      <w:r>
        <w:rPr>
          <w:rtl w:val="true"/>
        </w:rPr>
        <w:t>(</w:t>
      </w:r>
      <w:r>
        <w:rPr>
          <w:rtl w:val="true"/>
        </w:rPr>
        <w:t xml:space="preserve">بند </w:t>
      </w:r>
      <w:r>
        <w:rPr/>
        <w:t>9</w:t>
      </w:r>
      <w:r>
        <w:rPr>
          <w:rtl w:val="true"/>
        </w:rPr>
        <w:t>)</w:t>
      </w:r>
    </w:p>
    <w:p>
      <w:pPr>
        <w:pStyle w:val="MesalTraffic"/>
        <w:spacing w:before="0" w:after="45"/>
        <w:ind w:end="0"/>
        <w:jc w:val="start"/>
        <w:rPr/>
      </w:pPr>
      <w:r>
        <w:rPr>
          <w:rtl w:val="true"/>
        </w:rPr>
        <w:t xml:space="preserve">مثال </w:t>
      </w:r>
      <w:r>
        <w:rPr/>
        <w:t>4</w:t>
      </w:r>
    </w:p>
    <w:p>
      <w:pPr>
        <w:pStyle w:val="Matn"/>
        <w:ind w:end="0"/>
        <w:jc w:val="both"/>
        <w:rPr/>
      </w:pPr>
      <w:r>
        <w:rPr>
          <w:rtl w:val="true"/>
        </w:rPr>
        <w:t xml:space="preserve">فروش يک دارايي غيرجاري </w:t>
      </w:r>
      <w:r>
        <w:rPr>
          <w:rtl w:val="true"/>
        </w:rPr>
        <w:t>(</w:t>
      </w:r>
      <w:r>
        <w:rPr>
          <w:rtl w:val="true"/>
        </w:rPr>
        <w:t>يا مجموعه‌اي‌ واحد</w:t>
      </w:r>
      <w:r>
        <w:rPr>
          <w:rtl w:val="true"/>
        </w:rPr>
        <w:t xml:space="preserve">) </w:t>
      </w:r>
      <w:r>
        <w:rPr>
          <w:rtl w:val="true"/>
        </w:rPr>
        <w:t xml:space="preserve">بايد بسيار محتمل باشد </w:t>
      </w:r>
      <w:r>
        <w:rPr>
          <w:rtl w:val="true"/>
        </w:rPr>
        <w:t>(</w:t>
      </w:r>
      <w:r>
        <w:rPr>
          <w:rtl w:val="true"/>
        </w:rPr>
        <w:t xml:space="preserve">بند </w:t>
      </w:r>
      <w:r>
        <w:rPr/>
        <w:t>8</w:t>
      </w:r>
      <w:r>
        <w:rPr>
          <w:rtl w:val="true"/>
        </w:rPr>
        <w:t>)</w:t>
      </w:r>
      <w:r>
        <w:rPr>
          <w:rtl w:val="true"/>
        </w:rPr>
        <w:t>، از</w:t>
      </w:r>
      <w:r>
        <w:rPr>
          <w:rFonts w:hint="cs" w:cs="Times New Roman"/>
          <w:rtl w:val="true"/>
        </w:rPr>
        <w:t> </w:t>
      </w:r>
      <w:r>
        <w:rPr>
          <w:rtl w:val="true"/>
        </w:rPr>
        <w:t xml:space="preserve">جمله انتظار رود فرايند فروش آن طي يک سال از تاريخ طبقه‌بندي تکميل گردد </w:t>
      </w:r>
      <w:r>
        <w:rPr>
          <w:rtl w:val="true"/>
        </w:rPr>
        <w:t>(</w:t>
      </w:r>
      <w:r>
        <w:rPr>
          <w:rtl w:val="true"/>
        </w:rPr>
        <w:t xml:space="preserve">بند </w:t>
      </w:r>
      <w:r>
        <w:rPr/>
        <w:t>9</w:t>
      </w:r>
      <w:r>
        <w:rPr>
          <w:rtl w:val="true"/>
        </w:rPr>
        <w:t>)</w:t>
      </w:r>
      <w:r>
        <w:rPr>
          <w:rtl w:val="true"/>
        </w:rPr>
        <w:t>، تا واجد شرايط طبقه‌بندي به</w:t>
      </w:r>
      <w:r>
        <w:rPr>
          <w:rFonts w:cs="Times New Roman"/>
          <w:rtl w:val="true"/>
        </w:rPr>
        <w:t> </w:t>
      </w:r>
      <w:r>
        <w:rPr>
          <w:rtl w:val="true"/>
        </w:rPr>
        <w:t>عنوان نگهداري شده براي فروش شود</w:t>
      </w:r>
      <w:r>
        <w:rPr>
          <w:rtl w:val="true"/>
        </w:rPr>
        <w:t xml:space="preserve">. </w:t>
      </w:r>
      <w:r>
        <w:rPr>
          <w:rtl w:val="true"/>
        </w:rPr>
        <w:t>در نمونه‌هاي زير، اين معيار احراز نمي‌گردد</w:t>
      </w:r>
      <w:r>
        <w:rPr>
          <w:rtl w:val="true"/>
        </w:rPr>
        <w:t>:</w:t>
      </w:r>
    </w:p>
    <w:p>
      <w:pPr>
        <w:pStyle w:val="MatnAlef"/>
        <w:ind w:end="0"/>
        <w:jc w:val="both"/>
        <w:rPr/>
      </w:pPr>
      <w:r>
        <w:rPr>
          <w:rtl w:val="true"/>
        </w:rPr>
        <w:t>(</w:t>
      </w:r>
      <w:r>
        <w:rPr>
          <w:rtl w:val="true"/>
        </w:rPr>
        <w:t>الف</w:t>
      </w:r>
      <w:r>
        <w:rPr>
          <w:rtl w:val="true"/>
        </w:rPr>
        <w:t>)</w:t>
        <w:tab/>
      </w:r>
      <w:r>
        <w:rPr>
          <w:rtl w:val="true"/>
        </w:rPr>
        <w:t xml:space="preserve">يک شرکت ليزينگ، تجهيزاتي را براي فروش يا اجاره نگهداري مي‌کند که اخيراً قرارداد اجاره آنها خاتمه يافته و هنوز شکل نهايي مبادلـه آنها در آينده </w:t>
      </w:r>
      <w:r>
        <w:rPr>
          <w:rtl w:val="true"/>
        </w:rPr>
        <w:t>(</w:t>
      </w:r>
      <w:r>
        <w:rPr>
          <w:rtl w:val="true"/>
        </w:rPr>
        <w:t>فروش يا اجاره</w:t>
      </w:r>
      <w:r>
        <w:rPr>
          <w:rtl w:val="true"/>
        </w:rPr>
        <w:t xml:space="preserve">) </w:t>
      </w:r>
      <w:r>
        <w:rPr>
          <w:rtl w:val="true"/>
        </w:rPr>
        <w:t>تعيين نشده است</w:t>
      </w:r>
      <w:r>
        <w:rPr>
          <w:rtl w:val="true"/>
        </w:rPr>
        <w:t>.</w:t>
      </w:r>
    </w:p>
    <w:p>
      <w:pPr>
        <w:pStyle w:val="MatnAlef"/>
        <w:ind w:end="0"/>
        <w:jc w:val="both"/>
        <w:rPr/>
      </w:pPr>
      <w:r>
        <w:rPr>
          <w:rtl w:val="true"/>
        </w:rPr>
        <w:t>(</w:t>
      </w:r>
      <w:r>
        <w:rPr>
          <w:rtl w:val="true"/>
        </w:rPr>
        <w:t>ب</w:t>
      </w:r>
      <w:r>
        <w:rPr>
          <w:rtl w:val="true"/>
        </w:rPr>
        <w:t>)</w:t>
        <w:tab/>
      </w:r>
      <w:r>
        <w:rPr>
          <w:rtl w:val="true"/>
        </w:rPr>
        <w:t>واحد تجاري به اجراي طرحي براي فروش اموالي که هم‌اکنون از آن استفاده مي‌</w:t>
      </w:r>
      <w:r>
        <w:rPr>
          <w:rFonts w:hint="cs"/>
          <w:rtl w:val="true"/>
        </w:rPr>
        <w:t>نماي</w:t>
      </w:r>
      <w:r>
        <w:rPr>
          <w:rtl w:val="true"/>
        </w:rPr>
        <w:t>د، متعهد شده است</w:t>
      </w:r>
      <w:r>
        <w:rPr>
          <w:rFonts w:hint="cs"/>
          <w:rtl w:val="true"/>
        </w:rPr>
        <w:t>.</w:t>
      </w:r>
      <w:r>
        <w:rPr>
          <w:rtl w:val="true"/>
        </w:rPr>
        <w:t xml:space="preserve"> </w:t>
      </w:r>
      <w:r>
        <w:rPr>
          <w:rtl w:val="true"/>
        </w:rPr>
        <w:t>معامله اموال به</w:t>
      </w:r>
      <w:r>
        <w:rPr>
          <w:rtl w:val="true"/>
        </w:rPr>
        <w:t> </w:t>
      </w:r>
      <w:r>
        <w:rPr>
          <w:rtl w:val="true"/>
        </w:rPr>
        <w:t>صورت فروش و اجاره مجدد از نوع اجاره سرمايه‌اي خواهد بود</w:t>
      </w:r>
      <w:r>
        <w:rPr>
          <w:rtl w:val="true"/>
        </w:rPr>
        <w:t>.</w:t>
      </w:r>
    </w:p>
    <w:p>
      <w:pPr>
        <w:pStyle w:val="Heading1"/>
        <w:ind w:end="0"/>
        <w:jc w:val="start"/>
        <w:rPr/>
      </w:pPr>
      <w:r>
        <w:rPr>
          <w:rtl w:val="true"/>
        </w:rPr>
        <w:t xml:space="preserve">استثنا براي معيار مندرج در بند </w:t>
      </w:r>
      <w:r>
        <w:rPr/>
        <w:t>9</w:t>
      </w:r>
      <w:r>
        <w:rPr>
          <w:rtl w:val="true"/>
        </w:rPr>
        <w:t xml:space="preserve"> (</w:t>
      </w:r>
      <w:r>
        <w:rPr>
          <w:rtl w:val="true"/>
        </w:rPr>
        <w:t xml:space="preserve">بند </w:t>
      </w:r>
      <w:r>
        <w:rPr/>
        <w:t>10</w:t>
      </w:r>
      <w:r>
        <w:rPr>
          <w:rtl w:val="true"/>
        </w:rPr>
        <w:t xml:space="preserve"> </w:t>
      </w:r>
      <w:r>
        <w:rPr>
          <w:rtl w:val="true"/>
        </w:rPr>
        <w:t xml:space="preserve">و پیوست شماره </w:t>
      </w:r>
      <w:r>
        <w:rPr/>
        <w:t>1</w:t>
      </w:r>
      <w:r>
        <w:rPr>
          <w:rtl w:val="true"/>
        </w:rPr>
        <w:t>)</w:t>
      </w:r>
    </w:p>
    <w:p>
      <w:pPr>
        <w:pStyle w:val="Normal"/>
        <w:spacing w:before="0" w:after="120"/>
        <w:ind w:end="0"/>
        <w:jc w:val="start"/>
        <w:rPr>
          <w:rFonts w:cs="B Lotus"/>
        </w:rPr>
      </w:pPr>
      <w:r>
        <w:rPr>
          <w:rFonts w:cs="B Lotus"/>
          <w:rtl w:val="true"/>
        </w:rPr>
        <w:t xml:space="preserve">الزام يک سال مندرج در بند </w:t>
      </w:r>
      <w:r>
        <w:rPr>
          <w:rFonts w:cs="B Lotus"/>
        </w:rPr>
        <w:t>9</w:t>
      </w:r>
      <w:r>
        <w:rPr>
          <w:rFonts w:cs="B Lotus"/>
          <w:rtl w:val="true"/>
        </w:rPr>
        <w:t xml:space="preserve"> </w:t>
      </w:r>
      <w:r>
        <w:rPr>
          <w:rFonts w:cs="B Lotus"/>
          <w:rtl w:val="true"/>
        </w:rPr>
        <w:t xml:space="preserve">در وضعيتهاي محدودي ناديده گرفته مي‌شود که دوره مورد نياز براي تکميل فروش يک دارايي غيرجاري </w:t>
      </w:r>
      <w:r>
        <w:rPr>
          <w:rFonts w:cs="B Lotus"/>
          <w:rtl w:val="true"/>
        </w:rPr>
        <w:t>(</w:t>
      </w:r>
      <w:r>
        <w:rPr>
          <w:rFonts w:cs="B Lotus"/>
          <w:rtl w:val="true"/>
        </w:rPr>
        <w:t>يا مجموعه</w:t>
      </w:r>
      <w:r>
        <w:rPr>
          <w:rFonts w:hint="cs" w:cs="B Lotus"/>
          <w:rtl w:val="true"/>
        </w:rPr>
        <w:t>‌اي</w:t>
      </w:r>
      <w:r>
        <w:rPr>
          <w:rFonts w:cs="B Lotus"/>
          <w:rtl w:val="true"/>
        </w:rPr>
        <w:t>‌ واحد</w:t>
      </w:r>
      <w:r>
        <w:rPr>
          <w:rFonts w:cs="B Lotus"/>
          <w:rtl w:val="true"/>
        </w:rPr>
        <w:t xml:space="preserve">) </w:t>
      </w:r>
      <w:r>
        <w:rPr>
          <w:rFonts w:cs="B Lotus"/>
          <w:rtl w:val="true"/>
        </w:rPr>
        <w:t xml:space="preserve">به سبب رويدادها و شرايط خارج از کنترل واحد تجاري، طولاني‌تر خواهد شد </w:t>
      </w:r>
      <w:r>
        <w:rPr>
          <w:rFonts w:cs="B Lotus"/>
          <w:rtl w:val="true"/>
        </w:rPr>
        <w:t>(</w:t>
      </w:r>
      <w:r>
        <w:rPr>
          <w:rFonts w:cs="B Lotus"/>
          <w:rtl w:val="true"/>
        </w:rPr>
        <w:t>يا شده است</w:t>
      </w:r>
      <w:r>
        <w:rPr>
          <w:rFonts w:cs="B Lotus"/>
          <w:rtl w:val="true"/>
        </w:rPr>
        <w:t xml:space="preserve">) </w:t>
      </w:r>
      <w:r>
        <w:rPr>
          <w:rFonts w:cs="B Lotus"/>
          <w:rtl w:val="true"/>
        </w:rPr>
        <w:t xml:space="preserve">و شرايط مشخص شده نيز احراز گردد </w:t>
      </w:r>
      <w:r>
        <w:rPr>
          <w:rFonts w:cs="B Lotus"/>
          <w:rtl w:val="true"/>
        </w:rPr>
        <w:t>(</w:t>
      </w:r>
      <w:r>
        <w:rPr>
          <w:rFonts w:cs="B Lotus"/>
          <w:rtl w:val="true"/>
        </w:rPr>
        <w:t xml:space="preserve">بند </w:t>
      </w:r>
      <w:r>
        <w:rPr>
          <w:rFonts w:cs="B Lotus"/>
        </w:rPr>
        <w:t>10</w:t>
      </w:r>
      <w:r>
        <w:rPr>
          <w:rFonts w:cs="B Lotus"/>
          <w:rtl w:val="true"/>
        </w:rPr>
        <w:t xml:space="preserve"> </w:t>
      </w:r>
      <w:r>
        <w:rPr>
          <w:rFonts w:cs="B Lotus"/>
          <w:rtl w:val="true"/>
        </w:rPr>
        <w:t xml:space="preserve">و پيوست شماره </w:t>
      </w:r>
      <w:r>
        <w:rPr>
          <w:rFonts w:cs="B Lotus"/>
        </w:rPr>
        <w:t>1</w:t>
      </w:r>
      <w:r>
        <w:rPr>
          <w:rFonts w:cs="B Lotus"/>
          <w:rtl w:val="true"/>
        </w:rPr>
        <w:t xml:space="preserve">). </w:t>
      </w:r>
      <w:r>
        <w:rPr>
          <w:rFonts w:cs="B Lotus"/>
          <w:rtl w:val="true"/>
        </w:rPr>
        <w:t xml:space="preserve">مثالهاي </w:t>
      </w:r>
      <w:r>
        <w:rPr>
          <w:rFonts w:cs="B Lotus"/>
        </w:rPr>
        <w:t>5</w:t>
      </w:r>
      <w:r>
        <w:rPr>
          <w:rFonts w:cs="B Lotus"/>
          <w:rtl w:val="true"/>
        </w:rPr>
        <w:t xml:space="preserve"> </w:t>
      </w:r>
      <w:r>
        <w:rPr>
          <w:rFonts w:cs="B Lotus"/>
          <w:rtl w:val="true"/>
        </w:rPr>
        <w:t xml:space="preserve">تا </w:t>
      </w:r>
      <w:r>
        <w:rPr>
          <w:rFonts w:cs="B Lotus"/>
        </w:rPr>
        <w:t>7</w:t>
      </w:r>
      <w:r>
        <w:rPr>
          <w:rFonts w:cs="B Lotus"/>
          <w:rtl w:val="true"/>
        </w:rPr>
        <w:t xml:space="preserve"> </w:t>
      </w:r>
      <w:r>
        <w:rPr>
          <w:rFonts w:cs="B Lotus"/>
          <w:rtl w:val="true"/>
        </w:rPr>
        <w:t>چنين وضعيتهايي را تشريح مي‌کند</w:t>
      </w:r>
      <w:r>
        <w:rPr>
          <w:rFonts w:cs="B Lotus"/>
          <w:rtl w:val="true"/>
        </w:rPr>
        <w:t>.</w:t>
      </w:r>
    </w:p>
    <w:p>
      <w:pPr>
        <w:pStyle w:val="MesalTraffic"/>
        <w:ind w:end="0"/>
        <w:jc w:val="start"/>
        <w:rPr/>
      </w:pPr>
      <w:r>
        <w:rPr>
          <w:rtl w:val="true"/>
        </w:rPr>
        <w:t xml:space="preserve">مثال </w:t>
      </w:r>
      <w:r>
        <w:rPr/>
        <w:t>5</w:t>
      </w:r>
    </w:p>
    <w:p>
      <w:pPr>
        <w:pStyle w:val="Matn"/>
        <w:ind w:end="0"/>
        <w:jc w:val="both"/>
        <w:rPr/>
      </w:pPr>
      <w:r>
        <w:rPr>
          <w:rtl w:val="true"/>
        </w:rPr>
        <w:t>يک واحد تجاري فعال در صنعت توليد برق به اجراي طرح فروش مجموعه‌اي واحد متعهد شده است که بخش عمده‌اي از عمليات آن را تشکيل مي‌دهد</w:t>
      </w:r>
      <w:r>
        <w:rPr>
          <w:rtl w:val="true"/>
        </w:rPr>
        <w:t xml:space="preserve">. </w:t>
      </w:r>
      <w:r>
        <w:rPr>
          <w:rtl w:val="true"/>
        </w:rPr>
        <w:t>اين فروش مستلزم کسب مجوز قانوني است که مي‌تواند دوره مورد نياز براي تکميل فروش را از يک سال طولاني‌تر سازد</w:t>
      </w:r>
      <w:r>
        <w:rPr>
          <w:rtl w:val="true"/>
        </w:rPr>
        <w:t xml:space="preserve">. </w:t>
      </w:r>
      <w:r>
        <w:rPr>
          <w:rtl w:val="true"/>
        </w:rPr>
        <w:t>اقدامات مورد نياز براي کسب مجوز را نمي‌توان تا زمان يافتن خريدار و به</w:t>
      </w:r>
      <w:r>
        <w:rPr>
          <w:rFonts w:cs="Times New Roman"/>
          <w:rtl w:val="true"/>
        </w:rPr>
        <w:t> </w:t>
      </w:r>
      <w:r>
        <w:rPr>
          <w:rtl w:val="true"/>
        </w:rPr>
        <w:t xml:space="preserve">دست آمدن تعهد قطعي خريد </w:t>
      </w:r>
      <w:r>
        <w:rPr>
          <w:spacing w:val="-4"/>
          <w:rtl w:val="true"/>
        </w:rPr>
        <w:t>آغاز کرد</w:t>
      </w:r>
      <w:r>
        <w:rPr>
          <w:spacing w:val="-4"/>
          <w:rtl w:val="true"/>
        </w:rPr>
        <w:t xml:space="preserve">. </w:t>
      </w:r>
      <w:r>
        <w:rPr>
          <w:spacing w:val="-4"/>
          <w:rtl w:val="true"/>
        </w:rPr>
        <w:t>با اين حال، دستيابي به تعهد قطعي خريد طي يک سال آينده بسيار محتمل است</w:t>
      </w:r>
      <w:r>
        <w:rPr>
          <w:spacing w:val="-4"/>
          <w:rtl w:val="true"/>
        </w:rPr>
        <w:t xml:space="preserve">. </w:t>
      </w:r>
      <w:r>
        <w:rPr>
          <w:spacing w:val="-4"/>
          <w:rtl w:val="true"/>
        </w:rPr>
        <w:t>در</w:t>
      </w:r>
      <w:r>
        <w:rPr>
          <w:rFonts w:cs="Times New Roman"/>
          <w:spacing w:val="-4"/>
          <w:rtl w:val="true"/>
        </w:rPr>
        <w:t> </w:t>
      </w:r>
      <w:r>
        <w:rPr>
          <w:spacing w:val="-4"/>
          <w:rtl w:val="true"/>
        </w:rPr>
        <w:t>چنين</w:t>
      </w:r>
      <w:r>
        <w:rPr>
          <w:rtl w:val="true"/>
        </w:rPr>
        <w:t xml:space="preserve"> وضعيتي، شرايط بند الف پيوست شماره </w:t>
      </w:r>
      <w:r>
        <w:rPr/>
        <w:t>1</w:t>
      </w:r>
      <w:r>
        <w:rPr>
          <w:rtl w:val="true"/>
        </w:rPr>
        <w:t xml:space="preserve"> </w:t>
      </w:r>
      <w:r>
        <w:rPr>
          <w:rtl w:val="true"/>
        </w:rPr>
        <w:t xml:space="preserve">براي مستثني شدن از الزام يک سال بند </w:t>
      </w:r>
      <w:r>
        <w:rPr/>
        <w:t>9</w:t>
      </w:r>
      <w:r>
        <w:rPr>
          <w:rtl w:val="true"/>
        </w:rPr>
        <w:t xml:space="preserve"> </w:t>
      </w:r>
      <w:r>
        <w:rPr>
          <w:rtl w:val="true"/>
        </w:rPr>
        <w:t>احراز مي‌شود</w:t>
      </w:r>
      <w:r>
        <w:rPr>
          <w:rtl w:val="true"/>
        </w:rPr>
        <w:t>.</w:t>
      </w:r>
    </w:p>
    <w:p>
      <w:pPr>
        <w:pStyle w:val="MesalTraffic"/>
        <w:ind w:end="0"/>
        <w:jc w:val="start"/>
        <w:rPr/>
      </w:pPr>
      <w:r>
        <w:rPr>
          <w:rtl w:val="true"/>
        </w:rPr>
        <w:t xml:space="preserve">مثال </w:t>
      </w:r>
      <w:r>
        <w:rPr/>
        <w:t>6</w:t>
      </w:r>
    </w:p>
    <w:p>
      <w:pPr>
        <w:pStyle w:val="Matn"/>
        <w:ind w:end="0"/>
        <w:jc w:val="both"/>
        <w:rPr/>
      </w:pPr>
      <w:r>
        <w:rPr>
          <w:rtl w:val="true"/>
        </w:rPr>
        <w:t>يک واحد تجاري به اجراي طرح فروش يک دستگاه توليدي در شرايط فعلي آن متعهد شده و اين دستگاه را در آن تاريخ به</w:t>
      </w:r>
      <w:r>
        <w:rPr>
          <w:rFonts w:cs="Times New Roman"/>
          <w:rtl w:val="true"/>
        </w:rPr>
        <w:t> </w:t>
      </w:r>
      <w:r>
        <w:rPr>
          <w:rtl w:val="true"/>
        </w:rPr>
        <w:t>عنوان نگهداري شده براي فروش طبقه‌بندي کرده است</w:t>
      </w:r>
      <w:r>
        <w:rPr>
          <w:rtl w:val="true"/>
        </w:rPr>
        <w:t xml:space="preserve">. </w:t>
      </w:r>
      <w:r>
        <w:rPr>
          <w:rtl w:val="true"/>
        </w:rPr>
        <w:t>پس</w:t>
      </w:r>
      <w:r>
        <w:rPr>
          <w:rFonts w:cs="Times New Roman"/>
          <w:rtl w:val="true"/>
        </w:rPr>
        <w:t> </w:t>
      </w:r>
      <w:r>
        <w:rPr>
          <w:rtl w:val="true"/>
        </w:rPr>
        <w:t>از دستيابي به تعهد قطعي خريد، با بازرسي اموال توسط خريدار مشخص شد که دارايي مذکور محيط زيست را آلوده مي‌کند و فروشنده از اين موضوع اطلاع نداشته است</w:t>
      </w:r>
      <w:r>
        <w:rPr>
          <w:rtl w:val="true"/>
        </w:rPr>
        <w:t xml:space="preserve">. </w:t>
      </w:r>
      <w:r>
        <w:rPr>
          <w:rtl w:val="true"/>
        </w:rPr>
        <w:t>واحد تجاري بايد اقدامات لازم به</w:t>
      </w:r>
      <w:r>
        <w:rPr>
          <w:rFonts w:cs="Times New Roman"/>
          <w:rtl w:val="true"/>
        </w:rPr>
        <w:t> </w:t>
      </w:r>
      <w:r>
        <w:rPr>
          <w:rtl w:val="true"/>
        </w:rPr>
        <w:t>منظور رفع اين مشکل را انجام دهد که اين امر دوره مورد نياز براي تکميل فروش را از يک سال طولاني‌تر خواهد کرد</w:t>
      </w:r>
      <w:r>
        <w:rPr>
          <w:rtl w:val="true"/>
        </w:rPr>
        <w:t xml:space="preserve">. </w:t>
      </w:r>
      <w:r>
        <w:rPr>
          <w:rtl w:val="true"/>
        </w:rPr>
        <w:t>متعاقباً واحد تجاري اقداماتي را براي رفع مشکل آغاز کرده که به ثمر رسيدن آن بسيار محتمل است</w:t>
      </w:r>
      <w:r>
        <w:rPr>
          <w:rtl w:val="true"/>
        </w:rPr>
        <w:t xml:space="preserve">. </w:t>
      </w:r>
      <w:r>
        <w:rPr>
          <w:rtl w:val="true"/>
        </w:rPr>
        <w:t xml:space="preserve">در چنين وضعيتي، شرايط بند ب پيوست شماره </w:t>
      </w:r>
      <w:r>
        <w:rPr/>
        <w:t>1</w:t>
      </w:r>
      <w:r>
        <w:rPr>
          <w:rtl w:val="true"/>
        </w:rPr>
        <w:t xml:space="preserve"> </w:t>
      </w:r>
      <w:r>
        <w:rPr>
          <w:rtl w:val="true"/>
        </w:rPr>
        <w:t xml:space="preserve">براي مستثني شدن از الزام يک سال مندرج در بند </w:t>
      </w:r>
      <w:r>
        <w:rPr/>
        <w:t>9</w:t>
      </w:r>
      <w:r>
        <w:rPr>
          <w:rtl w:val="true"/>
        </w:rPr>
        <w:t xml:space="preserve"> </w:t>
      </w:r>
      <w:r>
        <w:rPr>
          <w:rtl w:val="true"/>
        </w:rPr>
        <w:t>احراز مي‌شود</w:t>
      </w:r>
      <w:r>
        <w:rPr>
          <w:rtl w:val="true"/>
        </w:rPr>
        <w:t>.</w:t>
      </w:r>
    </w:p>
    <w:p>
      <w:pPr>
        <w:pStyle w:val="MesalTraffic"/>
        <w:spacing w:before="300" w:after="45"/>
        <w:ind w:end="0"/>
        <w:jc w:val="start"/>
        <w:rPr/>
      </w:pPr>
      <w:r>
        <w:rPr>
          <w:rtl w:val="true"/>
        </w:rPr>
        <w:t xml:space="preserve">مثال </w:t>
      </w:r>
      <w:r>
        <w:rPr/>
        <w:t>7</w:t>
      </w:r>
    </w:p>
    <w:p>
      <w:pPr>
        <w:pStyle w:val="Normal"/>
        <w:spacing w:before="0" w:after="120"/>
        <w:ind w:end="0"/>
        <w:jc w:val="start"/>
        <w:rPr>
          <w:rFonts w:cs="B Lotus"/>
        </w:rPr>
      </w:pPr>
      <w:r>
        <w:rPr>
          <w:rFonts w:cs="B Lotus"/>
          <w:rtl w:val="true"/>
        </w:rPr>
        <w:t>واحد تجاري به اجراي طرحي براي فروش يک دارايي غيرجاري متعهد شده و آن دارايي را در آن تاريخ به</w:t>
      </w:r>
      <w:r>
        <w:rPr>
          <w:rFonts w:cs="Times New Roman"/>
          <w:rtl w:val="true"/>
        </w:rPr>
        <w:t> </w:t>
      </w:r>
      <w:r>
        <w:rPr>
          <w:rFonts w:cs="B Lotus"/>
          <w:rtl w:val="true"/>
        </w:rPr>
        <w:t>عنوان نگهداري شده براي فروش طبقه‌بندي کرده است</w:t>
      </w:r>
      <w:r>
        <w:rPr>
          <w:rFonts w:cs="B Lotus"/>
          <w:rtl w:val="true"/>
        </w:rPr>
        <w:t>.</w:t>
      </w:r>
    </w:p>
    <w:p>
      <w:pPr>
        <w:pStyle w:val="MatnAlef"/>
        <w:spacing w:before="0" w:after="180"/>
        <w:ind w:end="0"/>
        <w:jc w:val="both"/>
        <w:rPr/>
      </w:pPr>
      <w:r>
        <w:rPr>
          <w:rtl w:val="true"/>
        </w:rPr>
        <w:t>(</w:t>
      </w:r>
      <w:r>
        <w:rPr>
          <w:rtl w:val="true"/>
        </w:rPr>
        <w:t>الف</w:t>
      </w:r>
      <w:r>
        <w:rPr>
          <w:rtl w:val="true"/>
        </w:rPr>
        <w:t>)</w:t>
        <w:tab/>
      </w:r>
      <w:r>
        <w:rPr>
          <w:rtl w:val="true"/>
        </w:rPr>
        <w:t>طي دوره يک ساله اول، شرايطي که در زمان طبقه‌بندي اوليـه دارايي به</w:t>
      </w:r>
      <w:r>
        <w:rPr>
          <w:rtl w:val="true"/>
        </w:rPr>
        <w:t> </w:t>
      </w:r>
      <w:r>
        <w:rPr>
          <w:rtl w:val="true"/>
        </w:rPr>
        <w:t>عنوان نگهداري شده براي فروش بر بازار حاکم بود رو به وخامت گذاشت و در نتيجه، دارايي تا پايان آن دوره، فروخته نشد</w:t>
      </w:r>
      <w:r>
        <w:rPr>
          <w:rtl w:val="true"/>
        </w:rPr>
        <w:t xml:space="preserve">. </w:t>
      </w:r>
      <w:r>
        <w:rPr>
          <w:rtl w:val="true"/>
        </w:rPr>
        <w:t>طي آن دوره، واحد تجاري برنامه بازاريابي دارايي را ادامه داد اما به</w:t>
      </w:r>
      <w:r>
        <w:rPr>
          <w:rtl w:val="true"/>
        </w:rPr>
        <w:t> </w:t>
      </w:r>
      <w:r>
        <w:rPr>
          <w:rtl w:val="true"/>
        </w:rPr>
        <w:t>دليل نبود پيشنهاد خريد مناسب، قيمت آن را کاهش داد</w:t>
      </w:r>
      <w:r>
        <w:rPr>
          <w:rtl w:val="true"/>
        </w:rPr>
        <w:t xml:space="preserve">. </w:t>
      </w:r>
      <w:r>
        <w:rPr>
          <w:rtl w:val="true"/>
        </w:rPr>
        <w:t>بازاريابي مؤثر دارايي با قيمتي که با توجه به تغيير شرايط بازار منطقي است همچنان ادامه دارد</w:t>
      </w:r>
      <w:r>
        <w:rPr>
          <w:rtl w:val="true"/>
        </w:rPr>
        <w:t xml:space="preserve">. </w:t>
      </w:r>
      <w:r>
        <w:rPr>
          <w:rtl w:val="true"/>
        </w:rPr>
        <w:t xml:space="preserve">از اين رو، معيارهاي مندرج در بندهاي </w:t>
      </w:r>
      <w:r>
        <w:rPr/>
        <w:t>8</w:t>
      </w:r>
      <w:r>
        <w:rPr>
          <w:rtl w:val="true"/>
        </w:rPr>
        <w:t xml:space="preserve"> </w:t>
      </w:r>
      <w:r>
        <w:rPr>
          <w:rtl w:val="true"/>
        </w:rPr>
        <w:t xml:space="preserve">و </w:t>
      </w:r>
      <w:r>
        <w:rPr/>
        <w:t>9</w:t>
      </w:r>
      <w:r>
        <w:rPr>
          <w:rtl w:val="true"/>
        </w:rPr>
        <w:t xml:space="preserve"> </w:t>
      </w:r>
      <w:r>
        <w:rPr>
          <w:rtl w:val="true"/>
        </w:rPr>
        <w:t xml:space="preserve">و نيز شرايط مندرج در بند ج پيوست شماره </w:t>
      </w:r>
      <w:r>
        <w:rPr/>
        <w:t>1</w:t>
      </w:r>
      <w:r>
        <w:rPr>
          <w:rtl w:val="true"/>
        </w:rPr>
        <w:t xml:space="preserve"> </w:t>
      </w:r>
      <w:r>
        <w:rPr>
          <w:rtl w:val="true"/>
        </w:rPr>
        <w:t>براي مستثني شدن از الزام يک سال احراز مي‌شود</w:t>
      </w:r>
      <w:r>
        <w:rPr>
          <w:rtl w:val="true"/>
        </w:rPr>
        <w:t xml:space="preserve">. </w:t>
      </w:r>
      <w:r>
        <w:rPr>
          <w:rtl w:val="true"/>
        </w:rPr>
        <w:t>در پايان دوره يک ساله اول، دارايي همچنان بايد به</w:t>
      </w:r>
      <w:r>
        <w:rPr>
          <w:rtl w:val="true"/>
        </w:rPr>
        <w:t> </w:t>
      </w:r>
      <w:r>
        <w:rPr>
          <w:rtl w:val="true"/>
        </w:rPr>
        <w:t>عنوان نگهداري شده براي فروش طبقه‌بندي شود</w:t>
      </w:r>
      <w:r>
        <w:rPr>
          <w:rtl w:val="true"/>
        </w:rPr>
        <w:t>.</w:t>
      </w:r>
    </w:p>
    <w:p>
      <w:pPr>
        <w:pStyle w:val="MatnAlef"/>
        <w:ind w:end="0"/>
        <w:jc w:val="both"/>
        <w:rPr/>
        <w:sectPr>
          <w:type w:val="continuous"/>
          <w:pgSz w:w="11906" w:h="16838"/>
          <w:pgMar w:left="1701" w:right="1701" w:gutter="0" w:header="1134" w:top="2835" w:footer="1134" w:bottom="1701"/>
          <w:formProt w:val="false"/>
          <w:textDirection w:val="lrTb"/>
          <w:bidi/>
          <w:rtlGutter/>
          <w:docGrid w:type="default" w:linePitch="360" w:charSpace="0"/>
        </w:sectPr>
      </w:pPr>
      <w:r>
        <w:rPr>
          <w:rtl w:val="true"/>
        </w:rPr>
        <w:t>(</w:t>
      </w:r>
      <w:r>
        <w:rPr>
          <w:rtl w:val="true"/>
        </w:rPr>
        <w:t>ب</w:t>
      </w:r>
      <w:r>
        <w:rPr>
          <w:rtl w:val="true"/>
        </w:rPr>
        <w:t>)</w:t>
        <w:tab/>
      </w:r>
      <w:r>
        <w:rPr>
          <w:rtl w:val="true"/>
        </w:rPr>
        <w:t>طي دوره يک ساله بعدي، شرايط بازار وخيم‌تر شد و دارايي تا پايان آن دوره نيز فروخته نشد</w:t>
      </w:r>
      <w:r>
        <w:rPr>
          <w:rtl w:val="true"/>
        </w:rPr>
        <w:t xml:space="preserve">. </w:t>
      </w:r>
      <w:r>
        <w:rPr>
          <w:rtl w:val="true"/>
        </w:rPr>
        <w:t>واحد تجاري بر اين باور است که شرايط بازار بهبود خواهد يافت و قيمت دارايي بيش از اين سقوط نخواهد کرد</w:t>
      </w:r>
      <w:r>
        <w:rPr>
          <w:rtl w:val="true"/>
        </w:rPr>
        <w:t xml:space="preserve">. </w:t>
      </w:r>
      <w:r>
        <w:rPr>
          <w:rtl w:val="true"/>
        </w:rPr>
        <w:t>دارايي همچنان براي فروش، اما به مبلغي بيش از ارزش روز آن، نگهداري مي‌شود</w:t>
      </w:r>
      <w:r>
        <w:rPr>
          <w:rtl w:val="true"/>
        </w:rPr>
        <w:t xml:space="preserve">. </w:t>
      </w:r>
      <w:r>
        <w:rPr>
          <w:rtl w:val="true"/>
        </w:rPr>
        <w:t>در اين وضعيت، عدم کاهش قيمت نشان مي‌دهد که دارايي براي فروش فوري، به</w:t>
      </w:r>
      <w:r>
        <w:rPr>
          <w:rtl w:val="true"/>
        </w:rPr>
        <w:t> </w:t>
      </w:r>
      <w:r>
        <w:rPr>
          <w:rtl w:val="true"/>
        </w:rPr>
        <w:t xml:space="preserve">صورتي که بند </w:t>
      </w:r>
      <w:r>
        <w:rPr/>
        <w:t>8</w:t>
      </w:r>
      <w:r>
        <w:rPr>
          <w:rtl w:val="true"/>
        </w:rPr>
        <w:t xml:space="preserve"> </w:t>
      </w:r>
      <w:r>
        <w:rPr>
          <w:rtl w:val="true"/>
        </w:rPr>
        <w:t xml:space="preserve">الزام مي‌کند، </w:t>
      </w:r>
      <w:r>
        <w:rPr>
          <w:rFonts w:hint="cs"/>
          <w:rtl w:val="true"/>
        </w:rPr>
        <w:t xml:space="preserve">آماده </w:t>
      </w:r>
      <w:r>
        <w:rPr>
          <w:rtl w:val="true"/>
        </w:rPr>
        <w:t>نيست</w:t>
      </w:r>
      <w:r>
        <w:rPr>
          <w:rtl w:val="true"/>
        </w:rPr>
        <w:t xml:space="preserve">. </w:t>
      </w:r>
      <w:r>
        <w:rPr>
          <w:rtl w:val="true"/>
        </w:rPr>
        <w:t>به علاوه، براساس بند</w:t>
      </w:r>
      <w:r>
        <w:rPr>
          <w:rFonts w:hint="cs"/>
          <w:rtl w:val="true"/>
        </w:rPr>
        <w:t> </w:t>
      </w:r>
      <w:r>
        <w:rPr/>
        <w:t>9</w:t>
      </w:r>
      <w:r>
        <w:rPr>
          <w:rtl w:val="true"/>
        </w:rPr>
        <w:t xml:space="preserve"> </w:t>
      </w:r>
      <w:r>
        <w:rPr>
          <w:rtl w:val="true"/>
        </w:rPr>
        <w:t xml:space="preserve">دارايي بايد به قيمتي که با توجه به ارزش منصفانه </w:t>
      </w:r>
      <w:r>
        <w:rPr>
          <w:rFonts w:hint="cs"/>
          <w:rtl w:val="true"/>
        </w:rPr>
        <w:t>روز</w:t>
      </w:r>
      <w:r>
        <w:rPr>
          <w:rtl w:val="true"/>
        </w:rPr>
        <w:t xml:space="preserve"> آن منطقي است، بازاريابي شود</w:t>
      </w:r>
      <w:r>
        <w:rPr>
          <w:rtl w:val="true"/>
        </w:rPr>
        <w:t xml:space="preserve">. </w:t>
      </w:r>
      <w:r>
        <w:rPr>
          <w:rtl w:val="true"/>
        </w:rPr>
        <w:t>بنابراين، شرايط مندرج در بند ج پيوست</w:t>
      </w:r>
      <w:r>
        <w:rPr>
          <w:rFonts w:hint="cs"/>
          <w:rtl w:val="true"/>
        </w:rPr>
        <w:t xml:space="preserve"> شماره</w:t>
      </w:r>
      <w:r>
        <w:rPr>
          <w:rFonts w:hint="eastAsia"/>
          <w:rtl w:val="true"/>
        </w:rPr>
        <w:t> </w:t>
      </w:r>
      <w:r>
        <w:rPr/>
        <w:t>1</w:t>
      </w:r>
      <w:r>
        <w:rPr>
          <w:rtl w:val="true"/>
        </w:rPr>
        <w:t xml:space="preserve"> </w:t>
      </w:r>
      <w:r>
        <w:rPr>
          <w:rtl w:val="true"/>
        </w:rPr>
        <w:t xml:space="preserve">براي مستثني شدن از الزام يک ساله بند </w:t>
      </w:r>
      <w:r>
        <w:rPr/>
        <w:t>9</w:t>
      </w:r>
      <w:r>
        <w:rPr>
          <w:rtl w:val="true"/>
        </w:rPr>
        <w:t xml:space="preserve"> </w:t>
      </w:r>
      <w:r>
        <w:rPr>
          <w:rtl w:val="true"/>
        </w:rPr>
        <w:t>احراز نمي‌شود</w:t>
      </w:r>
      <w:r>
        <w:rPr>
          <w:rtl w:val="true"/>
        </w:rPr>
        <w:t xml:space="preserve">. </w:t>
      </w:r>
      <w:r>
        <w:rPr>
          <w:rtl w:val="true"/>
        </w:rPr>
        <w:t xml:space="preserve">طبق بند </w:t>
      </w:r>
      <w:r>
        <w:rPr/>
        <w:t>27</w:t>
      </w:r>
      <w:r>
        <w:rPr>
          <w:rtl w:val="true"/>
        </w:rPr>
        <w:t>، طبقه‌بندي دارايي به</w:t>
      </w:r>
      <w:r>
        <w:rPr>
          <w:rtl w:val="true"/>
        </w:rPr>
        <w:t> </w:t>
      </w:r>
      <w:r>
        <w:rPr>
          <w:rtl w:val="true"/>
        </w:rPr>
        <w:t>عنوان نگهداري شده براي فروش، متوقف مي‌شود</w:t>
      </w:r>
      <w:r>
        <w:rPr>
          <w:rtl w:val="true"/>
        </w:rPr>
        <w:t>.</w:t>
      </w:r>
      <w:r>
        <w:br w:type="page"/>
      </w:r>
    </w:p>
    <w:p>
      <w:pPr>
        <w:pStyle w:val="Normal"/>
        <w:spacing w:before="300" w:after="120"/>
        <w:ind w:end="0"/>
        <w:jc w:val="start"/>
        <w:rPr>
          <w:rFonts w:cs="B Zar"/>
          <w:sz w:val="26"/>
          <w:szCs w:val="24"/>
        </w:rPr>
      </w:pPr>
      <w:r>
        <w:rPr>
          <w:rFonts w:cs="B Zar"/>
          <w:sz w:val="26"/>
          <w:szCs w:val="24"/>
          <w:rtl w:val="true"/>
        </w:rPr>
        <w:t>تشخيص يک دارايي به</w:t>
      </w:r>
      <w:r>
        <w:rPr>
          <w:rFonts w:cs="Times New Roman"/>
          <w:sz w:val="26"/>
          <w:szCs w:val="24"/>
          <w:rtl w:val="true"/>
        </w:rPr>
        <w:t> </w:t>
      </w:r>
      <w:r>
        <w:rPr>
          <w:rFonts w:cs="B Zar"/>
          <w:sz w:val="26"/>
          <w:szCs w:val="24"/>
          <w:rtl w:val="true"/>
        </w:rPr>
        <w:t xml:space="preserve">عنوان برکنار شده </w:t>
      </w:r>
      <w:r>
        <w:rPr>
          <w:rFonts w:cs="B Zar"/>
          <w:sz w:val="26"/>
          <w:szCs w:val="24"/>
          <w:rtl w:val="true"/>
        </w:rPr>
        <w:t>(</w:t>
      </w:r>
      <w:r>
        <w:rPr>
          <w:rFonts w:cs="B Zar"/>
          <w:sz w:val="26"/>
          <w:szCs w:val="24"/>
          <w:rtl w:val="true"/>
        </w:rPr>
        <w:t xml:space="preserve">بندهاي </w:t>
      </w:r>
      <w:r>
        <w:rPr>
          <w:rFonts w:cs="B Zar"/>
          <w:sz w:val="26"/>
          <w:szCs w:val="24"/>
        </w:rPr>
        <w:t>14</w:t>
      </w:r>
      <w:r>
        <w:rPr>
          <w:rFonts w:cs="B Zar"/>
          <w:sz w:val="26"/>
          <w:szCs w:val="24"/>
          <w:rtl w:val="true"/>
        </w:rPr>
        <w:t xml:space="preserve"> </w:t>
      </w:r>
      <w:r>
        <w:rPr>
          <w:rFonts w:cs="B Zar"/>
          <w:sz w:val="26"/>
          <w:szCs w:val="24"/>
          <w:rtl w:val="true"/>
        </w:rPr>
        <w:t xml:space="preserve">و </w:t>
      </w:r>
      <w:r>
        <w:rPr>
          <w:rFonts w:cs="B Zar"/>
          <w:sz w:val="26"/>
          <w:szCs w:val="24"/>
        </w:rPr>
        <w:t>15</w:t>
      </w:r>
      <w:r>
        <w:rPr>
          <w:rFonts w:cs="B Zar"/>
          <w:sz w:val="26"/>
          <w:szCs w:val="24"/>
          <w:rtl w:val="true"/>
        </w:rPr>
        <w:t>)</w:t>
      </w:r>
    </w:p>
    <w:p>
      <w:pPr>
        <w:pStyle w:val="Normal"/>
        <w:spacing w:before="0" w:after="120"/>
        <w:ind w:end="0"/>
        <w:jc w:val="start"/>
        <w:rPr>
          <w:rFonts w:cs="B Lotus"/>
        </w:rPr>
      </w:pPr>
      <w:r>
        <w:rPr>
          <w:rFonts w:cs="B Lotus"/>
          <w:spacing w:val="2"/>
          <w:rtl w:val="true"/>
        </w:rPr>
        <w:t xml:space="preserve">در بندهاي </w:t>
      </w:r>
      <w:r>
        <w:rPr>
          <w:rFonts w:cs="B Lotus"/>
          <w:spacing w:val="2"/>
        </w:rPr>
        <w:t>14</w:t>
      </w:r>
      <w:r>
        <w:rPr>
          <w:rFonts w:cs="B Lotus"/>
          <w:spacing w:val="2"/>
          <w:rtl w:val="true"/>
        </w:rPr>
        <w:t xml:space="preserve"> </w:t>
      </w:r>
      <w:r>
        <w:rPr>
          <w:rFonts w:cs="B Lotus"/>
          <w:spacing w:val="2"/>
          <w:rtl w:val="true"/>
        </w:rPr>
        <w:t xml:space="preserve">و </w:t>
      </w:r>
      <w:r>
        <w:rPr>
          <w:rFonts w:cs="B Lotus"/>
          <w:spacing w:val="2"/>
        </w:rPr>
        <w:t>15</w:t>
      </w:r>
      <w:r>
        <w:rPr>
          <w:rFonts w:cs="B Lotus"/>
          <w:spacing w:val="2"/>
          <w:rtl w:val="true"/>
        </w:rPr>
        <w:t xml:space="preserve"> </w:t>
      </w:r>
      <w:r>
        <w:rPr>
          <w:rFonts w:cs="B Lotus"/>
          <w:spacing w:val="2"/>
          <w:rtl w:val="true"/>
        </w:rPr>
        <w:t>استاندارد، الزامات تشخيص يک دارايي برکنار شده، ارائه شده است</w:t>
      </w:r>
      <w:r>
        <w:rPr>
          <w:rFonts w:cs="B Lotus"/>
          <w:spacing w:val="2"/>
          <w:rtl w:val="true"/>
        </w:rPr>
        <w:t>.</w:t>
      </w:r>
      <w:r>
        <w:rPr>
          <w:rFonts w:cs="B Lotus"/>
          <w:rtl w:val="true"/>
        </w:rPr>
        <w:t xml:space="preserve"> </w:t>
      </w:r>
      <w:r>
        <w:rPr>
          <w:rFonts w:cs="B Lotus"/>
          <w:rtl w:val="true"/>
        </w:rPr>
        <w:t>مثال</w:t>
      </w:r>
      <w:r>
        <w:rPr>
          <w:rFonts w:hint="cs" w:cs="Times New Roman"/>
          <w:rtl w:val="true"/>
        </w:rPr>
        <w:t> </w:t>
      </w:r>
      <w:r>
        <w:rPr>
          <w:rFonts w:cs="B Lotus"/>
        </w:rPr>
        <w:t>8</w:t>
      </w:r>
      <w:r>
        <w:rPr>
          <w:rFonts w:cs="B Lotus"/>
          <w:rtl w:val="true"/>
        </w:rPr>
        <w:t xml:space="preserve"> </w:t>
      </w:r>
      <w:r>
        <w:rPr>
          <w:rFonts w:cs="B Lotus"/>
          <w:rtl w:val="true"/>
        </w:rPr>
        <w:t>موردي را نشان مي‌دهد که يک دارايي به</w:t>
      </w:r>
      <w:r>
        <w:rPr>
          <w:rFonts w:cs="Times New Roman"/>
          <w:rtl w:val="true"/>
        </w:rPr>
        <w:t> </w:t>
      </w:r>
      <w:r>
        <w:rPr>
          <w:rFonts w:cs="B Lotus"/>
          <w:rtl w:val="true"/>
        </w:rPr>
        <w:t>عنوان برکنار شده محسوب نمي‌شود</w:t>
      </w:r>
      <w:r>
        <w:rPr>
          <w:rFonts w:cs="B Lotus"/>
          <w:rtl w:val="true"/>
        </w:rPr>
        <w:t>.</w:t>
      </w:r>
    </w:p>
    <w:p>
      <w:pPr>
        <w:pStyle w:val="MesalTraffic"/>
        <w:ind w:end="0"/>
        <w:jc w:val="start"/>
        <w:rPr/>
      </w:pPr>
      <w:r>
        <w:rPr>
          <w:rtl w:val="true"/>
        </w:rPr>
        <w:t xml:space="preserve">مثال </w:t>
      </w:r>
      <w:r>
        <w:rPr/>
        <w:t>8</w:t>
      </w:r>
    </w:p>
    <w:p>
      <w:pPr>
        <w:pStyle w:val="Matn"/>
        <w:ind w:end="0"/>
        <w:jc w:val="both"/>
        <w:rPr/>
      </w:pPr>
      <w:r>
        <w:rPr>
          <w:rtl w:val="true"/>
        </w:rPr>
        <w:t>يک واحد تجاري استفاده از يک دستگاه توليدي را به دليل کاهش تقاضا براي محصول آن متوقف کرده است</w:t>
      </w:r>
      <w:r>
        <w:rPr>
          <w:rtl w:val="true"/>
        </w:rPr>
        <w:t xml:space="preserve">. </w:t>
      </w:r>
      <w:r>
        <w:rPr>
          <w:rtl w:val="true"/>
        </w:rPr>
        <w:t>با اين حال، دستگاه مزبور در شرايط آماده براي توليد حفظ مي‌شود و انتظار مي‌رود با افزايش تقاضا مجدداً مورد استفاده قرار گيرد</w:t>
      </w:r>
      <w:r>
        <w:rPr>
          <w:rtl w:val="true"/>
        </w:rPr>
        <w:t xml:space="preserve">. </w:t>
      </w:r>
      <w:r>
        <w:rPr>
          <w:rtl w:val="true"/>
        </w:rPr>
        <w:t>اين دستگاه به</w:t>
      </w:r>
      <w:r>
        <w:rPr>
          <w:rFonts w:cs="Times New Roman"/>
          <w:rtl w:val="true"/>
        </w:rPr>
        <w:t> </w:t>
      </w:r>
      <w:r>
        <w:rPr>
          <w:rtl w:val="true"/>
        </w:rPr>
        <w:t>عنوان برکنار شده محسوب نمي‌شود</w:t>
      </w:r>
      <w:r>
        <w:rPr>
          <w:rtl w:val="true"/>
        </w:rPr>
        <w:t>.</w:t>
      </w:r>
    </w:p>
    <w:p>
      <w:pPr>
        <w:pStyle w:val="Heading1"/>
        <w:ind w:end="0"/>
        <w:jc w:val="start"/>
        <w:rPr>
          <w:spacing w:val="-6"/>
        </w:rPr>
      </w:pPr>
      <w:r>
        <w:rPr>
          <w:spacing w:val="-6"/>
          <w:rtl w:val="true"/>
        </w:rPr>
        <w:t xml:space="preserve">ارائه عمليات متوقف شده مربوط به داراییهای غیرجاری یا مجموعه‌های واحد  برکنار شده </w:t>
      </w:r>
      <w:r>
        <w:rPr>
          <w:spacing w:val="-6"/>
          <w:rtl w:val="true"/>
        </w:rPr>
        <w:t>(</w:t>
      </w:r>
      <w:r>
        <w:rPr>
          <w:spacing w:val="-6"/>
          <w:rtl w:val="true"/>
        </w:rPr>
        <w:t>بند</w:t>
      </w:r>
      <w:r>
        <w:rPr>
          <w:rFonts w:hint="cs" w:cs="Times New Roman"/>
          <w:spacing w:val="-6"/>
          <w:rtl w:val="true"/>
        </w:rPr>
        <w:t> </w:t>
      </w:r>
      <w:r>
        <w:rPr>
          <w:spacing w:val="-6"/>
        </w:rPr>
        <w:t>14</w:t>
      </w:r>
      <w:r>
        <w:rPr>
          <w:spacing w:val="-6"/>
          <w:rtl w:val="true"/>
        </w:rPr>
        <w:t>)</w:t>
      </w:r>
    </w:p>
    <w:p>
      <w:pPr>
        <w:pStyle w:val="Matn"/>
        <w:ind w:end="0"/>
        <w:jc w:val="both"/>
        <w:rPr/>
      </w:pPr>
      <w:r>
        <w:rPr>
          <w:rtl w:val="true"/>
        </w:rPr>
        <w:t xml:space="preserve">بند </w:t>
      </w:r>
      <w:r>
        <w:rPr/>
        <w:t>14</w:t>
      </w:r>
      <w:r>
        <w:rPr>
          <w:rtl w:val="true"/>
        </w:rPr>
        <w:t xml:space="preserve"> </w:t>
      </w:r>
      <w:r>
        <w:rPr>
          <w:rtl w:val="true"/>
        </w:rPr>
        <w:t>استاندارد، طبقه‌بندي داراييهاي برکنار شده را به</w:t>
      </w:r>
      <w:r>
        <w:rPr>
          <w:rFonts w:cs="Times New Roman"/>
          <w:rtl w:val="true"/>
        </w:rPr>
        <w:t> </w:t>
      </w:r>
      <w:r>
        <w:rPr>
          <w:rtl w:val="true"/>
        </w:rPr>
        <w:t>عنوان دارايي نگهداري شده براي فروش منع مي‌کند</w:t>
      </w:r>
      <w:r>
        <w:rPr>
          <w:rtl w:val="true"/>
        </w:rPr>
        <w:t xml:space="preserve">. </w:t>
      </w:r>
      <w:r>
        <w:rPr>
          <w:rtl w:val="true"/>
        </w:rPr>
        <w:t>با اين حال، در</w:t>
      </w:r>
      <w:r>
        <w:rPr>
          <w:rFonts w:hint="cs" w:cs="Times New Roman"/>
          <w:rtl w:val="true"/>
        </w:rPr>
        <w:t> </w:t>
      </w:r>
      <w:r>
        <w:rPr>
          <w:rtl w:val="true"/>
        </w:rPr>
        <w:t>صورتي  که داراييهاي برکنار شده مربوط به يک فعاليت تجاري يا حوزه جغرافيايي عمده و جداگانه‌اي از عمليات باشد، در تاريخ برکناري، در بخش عمليات متوقف شده گزارش مي‌شود</w:t>
      </w:r>
      <w:r>
        <w:rPr>
          <w:rtl w:val="true"/>
        </w:rPr>
        <w:t xml:space="preserve">. </w:t>
      </w:r>
      <w:r>
        <w:rPr>
          <w:rtl w:val="true"/>
        </w:rPr>
        <w:t xml:space="preserve">مثال </w:t>
      </w:r>
      <w:r>
        <w:rPr/>
        <w:t>9</w:t>
      </w:r>
      <w:r>
        <w:rPr>
          <w:rtl w:val="true"/>
        </w:rPr>
        <w:t xml:space="preserve"> </w:t>
      </w:r>
      <w:r>
        <w:rPr>
          <w:rtl w:val="true"/>
        </w:rPr>
        <w:t>اين موضوع را نشان مي‌دهد</w:t>
      </w:r>
      <w:r>
        <w:rPr>
          <w:rtl w:val="true"/>
        </w:rPr>
        <w:t>.</w:t>
      </w:r>
    </w:p>
    <w:p>
      <w:pPr>
        <w:pStyle w:val="MesalTraffic"/>
        <w:ind w:end="0"/>
        <w:jc w:val="start"/>
        <w:rPr/>
      </w:pPr>
      <w:r>
        <w:rPr>
          <w:rtl w:val="true"/>
        </w:rPr>
        <w:t xml:space="preserve">مثال </w:t>
      </w:r>
      <w:r>
        <w:rPr/>
        <w:t>9</w:t>
      </w:r>
    </w:p>
    <w:p>
      <w:pPr>
        <w:pStyle w:val="Matn"/>
        <w:ind w:end="0"/>
        <w:jc w:val="both"/>
        <w:rPr/>
      </w:pPr>
      <w:r>
        <w:rPr>
          <w:rtl w:val="true"/>
        </w:rPr>
        <w:t xml:space="preserve">در دي ماه </w:t>
      </w:r>
      <w:r>
        <w:rPr/>
        <w:t>6</w:t>
      </w:r>
      <w:r>
        <w:rPr>
          <w:rtl w:val="true"/>
        </w:rPr>
        <w:t>×</w:t>
      </w:r>
      <w:r>
        <w:rPr/>
        <w:t>13</w:t>
      </w:r>
      <w:r>
        <w:rPr>
          <w:rtl w:val="true"/>
        </w:rPr>
        <w:t xml:space="preserve"> </w:t>
      </w:r>
      <w:r>
        <w:rPr>
          <w:rtl w:val="true"/>
        </w:rPr>
        <w:t>يک واحد تجاري تصميم گرفت فعاليت کارخانه نخ‌ريسي خود را</w:t>
      </w:r>
      <w:r>
        <w:rPr>
          <w:rFonts w:hint="cs"/>
          <w:rtl w:val="true"/>
        </w:rPr>
        <w:t>،</w:t>
      </w:r>
      <w:r>
        <w:rPr>
          <w:rtl w:val="true"/>
        </w:rPr>
        <w:t xml:space="preserve"> که يک فعاليت تجاري عمده محسوب مي‌شود</w:t>
      </w:r>
      <w:r>
        <w:rPr>
          <w:rFonts w:hint="cs"/>
          <w:rtl w:val="true"/>
        </w:rPr>
        <w:t xml:space="preserve">، </w:t>
      </w:r>
      <w:r>
        <w:rPr>
          <w:rtl w:val="true"/>
        </w:rPr>
        <w:t>متوقف کند</w:t>
      </w:r>
      <w:r>
        <w:rPr>
          <w:rFonts w:hint="cs"/>
          <w:rtl w:val="true"/>
        </w:rPr>
        <w:t>.</w:t>
      </w:r>
      <w:r>
        <w:rPr>
          <w:rtl w:val="true"/>
        </w:rPr>
        <w:t xml:space="preserve"> </w:t>
      </w:r>
      <w:r>
        <w:rPr>
          <w:rtl w:val="true"/>
        </w:rPr>
        <w:t xml:space="preserve">تمام فعاليتهاي کارخانه نخ‌ريسي طي سال منتهي به </w:t>
      </w:r>
      <w:r>
        <w:rPr/>
        <w:t>29</w:t>
      </w:r>
      <w:r>
        <w:rPr>
          <w:rtl w:val="true"/>
        </w:rPr>
        <w:t xml:space="preserve"> </w:t>
      </w:r>
      <w:r>
        <w:rPr>
          <w:rtl w:val="true"/>
        </w:rPr>
        <w:t xml:space="preserve">اسفند </w:t>
      </w:r>
      <w:r>
        <w:rPr/>
        <w:t>7</w:t>
      </w:r>
      <w:r>
        <w:rPr>
          <w:rtl w:val="true"/>
        </w:rPr>
        <w:t>×</w:t>
      </w:r>
      <w:r>
        <w:rPr/>
        <w:t>13</w:t>
      </w:r>
      <w:r>
        <w:rPr>
          <w:rtl w:val="true"/>
        </w:rPr>
        <w:t xml:space="preserve"> </w:t>
      </w:r>
      <w:r>
        <w:rPr>
          <w:rtl w:val="true"/>
        </w:rPr>
        <w:t>متوقف مي‌شود</w:t>
      </w:r>
      <w:r>
        <w:rPr>
          <w:rtl w:val="true"/>
        </w:rPr>
        <w:t xml:space="preserve">. </w:t>
      </w:r>
      <w:r>
        <w:rPr>
          <w:rtl w:val="true"/>
        </w:rPr>
        <w:t xml:space="preserve">در صورتهاي مالي سال منتهي به </w:t>
      </w:r>
      <w:r>
        <w:rPr/>
        <w:t>29</w:t>
      </w:r>
      <w:r>
        <w:rPr>
          <w:rtl w:val="true"/>
        </w:rPr>
        <w:t xml:space="preserve"> </w:t>
      </w:r>
      <w:r>
        <w:rPr>
          <w:rtl w:val="true"/>
        </w:rPr>
        <w:t xml:space="preserve">اسفند </w:t>
      </w:r>
      <w:r>
        <w:rPr/>
        <w:t>6</w:t>
      </w:r>
      <w:r>
        <w:rPr>
          <w:rtl w:val="true"/>
        </w:rPr>
        <w:t>×</w:t>
      </w:r>
      <w:r>
        <w:rPr/>
        <w:t>13</w:t>
      </w:r>
      <w:r>
        <w:rPr>
          <w:rtl w:val="true"/>
        </w:rPr>
        <w:t>، نتايج عمليات و جريانهاي نقدي مربوط به کارخانه نخ‌ريسي به</w:t>
      </w:r>
      <w:r>
        <w:rPr>
          <w:rFonts w:cs="Times New Roman"/>
          <w:rtl w:val="true"/>
        </w:rPr>
        <w:t> </w:t>
      </w:r>
      <w:r>
        <w:rPr>
          <w:rtl w:val="true"/>
        </w:rPr>
        <w:t xml:space="preserve">عنوان عمليات </w:t>
      </w:r>
      <w:r>
        <w:rPr>
          <w:rFonts w:hint="cs"/>
          <w:rtl w:val="true"/>
        </w:rPr>
        <w:t>در حال تداوم</w:t>
      </w:r>
      <w:r>
        <w:rPr>
          <w:rtl w:val="true"/>
        </w:rPr>
        <w:t xml:space="preserve"> و در صورتهاي مالي سال منتهي به </w:t>
      </w:r>
      <w:r>
        <w:rPr/>
        <w:t>29</w:t>
      </w:r>
      <w:r>
        <w:rPr>
          <w:rtl w:val="true"/>
        </w:rPr>
        <w:t xml:space="preserve"> </w:t>
      </w:r>
      <w:r>
        <w:rPr>
          <w:rtl w:val="true"/>
        </w:rPr>
        <w:t xml:space="preserve">اسفند </w:t>
      </w:r>
      <w:r>
        <w:rPr/>
        <w:t>7</w:t>
      </w:r>
      <w:r>
        <w:rPr>
          <w:rtl w:val="true"/>
        </w:rPr>
        <w:t>×</w:t>
      </w:r>
      <w:r>
        <w:rPr/>
        <w:t>13</w:t>
      </w:r>
      <w:r>
        <w:rPr>
          <w:rtl w:val="true"/>
        </w:rPr>
        <w:t>، به</w:t>
      </w:r>
      <w:r>
        <w:rPr>
          <w:rFonts w:cs="Times New Roman"/>
          <w:rtl w:val="true"/>
        </w:rPr>
        <w:t> </w:t>
      </w:r>
      <w:r>
        <w:rPr>
          <w:rtl w:val="true"/>
        </w:rPr>
        <w:t xml:space="preserve">عنوان عمليات متوقف شده درنظر گرفته مي‌شود و واحد تجاري افشاهاي الزامي در بندهاي </w:t>
      </w:r>
      <w:r>
        <w:rPr/>
        <w:t>32</w:t>
      </w:r>
      <w:r>
        <w:rPr>
          <w:rtl w:val="true"/>
        </w:rPr>
        <w:t xml:space="preserve"> </w:t>
      </w:r>
      <w:r>
        <w:rPr>
          <w:rtl w:val="true"/>
        </w:rPr>
        <w:t xml:space="preserve">و </w:t>
      </w:r>
      <w:r>
        <w:rPr/>
        <w:t>33</w:t>
      </w:r>
      <w:r>
        <w:rPr>
          <w:rtl w:val="true"/>
        </w:rPr>
        <w:t xml:space="preserve"> </w:t>
      </w:r>
      <w:r>
        <w:rPr>
          <w:rtl w:val="true"/>
        </w:rPr>
        <w:t>استاندارد را ارائه مي‌کند</w:t>
      </w:r>
      <w:r>
        <w:rPr>
          <w:rtl w:val="true"/>
        </w:rPr>
        <w:t>.</w:t>
      </w:r>
    </w:p>
    <w:p>
      <w:pPr>
        <w:pStyle w:val="Heading1"/>
        <w:ind w:end="0"/>
        <w:jc w:val="start"/>
        <w:rPr/>
      </w:pPr>
      <w:r>
        <w:rPr>
          <w:rtl w:val="true"/>
        </w:rPr>
        <w:t xml:space="preserve">تخصيص زيان کاهش ارزش به مجموعه‌هاي واحد </w:t>
      </w:r>
      <w:r>
        <w:rPr>
          <w:rtl w:val="true"/>
        </w:rPr>
        <w:t>(</w:t>
      </w:r>
      <w:r>
        <w:rPr>
          <w:rtl w:val="true"/>
        </w:rPr>
        <w:t xml:space="preserve">بند </w:t>
      </w:r>
      <w:r>
        <w:rPr/>
        <w:t>24</w:t>
      </w:r>
      <w:r>
        <w:rPr>
          <w:rtl w:val="true"/>
        </w:rPr>
        <w:t>)</w:t>
      </w:r>
    </w:p>
    <w:p>
      <w:pPr>
        <w:pStyle w:val="Matn"/>
        <w:ind w:end="0"/>
        <w:jc w:val="both"/>
        <w:rPr/>
      </w:pPr>
      <w:r>
        <w:rPr>
          <w:rtl w:val="true"/>
        </w:rPr>
        <w:t xml:space="preserve">طبق بند </w:t>
      </w:r>
      <w:r>
        <w:rPr/>
        <w:t>24</w:t>
      </w:r>
      <w:r>
        <w:rPr>
          <w:rtl w:val="true"/>
        </w:rPr>
        <w:t xml:space="preserve"> </w:t>
      </w:r>
      <w:r>
        <w:rPr>
          <w:rtl w:val="true"/>
        </w:rPr>
        <w:t xml:space="preserve">استاندارد، هر گونه زيان کاهش ارزش </w:t>
      </w:r>
      <w:r>
        <w:rPr>
          <w:rtl w:val="true"/>
        </w:rPr>
        <w:t>(</w:t>
      </w:r>
      <w:r>
        <w:rPr>
          <w:rtl w:val="true"/>
        </w:rPr>
        <w:t>يا سود بعدي</w:t>
      </w:r>
      <w:r>
        <w:rPr>
          <w:rtl w:val="true"/>
        </w:rPr>
        <w:t xml:space="preserve">) </w:t>
      </w:r>
      <w:r>
        <w:rPr>
          <w:rtl w:val="true"/>
        </w:rPr>
        <w:t xml:space="preserve">شناسايي شده براي مجموعه‌هاي واحد بايد مبلغ دفتري داراييهاي غيرجاري آن مجموعه را که در دامنه الزامات اندازه‌گيري استاندارد قرار مي‌گيرد کاهش </w:t>
      </w:r>
      <w:r>
        <w:rPr>
          <w:rtl w:val="true"/>
        </w:rPr>
        <w:t>(</w:t>
      </w:r>
      <w:r>
        <w:rPr>
          <w:rtl w:val="true"/>
        </w:rPr>
        <w:t>يا افزايش</w:t>
      </w:r>
      <w:r>
        <w:rPr>
          <w:rtl w:val="true"/>
        </w:rPr>
        <w:t xml:space="preserve">) </w:t>
      </w:r>
      <w:r>
        <w:rPr>
          <w:rtl w:val="true"/>
        </w:rPr>
        <w:t>دهد</w:t>
      </w:r>
      <w:r>
        <w:rPr>
          <w:rtl w:val="true"/>
        </w:rPr>
        <w:t xml:space="preserve">. </w:t>
      </w:r>
      <w:r>
        <w:rPr>
          <w:rtl w:val="true"/>
        </w:rPr>
        <w:t xml:space="preserve">در مثال </w:t>
      </w:r>
      <w:r>
        <w:rPr/>
        <w:t>10</w:t>
      </w:r>
      <w:r>
        <w:rPr>
          <w:rtl w:val="true"/>
        </w:rPr>
        <w:t xml:space="preserve"> </w:t>
      </w:r>
      <w:r>
        <w:rPr>
          <w:rtl w:val="true"/>
        </w:rPr>
        <w:t>تخصيص زيان کاهش ارزش به مجموعه‌هاي واحد تشريح مي‌شود</w:t>
      </w:r>
      <w:r>
        <w:rPr>
          <w:rtl w:val="true"/>
        </w:rPr>
        <w:t>.</w:t>
      </w:r>
    </w:p>
    <w:p>
      <w:pPr>
        <w:pStyle w:val="MesalTraffic"/>
        <w:ind w:end="0"/>
        <w:jc w:val="start"/>
        <w:rPr/>
      </w:pPr>
      <w:r>
        <w:rPr>
          <w:rtl w:val="true"/>
        </w:rPr>
        <w:t xml:space="preserve">مثال </w:t>
      </w:r>
      <w:r>
        <w:rPr/>
        <w:t>10</w:t>
      </w:r>
    </w:p>
    <w:p>
      <w:pPr>
        <w:pStyle w:val="Matn"/>
        <w:spacing w:before="0" w:after="240"/>
        <w:ind w:end="0"/>
        <w:jc w:val="both"/>
        <w:rPr/>
      </w:pPr>
      <w:r>
        <w:rPr>
          <w:rtl w:val="true"/>
        </w:rPr>
        <w:t>يک واحد تجاري تصميم دارد گروهي از داراييهاي خود را از</w:t>
      </w:r>
      <w:r>
        <w:rPr>
          <w:rFonts w:hint="cs" w:cs="Times New Roman"/>
          <w:rtl w:val="true"/>
        </w:rPr>
        <w:t> </w:t>
      </w:r>
      <w:r>
        <w:rPr>
          <w:rtl w:val="true"/>
        </w:rPr>
        <w:t>طريق فروش واگذار کند</w:t>
      </w:r>
      <w:r>
        <w:rPr>
          <w:rtl w:val="true"/>
        </w:rPr>
        <w:t xml:space="preserve">. </w:t>
      </w:r>
      <w:r>
        <w:rPr>
          <w:rtl w:val="true"/>
        </w:rPr>
        <w:t>اين داراييها يک مجموعه‌ واحد را تشکيل مي‌دهد، و به</w:t>
      </w:r>
      <w:r>
        <w:rPr>
          <w:rFonts w:cs="Times New Roman"/>
          <w:rtl w:val="true"/>
        </w:rPr>
        <w:t> </w:t>
      </w:r>
      <w:r>
        <w:rPr>
          <w:rtl w:val="true"/>
        </w:rPr>
        <w:t>صورت</w:t>
      </w:r>
      <w:r>
        <w:rPr>
          <w:rtl w:val="true"/>
        </w:rPr>
        <w:t xml:space="preserve"> زير اندازه‌گيري مي‌شوند</w:t>
      </w:r>
      <w:r>
        <w:rPr>
          <w:rtl w:val="true"/>
        </w:rPr>
        <w:t>:</w:t>
      </w:r>
    </w:p>
    <w:tbl>
      <w:tblPr>
        <w:bidiVisual w:val="true"/>
        <w:tblW w:w="8628" w:type="dxa"/>
        <w:jc w:val="start"/>
        <w:tblInd w:w="0" w:type="dxa"/>
        <w:tblLayout w:type="fixed"/>
        <w:tblCellMar>
          <w:top w:w="0" w:type="dxa"/>
          <w:start w:w="108" w:type="dxa"/>
          <w:bottom w:w="0" w:type="dxa"/>
          <w:end w:w="108" w:type="dxa"/>
        </w:tblCellMar>
      </w:tblPr>
      <w:tblGrid>
        <w:gridCol w:w="4440"/>
        <w:gridCol w:w="2040"/>
        <w:gridCol w:w="2148"/>
      </w:tblGrid>
      <w:tr>
        <w:trPr/>
        <w:tc>
          <w:tcPr>
            <w:tcW w:w="4440" w:type="dxa"/>
            <w:tcBorders/>
            <w:vAlign w:val="bottom"/>
          </w:tcPr>
          <w:p>
            <w:pPr>
              <w:pStyle w:val="Normal"/>
              <w:snapToGrid w:val="false"/>
              <w:spacing w:before="0" w:after="120"/>
              <w:ind w:end="0"/>
              <w:jc w:val="center"/>
              <w:rPr>
                <w:rFonts w:cs="B Lotus"/>
              </w:rPr>
            </w:pPr>
            <w:r>
              <w:rPr>
                <w:rFonts w:cs="B Lotus"/>
                <w:rtl w:val="true"/>
              </w:rPr>
            </w:r>
          </w:p>
        </w:tc>
        <w:tc>
          <w:tcPr>
            <w:tcW w:w="2040" w:type="dxa"/>
            <w:tcBorders/>
            <w:vAlign w:val="bottom"/>
          </w:tcPr>
          <w:p>
            <w:pPr>
              <w:pStyle w:val="JadvalTitreNazanin"/>
              <w:spacing w:before="0" w:after="120"/>
              <w:ind w:end="-57"/>
              <w:jc w:val="center"/>
              <w:rPr/>
            </w:pPr>
            <w:r>
              <w:rPr>
                <w:rtl w:val="true"/>
              </w:rPr>
              <w:t>مبلغ دفتري در تاريخ گزارشگري قبل از طبقه‌بندي به‌عنوان نگهداري شده براي فروش</w:t>
            </w:r>
          </w:p>
        </w:tc>
        <w:tc>
          <w:tcPr>
            <w:tcW w:w="2148" w:type="dxa"/>
            <w:tcBorders/>
            <w:vAlign w:val="bottom"/>
          </w:tcPr>
          <w:p>
            <w:pPr>
              <w:pStyle w:val="JadvalTitreNazanin"/>
              <w:spacing w:before="0" w:after="120"/>
              <w:ind w:end="-57"/>
              <w:jc w:val="center"/>
              <w:rPr/>
            </w:pPr>
            <w:r>
              <w:rPr>
                <w:rtl w:val="true"/>
              </w:rPr>
              <w:t>مبلغ دفتري تجديد اندازه‌گيري شده بلافاصله قبل از طبقه‌بندي به عنوان‌نگهداري‌شده‌براي‌فروش</w:t>
            </w:r>
          </w:p>
        </w:tc>
      </w:tr>
      <w:tr>
        <w:trPr/>
        <w:tc>
          <w:tcPr>
            <w:tcW w:w="4440" w:type="dxa"/>
            <w:tcBorders/>
          </w:tcPr>
          <w:p>
            <w:pPr>
              <w:pStyle w:val="Rial"/>
              <w:snapToGrid w:val="false"/>
              <w:spacing w:before="0" w:after="40"/>
              <w:ind w:end="0"/>
              <w:jc w:val="center"/>
              <w:rPr/>
            </w:pPr>
            <w:r>
              <w:rPr>
                <w:rFonts w:cs="B Lotus"/>
                <w:rtl w:val="true"/>
              </w:rPr>
            </w:r>
          </w:p>
        </w:tc>
        <w:tc>
          <w:tcPr>
            <w:tcW w:w="2040" w:type="dxa"/>
            <w:tcBorders/>
          </w:tcPr>
          <w:p>
            <w:pPr>
              <w:pStyle w:val="Rial"/>
              <w:spacing w:before="0" w:after="40"/>
              <w:ind w:end="0"/>
              <w:jc w:val="center"/>
              <w:rPr/>
            </w:pPr>
            <w:r>
              <w:rPr>
                <w:rtl w:val="true"/>
              </w:rPr>
              <w:t>ميليون ريال</w:t>
            </w:r>
          </w:p>
        </w:tc>
        <w:tc>
          <w:tcPr>
            <w:tcW w:w="2148" w:type="dxa"/>
            <w:tcBorders/>
          </w:tcPr>
          <w:p>
            <w:pPr>
              <w:pStyle w:val="Rial"/>
              <w:spacing w:before="0" w:after="40"/>
              <w:ind w:end="0"/>
              <w:jc w:val="center"/>
              <w:rPr/>
            </w:pPr>
            <w:r>
              <w:rPr>
                <w:rtl w:val="true"/>
              </w:rPr>
              <w:t>ميليون ريال</w:t>
            </w:r>
          </w:p>
        </w:tc>
      </w:tr>
      <w:tr>
        <w:trPr/>
        <w:tc>
          <w:tcPr>
            <w:tcW w:w="4440" w:type="dxa"/>
            <w:tcBorders/>
          </w:tcPr>
          <w:p>
            <w:pPr>
              <w:pStyle w:val="JadvalMatn"/>
              <w:spacing w:before="0" w:after="40"/>
              <w:ind w:end="0"/>
              <w:jc w:val="start"/>
              <w:rPr/>
            </w:pPr>
            <w:r>
              <w:rPr>
                <w:rtl w:val="true"/>
              </w:rPr>
              <w:t>سرقفلي</w:t>
            </w:r>
          </w:p>
        </w:tc>
        <w:tc>
          <w:tcPr>
            <w:tcW w:w="2040" w:type="dxa"/>
            <w:tcBorders/>
          </w:tcPr>
          <w:p>
            <w:pPr>
              <w:pStyle w:val="JadvalNumL13"/>
              <w:spacing w:before="0" w:after="40"/>
              <w:ind w:end="0"/>
              <w:jc w:val="center"/>
              <w:rPr/>
            </w:pPr>
            <w:r>
              <w:rPr/>
              <w:t>500</w:t>
            </w:r>
            <w:r>
              <w:rPr>
                <w:rtl w:val="true"/>
              </w:rPr>
              <w:t>ر</w:t>
            </w:r>
            <w:r>
              <w:rPr/>
              <w:t>1</w:t>
            </w:r>
          </w:p>
        </w:tc>
        <w:tc>
          <w:tcPr>
            <w:tcW w:w="2148" w:type="dxa"/>
            <w:tcBorders/>
          </w:tcPr>
          <w:p>
            <w:pPr>
              <w:pStyle w:val="JadvalNumL13"/>
              <w:spacing w:before="0" w:after="40"/>
              <w:ind w:end="0"/>
              <w:jc w:val="center"/>
              <w:rPr/>
            </w:pPr>
            <w:r>
              <w:rPr/>
              <w:t>500</w:t>
            </w:r>
            <w:r>
              <w:rPr>
                <w:rtl w:val="true"/>
              </w:rPr>
              <w:t>ر</w:t>
            </w:r>
            <w:r>
              <w:rPr/>
              <w:t>1</w:t>
            </w:r>
          </w:p>
        </w:tc>
      </w:tr>
      <w:tr>
        <w:trPr/>
        <w:tc>
          <w:tcPr>
            <w:tcW w:w="4440" w:type="dxa"/>
            <w:tcBorders/>
          </w:tcPr>
          <w:p>
            <w:pPr>
              <w:pStyle w:val="JadvalMatn"/>
              <w:spacing w:before="0" w:after="40"/>
              <w:ind w:end="0"/>
              <w:jc w:val="start"/>
              <w:rPr/>
            </w:pPr>
            <w:r>
              <w:rPr>
                <w:rtl w:val="true"/>
              </w:rPr>
              <w:t xml:space="preserve">داراييهاي ثابت مشهود </w:t>
            </w:r>
            <w:r>
              <w:rPr>
                <w:rtl w:val="true"/>
              </w:rPr>
              <w:t>(</w:t>
            </w:r>
            <w:r>
              <w:rPr>
                <w:rtl w:val="true"/>
              </w:rPr>
              <w:t>به مبلغ تجديدارزيابي شده</w:t>
            </w:r>
            <w:r>
              <w:rPr>
                <w:rtl w:val="true"/>
              </w:rPr>
              <w:t>)</w:t>
            </w:r>
          </w:p>
        </w:tc>
        <w:tc>
          <w:tcPr>
            <w:tcW w:w="2040" w:type="dxa"/>
            <w:tcBorders/>
          </w:tcPr>
          <w:p>
            <w:pPr>
              <w:pStyle w:val="JadvalNumL13"/>
              <w:spacing w:before="0" w:after="40"/>
              <w:ind w:end="0"/>
              <w:jc w:val="center"/>
              <w:rPr/>
            </w:pPr>
            <w:r>
              <w:rPr/>
              <w:t>600</w:t>
            </w:r>
            <w:r>
              <w:rPr>
                <w:rtl w:val="true"/>
              </w:rPr>
              <w:t>ر</w:t>
            </w:r>
            <w:r>
              <w:rPr/>
              <w:t>4</w:t>
            </w:r>
          </w:p>
        </w:tc>
        <w:tc>
          <w:tcPr>
            <w:tcW w:w="2148" w:type="dxa"/>
            <w:tcBorders/>
          </w:tcPr>
          <w:p>
            <w:pPr>
              <w:pStyle w:val="JadvalNumL13"/>
              <w:spacing w:before="0" w:after="40"/>
              <w:ind w:end="0"/>
              <w:jc w:val="center"/>
              <w:rPr/>
            </w:pPr>
            <w:r>
              <w:rPr/>
              <w:t>000</w:t>
            </w:r>
            <w:r>
              <w:rPr>
                <w:rtl w:val="true"/>
              </w:rPr>
              <w:t>ر</w:t>
            </w:r>
            <w:r>
              <w:rPr/>
              <w:t>4</w:t>
            </w:r>
          </w:p>
        </w:tc>
      </w:tr>
      <w:tr>
        <w:trPr/>
        <w:tc>
          <w:tcPr>
            <w:tcW w:w="4440" w:type="dxa"/>
            <w:tcBorders/>
          </w:tcPr>
          <w:p>
            <w:pPr>
              <w:pStyle w:val="JadvalMatn"/>
              <w:spacing w:before="0" w:after="40"/>
              <w:ind w:end="0"/>
              <w:jc w:val="start"/>
              <w:rPr/>
            </w:pPr>
            <w:r>
              <w:rPr>
                <w:rtl w:val="true"/>
              </w:rPr>
              <w:t xml:space="preserve">داراييهاي ثابت مشهود </w:t>
            </w:r>
            <w:r>
              <w:rPr>
                <w:rtl w:val="true"/>
              </w:rPr>
              <w:t>(</w:t>
            </w:r>
            <w:r>
              <w:rPr>
                <w:rtl w:val="true"/>
              </w:rPr>
              <w:t>به بهاي تمام شده تاريخي</w:t>
            </w:r>
            <w:r>
              <w:rPr>
                <w:rtl w:val="true"/>
              </w:rPr>
              <w:t>)</w:t>
            </w:r>
          </w:p>
        </w:tc>
        <w:tc>
          <w:tcPr>
            <w:tcW w:w="2040" w:type="dxa"/>
            <w:tcBorders/>
          </w:tcPr>
          <w:p>
            <w:pPr>
              <w:pStyle w:val="JadvalNumL13"/>
              <w:spacing w:before="0" w:after="40"/>
              <w:ind w:end="0"/>
              <w:jc w:val="center"/>
              <w:rPr/>
            </w:pPr>
            <w:r>
              <w:rPr/>
              <w:t>700</w:t>
            </w:r>
            <w:r>
              <w:rPr>
                <w:rtl w:val="true"/>
              </w:rPr>
              <w:t>ر</w:t>
            </w:r>
            <w:r>
              <w:rPr/>
              <w:t>5</w:t>
            </w:r>
          </w:p>
        </w:tc>
        <w:tc>
          <w:tcPr>
            <w:tcW w:w="2148" w:type="dxa"/>
            <w:tcBorders/>
          </w:tcPr>
          <w:p>
            <w:pPr>
              <w:pStyle w:val="JadvalNumL13"/>
              <w:spacing w:before="0" w:after="40"/>
              <w:ind w:end="0"/>
              <w:jc w:val="center"/>
              <w:rPr/>
            </w:pPr>
            <w:r>
              <w:rPr/>
              <w:t>700</w:t>
            </w:r>
            <w:r>
              <w:rPr>
                <w:rtl w:val="true"/>
              </w:rPr>
              <w:t>ر</w:t>
            </w:r>
            <w:r>
              <w:rPr/>
              <w:t>5</w:t>
            </w:r>
          </w:p>
        </w:tc>
      </w:tr>
      <w:tr>
        <w:trPr/>
        <w:tc>
          <w:tcPr>
            <w:tcW w:w="4440" w:type="dxa"/>
            <w:tcBorders/>
          </w:tcPr>
          <w:p>
            <w:pPr>
              <w:pStyle w:val="JadvalMatn"/>
              <w:spacing w:before="0" w:after="40"/>
              <w:ind w:end="0"/>
              <w:jc w:val="start"/>
              <w:rPr/>
            </w:pPr>
            <w:r>
              <w:rPr>
                <w:rtl w:val="true"/>
              </w:rPr>
              <w:t>موجودي کالا</w:t>
            </w:r>
          </w:p>
        </w:tc>
        <w:tc>
          <w:tcPr>
            <w:tcW w:w="2040" w:type="dxa"/>
            <w:tcBorders/>
          </w:tcPr>
          <w:p>
            <w:pPr>
              <w:pStyle w:val="JadvalNumL13"/>
              <w:spacing w:before="0" w:after="40"/>
              <w:ind w:end="0"/>
              <w:jc w:val="center"/>
              <w:rPr/>
            </w:pPr>
            <w:r>
              <w:rPr/>
              <w:t>400</w:t>
            </w:r>
            <w:r>
              <w:rPr>
                <w:rtl w:val="true"/>
              </w:rPr>
              <w:t>ر</w:t>
            </w:r>
            <w:r>
              <w:rPr/>
              <w:t>2</w:t>
            </w:r>
          </w:p>
        </w:tc>
        <w:tc>
          <w:tcPr>
            <w:tcW w:w="2148" w:type="dxa"/>
            <w:tcBorders/>
          </w:tcPr>
          <w:p>
            <w:pPr>
              <w:pStyle w:val="JadvalNumL13"/>
              <w:spacing w:before="0" w:after="40"/>
              <w:ind w:end="0"/>
              <w:jc w:val="center"/>
              <w:rPr/>
            </w:pPr>
            <w:r>
              <w:rPr/>
              <w:t>200</w:t>
            </w:r>
            <w:r>
              <w:rPr>
                <w:rtl w:val="true"/>
              </w:rPr>
              <w:t>ر</w:t>
            </w:r>
            <w:r>
              <w:rPr/>
              <w:t>2</w:t>
            </w:r>
          </w:p>
        </w:tc>
      </w:tr>
      <w:tr>
        <w:trPr/>
        <w:tc>
          <w:tcPr>
            <w:tcW w:w="4440" w:type="dxa"/>
            <w:tcBorders/>
          </w:tcPr>
          <w:p>
            <w:pPr>
              <w:pStyle w:val="JadvalMatn"/>
              <w:spacing w:before="0" w:after="40"/>
              <w:ind w:end="0"/>
              <w:jc w:val="start"/>
              <w:rPr/>
            </w:pPr>
            <w:r>
              <w:rPr>
                <w:rtl w:val="true"/>
              </w:rPr>
              <w:t>سرمايه‌گذاريهاي جاري</w:t>
            </w:r>
          </w:p>
        </w:tc>
        <w:tc>
          <w:tcPr>
            <w:tcW w:w="2040" w:type="dxa"/>
            <w:tcBorders/>
          </w:tcPr>
          <w:p>
            <w:pPr>
              <w:pStyle w:val="JadvalNumL13"/>
              <w:pBdr>
                <w:bottom w:val="single" w:sz="4" w:space="1" w:color="000000"/>
              </w:pBdr>
              <w:spacing w:before="0" w:after="40"/>
              <w:ind w:start="567" w:end="567"/>
              <w:jc w:val="center"/>
              <w:rPr/>
            </w:pPr>
            <w:r>
              <w:rPr/>
              <w:t>800</w:t>
            </w:r>
            <w:r>
              <w:rPr>
                <w:rtl w:val="true"/>
              </w:rPr>
              <w:t>ر</w:t>
            </w:r>
            <w:r>
              <w:rPr/>
              <w:t>1</w:t>
            </w:r>
          </w:p>
        </w:tc>
        <w:tc>
          <w:tcPr>
            <w:tcW w:w="2148" w:type="dxa"/>
            <w:tcBorders/>
          </w:tcPr>
          <w:p>
            <w:pPr>
              <w:pStyle w:val="JadvalNumL13"/>
              <w:pBdr>
                <w:bottom w:val="single" w:sz="4" w:space="1" w:color="000000"/>
              </w:pBdr>
              <w:spacing w:before="0" w:after="40"/>
              <w:ind w:start="567" w:end="567"/>
              <w:jc w:val="center"/>
              <w:rPr/>
            </w:pPr>
            <w:r>
              <w:rPr/>
              <w:t>500</w:t>
            </w:r>
            <w:r>
              <w:rPr>
                <w:rtl w:val="true"/>
              </w:rPr>
              <w:t>ر</w:t>
            </w:r>
            <w:r>
              <w:rPr/>
              <w:t>1</w:t>
            </w:r>
          </w:p>
        </w:tc>
      </w:tr>
      <w:tr>
        <w:trPr/>
        <w:tc>
          <w:tcPr>
            <w:tcW w:w="4440" w:type="dxa"/>
            <w:tcBorders/>
          </w:tcPr>
          <w:p>
            <w:pPr>
              <w:pStyle w:val="JadvalMatn"/>
              <w:spacing w:before="0" w:after="40"/>
              <w:ind w:end="0"/>
              <w:jc w:val="start"/>
              <w:rPr/>
            </w:pPr>
            <w:r>
              <w:rPr>
                <w:rtl w:val="true"/>
              </w:rPr>
              <w:t>جمع</w:t>
            </w:r>
          </w:p>
        </w:tc>
        <w:tc>
          <w:tcPr>
            <w:tcW w:w="2040" w:type="dxa"/>
            <w:tcBorders/>
          </w:tcPr>
          <w:p>
            <w:pPr>
              <w:pStyle w:val="JadvalNumL13"/>
              <w:pBdr>
                <w:bottom w:val="double" w:sz="6" w:space="1" w:color="000000"/>
              </w:pBdr>
              <w:spacing w:before="0" w:after="40"/>
              <w:ind w:start="567" w:end="567"/>
              <w:jc w:val="center"/>
              <w:rPr/>
            </w:pPr>
            <w:r>
              <w:rPr/>
              <w:t>000</w:t>
            </w:r>
            <w:r>
              <w:rPr>
                <w:rtl w:val="true"/>
              </w:rPr>
              <w:t>ر</w:t>
            </w:r>
            <w:r>
              <w:rPr/>
              <w:t>16</w:t>
            </w:r>
          </w:p>
        </w:tc>
        <w:tc>
          <w:tcPr>
            <w:tcW w:w="2148" w:type="dxa"/>
            <w:tcBorders/>
          </w:tcPr>
          <w:p>
            <w:pPr>
              <w:pStyle w:val="JadvalNumL13"/>
              <w:pBdr>
                <w:bottom w:val="double" w:sz="6" w:space="1" w:color="000000"/>
              </w:pBdr>
              <w:spacing w:before="0" w:after="40"/>
              <w:ind w:start="567" w:end="567"/>
              <w:jc w:val="center"/>
              <w:rPr/>
            </w:pPr>
            <w:r>
              <w:rPr/>
              <w:t>900</w:t>
            </w:r>
            <w:r>
              <w:rPr>
                <w:rtl w:val="true"/>
              </w:rPr>
              <w:t>ر</w:t>
            </w:r>
            <w:r>
              <w:rPr/>
              <w:t>14</w:t>
            </w:r>
          </w:p>
        </w:tc>
      </w:tr>
    </w:tbl>
    <w:p>
      <w:pPr>
        <w:pStyle w:val="Fa12"/>
        <w:ind w:end="0"/>
        <w:jc w:val="both"/>
        <w:rPr/>
      </w:pPr>
      <w:r>
        <w:rPr>
          <w:rtl w:val="true"/>
        </w:rPr>
      </w:r>
    </w:p>
    <w:p>
      <w:pPr>
        <w:pStyle w:val="Matn"/>
        <w:ind w:end="0"/>
        <w:jc w:val="both"/>
        <w:rPr/>
      </w:pPr>
      <w:r>
        <w:rPr>
          <w:rtl w:val="true"/>
        </w:rPr>
        <w:t>واحد تجاري بلافاصله قبل از طبقه‌بندي مجموعه‌ واحد به</w:t>
      </w:r>
      <w:r>
        <w:rPr>
          <w:rFonts w:cs="Times New Roman"/>
          <w:rtl w:val="true"/>
        </w:rPr>
        <w:t> </w:t>
      </w:r>
      <w:r>
        <w:rPr>
          <w:rtl w:val="true"/>
        </w:rPr>
        <w:t xml:space="preserve">عنوان نگهداري شده براي فروش زياني معادل </w:t>
      </w:r>
      <w:r>
        <w:rPr/>
        <w:t>100</w:t>
      </w:r>
      <w:r>
        <w:rPr>
          <w:rtl w:val="true"/>
        </w:rPr>
        <w:t>ر</w:t>
      </w:r>
      <w:r>
        <w:rPr/>
        <w:t>1</w:t>
      </w:r>
      <w:r>
        <w:rPr>
          <w:rtl w:val="true"/>
        </w:rPr>
        <w:t xml:space="preserve"> </w:t>
      </w:r>
      <w:r>
        <w:rPr>
          <w:rtl w:val="true"/>
        </w:rPr>
        <w:t xml:space="preserve">ميليون ريال </w:t>
      </w:r>
      <w:r>
        <w:rPr>
          <w:rtl w:val="true"/>
        </w:rPr>
        <w:t>(</w:t>
      </w:r>
      <w:r>
        <w:rPr/>
        <w:t>900</w:t>
      </w:r>
      <w:r>
        <w:rPr>
          <w:rtl w:val="true"/>
        </w:rPr>
        <w:t>ر</w:t>
      </w:r>
      <w:r>
        <w:rPr/>
        <w:t>14</w:t>
      </w:r>
      <w:r>
        <w:rPr>
          <w:rtl w:val="true"/>
        </w:rPr>
        <w:t>-</w:t>
      </w:r>
      <w:r>
        <w:rPr/>
        <w:t>000</w:t>
      </w:r>
      <w:r>
        <w:rPr>
          <w:rtl w:val="true"/>
        </w:rPr>
        <w:t>ر</w:t>
      </w:r>
      <w:r>
        <w:rPr/>
        <w:t>16</w:t>
      </w:r>
      <w:r>
        <w:rPr>
          <w:rtl w:val="true"/>
        </w:rPr>
        <w:t xml:space="preserve">) </w:t>
      </w:r>
      <w:r>
        <w:rPr>
          <w:rtl w:val="true"/>
        </w:rPr>
        <w:t>شناسايي مي‌کند</w:t>
      </w:r>
      <w:r>
        <w:rPr>
          <w:rtl w:val="true"/>
        </w:rPr>
        <w:t>.</w:t>
      </w:r>
    </w:p>
    <w:p>
      <w:pPr>
        <w:pStyle w:val="Matn"/>
        <w:ind w:end="0"/>
        <w:jc w:val="both"/>
        <w:rPr/>
      </w:pPr>
      <w:r>
        <w:rPr>
          <w:rtl w:val="true"/>
        </w:rPr>
        <w:t xml:space="preserve">واحد تجاري، خالص ارزش فروش مجموعه واحد را معادل </w:t>
      </w:r>
      <w:r>
        <w:rPr/>
        <w:t>000</w:t>
      </w:r>
      <w:r>
        <w:rPr>
          <w:rtl w:val="true"/>
        </w:rPr>
        <w:t>ر</w:t>
      </w:r>
      <w:r>
        <w:rPr/>
        <w:t>13</w:t>
      </w:r>
      <w:r>
        <w:rPr>
          <w:rtl w:val="true"/>
        </w:rPr>
        <w:t xml:space="preserve"> </w:t>
      </w:r>
      <w:r>
        <w:rPr>
          <w:rtl w:val="true"/>
        </w:rPr>
        <w:t>ميليون ريال برآورد کرده است</w:t>
      </w:r>
      <w:r>
        <w:rPr>
          <w:rtl w:val="true"/>
        </w:rPr>
        <w:t xml:space="preserve">. </w:t>
      </w:r>
      <w:r>
        <w:rPr>
          <w:rtl w:val="true"/>
        </w:rPr>
        <w:t>از آنجا که واحد تجاري بايد مجموعه واحد طبقه‌بندي شده به</w:t>
      </w:r>
      <w:r>
        <w:rPr>
          <w:rFonts w:cs="Times New Roman"/>
          <w:rtl w:val="true"/>
        </w:rPr>
        <w:t> </w:t>
      </w:r>
      <w:r>
        <w:rPr>
          <w:rtl w:val="true"/>
        </w:rPr>
        <w:t xml:space="preserve">عنوان نگهداري شده براي فروش را به اقل مبلغ دفتري و خالص ارزش فروش اندازه‌گيري کند، زيان کاهش ارزشي معادل </w:t>
      </w:r>
      <w:r>
        <w:rPr/>
        <w:t>900</w:t>
      </w:r>
      <w:r>
        <w:rPr>
          <w:rtl w:val="true"/>
        </w:rPr>
        <w:t>ر</w:t>
      </w:r>
      <w:r>
        <w:rPr/>
        <w:t>1</w:t>
      </w:r>
      <w:r>
        <w:rPr>
          <w:rtl w:val="true"/>
        </w:rPr>
        <w:t xml:space="preserve"> </w:t>
      </w:r>
      <w:r>
        <w:rPr>
          <w:rtl w:val="true"/>
        </w:rPr>
        <w:t xml:space="preserve">ميليون ريال </w:t>
      </w:r>
      <w:r>
        <w:rPr>
          <w:rtl w:val="true"/>
        </w:rPr>
        <w:t>(</w:t>
      </w:r>
      <w:r>
        <w:rPr/>
        <w:t>000</w:t>
      </w:r>
      <w:r>
        <w:rPr>
          <w:rtl w:val="true"/>
        </w:rPr>
        <w:t>ر</w:t>
      </w:r>
      <w:r>
        <w:rPr/>
        <w:t>13</w:t>
      </w:r>
      <w:r>
        <w:rPr>
          <w:rtl w:val="true"/>
        </w:rPr>
        <w:t>-</w:t>
      </w:r>
      <w:r>
        <w:rPr/>
        <w:t>900</w:t>
      </w:r>
      <w:r>
        <w:rPr>
          <w:rtl w:val="true"/>
        </w:rPr>
        <w:t>ر</w:t>
      </w:r>
      <w:r>
        <w:rPr/>
        <w:t>14</w:t>
      </w:r>
      <w:r>
        <w:rPr>
          <w:rtl w:val="true"/>
        </w:rPr>
        <w:t xml:space="preserve">) </w:t>
      </w:r>
      <w:r>
        <w:rPr>
          <w:rtl w:val="true"/>
        </w:rPr>
        <w:t>در زمان طبقه‌بندي اوليه اين مجموعه به</w:t>
      </w:r>
      <w:r>
        <w:rPr>
          <w:rFonts w:cs="Times New Roman"/>
          <w:rtl w:val="true"/>
        </w:rPr>
        <w:t> </w:t>
      </w:r>
      <w:r>
        <w:rPr>
          <w:rtl w:val="true"/>
        </w:rPr>
        <w:t>عنوان نگهداري شده براي فروش، شناسايي مي‌کند</w:t>
      </w:r>
      <w:r>
        <w:rPr>
          <w:rtl w:val="true"/>
        </w:rPr>
        <w:t>.</w:t>
      </w:r>
    </w:p>
    <w:p>
      <w:pPr>
        <w:pStyle w:val="Matn"/>
        <w:ind w:end="0"/>
        <w:jc w:val="both"/>
        <w:rPr/>
      </w:pPr>
      <w:r>
        <w:rPr>
          <w:rtl w:val="true"/>
        </w:rPr>
        <w:t>زيان کاهش ارزش به داراييهاي غيرجاري مشمول دامنه کاربرد الزامات اندازه‌گيري استاندارد تخصيص مي‌يابد</w:t>
      </w:r>
      <w:r>
        <w:rPr>
          <w:rtl w:val="true"/>
        </w:rPr>
        <w:t xml:space="preserve">. </w:t>
      </w:r>
      <w:r>
        <w:rPr>
          <w:rtl w:val="true"/>
        </w:rPr>
        <w:t>بنابراين، زيان کاهش ارزش به موجودي کالا و سرمايه‌گذاريهاي جاري تخصيص نمي‌يابد</w:t>
      </w:r>
      <w:r>
        <w:rPr>
          <w:rtl w:val="true"/>
        </w:rPr>
        <w:t>.</w:t>
      </w:r>
    </w:p>
    <w:p>
      <w:pPr>
        <w:pStyle w:val="Matn"/>
        <w:ind w:end="0"/>
        <w:jc w:val="both"/>
        <w:rPr/>
      </w:pPr>
      <w:r>
        <w:rPr>
          <w:rtl w:val="true"/>
        </w:rPr>
        <w:t>نحوه تخصيص زيان کاهش ارزش به</w:t>
      </w:r>
      <w:r>
        <w:rPr>
          <w:rFonts w:cs="Times New Roman"/>
          <w:rtl w:val="true"/>
        </w:rPr>
        <w:t> </w:t>
      </w:r>
      <w:r>
        <w:rPr>
          <w:rtl w:val="true"/>
        </w:rPr>
        <w:t>شرح</w:t>
      </w:r>
      <w:r>
        <w:rPr>
          <w:rtl w:val="true"/>
        </w:rPr>
        <w:t xml:space="preserve"> زير است</w:t>
      </w:r>
      <w:r>
        <w:rPr>
          <w:rtl w:val="true"/>
        </w:rPr>
        <w:t>:</w:t>
      </w:r>
    </w:p>
    <w:tbl>
      <w:tblPr>
        <w:bidiVisual w:val="true"/>
        <w:tblW w:w="8770" w:type="dxa"/>
        <w:jc w:val="end"/>
        <w:tblInd w:w="0" w:type="dxa"/>
        <w:tblLayout w:type="fixed"/>
        <w:tblCellMar>
          <w:top w:w="0" w:type="dxa"/>
          <w:start w:w="108" w:type="dxa"/>
          <w:bottom w:w="0" w:type="dxa"/>
          <w:end w:w="108" w:type="dxa"/>
        </w:tblCellMar>
      </w:tblPr>
      <w:tblGrid>
        <w:gridCol w:w="4172"/>
        <w:gridCol w:w="2160"/>
        <w:gridCol w:w="1191"/>
        <w:gridCol w:w="1247"/>
      </w:tblGrid>
      <w:tr>
        <w:trPr>
          <w:trHeight w:val="970" w:hRule="atLeast"/>
        </w:trPr>
        <w:tc>
          <w:tcPr>
            <w:tcW w:w="4172" w:type="dxa"/>
            <w:tcBorders/>
          </w:tcPr>
          <w:p>
            <w:pPr>
              <w:pStyle w:val="JadvalTitreNazanin"/>
              <w:pBdr>
                <w:bottom w:val="nil"/>
              </w:pBdr>
              <w:snapToGrid w:val="false"/>
              <w:spacing w:before="0" w:after="120"/>
              <w:ind w:end="-57"/>
              <w:jc w:val="center"/>
              <w:rPr/>
            </w:pPr>
            <w:r>
              <w:rPr>
                <w:rtl w:val="true"/>
              </w:rPr>
            </w:r>
          </w:p>
        </w:tc>
        <w:tc>
          <w:tcPr>
            <w:tcW w:w="2160" w:type="dxa"/>
            <w:tcBorders/>
            <w:vAlign w:val="bottom"/>
          </w:tcPr>
          <w:p>
            <w:pPr>
              <w:pStyle w:val="JadvalTitreNazanin"/>
              <w:pBdr>
                <w:bottom w:val="single" w:sz="8" w:space="1" w:color="000000"/>
              </w:pBdr>
              <w:spacing w:before="0" w:after="120"/>
              <w:ind w:end="-57"/>
              <w:jc w:val="center"/>
              <w:rPr/>
            </w:pPr>
            <w:r>
              <w:rPr>
                <w:rtl w:val="true"/>
              </w:rPr>
              <w:t>مبلغ دفتري تجديد اندازه‌گيري شده بلافاصله قبل از طبقه‌بندي به عنوان نگهداري شده براي فروش</w:t>
            </w:r>
          </w:p>
        </w:tc>
        <w:tc>
          <w:tcPr>
            <w:tcW w:w="1191" w:type="dxa"/>
            <w:tcBorders/>
            <w:vAlign w:val="bottom"/>
          </w:tcPr>
          <w:p>
            <w:pPr>
              <w:pStyle w:val="JadvalTitreNazanin"/>
              <w:pBdr>
                <w:bottom w:val="single" w:sz="8" w:space="1" w:color="000000"/>
              </w:pBdr>
              <w:spacing w:before="0" w:after="120"/>
              <w:ind w:end="-57"/>
              <w:jc w:val="center"/>
              <w:rPr/>
            </w:pPr>
            <w:r>
              <w:rPr>
                <w:rtl w:val="true"/>
              </w:rPr>
              <w:t>زيان کاهش ارزش تخصيص يافته</w:t>
            </w:r>
          </w:p>
        </w:tc>
        <w:tc>
          <w:tcPr>
            <w:tcW w:w="1247" w:type="dxa"/>
            <w:tcBorders/>
            <w:vAlign w:val="bottom"/>
          </w:tcPr>
          <w:p>
            <w:pPr>
              <w:pStyle w:val="JadvalTitreNazanin"/>
              <w:pBdr>
                <w:bottom w:val="single" w:sz="8" w:space="1" w:color="000000"/>
              </w:pBdr>
              <w:spacing w:before="0" w:after="120"/>
              <w:ind w:end="-57"/>
              <w:jc w:val="center"/>
              <w:rPr/>
            </w:pPr>
            <w:r>
              <w:rPr>
                <w:rtl w:val="true"/>
              </w:rPr>
              <w:t>مبلغ دفتري پس از تخصيص زيان کاهش ارزش</w:t>
            </w:r>
          </w:p>
        </w:tc>
      </w:tr>
      <w:tr>
        <w:trPr/>
        <w:tc>
          <w:tcPr>
            <w:tcW w:w="4172" w:type="dxa"/>
            <w:tcBorders/>
          </w:tcPr>
          <w:p>
            <w:pPr>
              <w:pStyle w:val="Rial"/>
              <w:snapToGrid w:val="false"/>
              <w:spacing w:before="0" w:after="40"/>
              <w:ind w:end="0"/>
              <w:jc w:val="center"/>
              <w:rPr/>
            </w:pPr>
            <w:r>
              <w:rPr>
                <w:rFonts w:cs="B Lotus"/>
                <w:rtl w:val="true"/>
              </w:rPr>
            </w:r>
          </w:p>
        </w:tc>
        <w:tc>
          <w:tcPr>
            <w:tcW w:w="2160" w:type="dxa"/>
            <w:tcBorders/>
          </w:tcPr>
          <w:p>
            <w:pPr>
              <w:pStyle w:val="Rial"/>
              <w:spacing w:before="0" w:after="40"/>
              <w:ind w:end="0"/>
              <w:jc w:val="center"/>
              <w:rPr/>
            </w:pPr>
            <w:r>
              <w:rPr>
                <w:rtl w:val="true"/>
              </w:rPr>
              <w:t>ميليون ريال</w:t>
            </w:r>
          </w:p>
        </w:tc>
        <w:tc>
          <w:tcPr>
            <w:tcW w:w="1191" w:type="dxa"/>
            <w:tcBorders/>
          </w:tcPr>
          <w:p>
            <w:pPr>
              <w:pStyle w:val="Rial"/>
              <w:spacing w:before="0" w:after="40"/>
              <w:ind w:end="0"/>
              <w:jc w:val="center"/>
              <w:rPr/>
            </w:pPr>
            <w:r>
              <w:rPr>
                <w:rtl w:val="true"/>
              </w:rPr>
              <w:t>ميليون ريال</w:t>
            </w:r>
          </w:p>
        </w:tc>
        <w:tc>
          <w:tcPr>
            <w:tcW w:w="1247" w:type="dxa"/>
            <w:tcBorders/>
          </w:tcPr>
          <w:p>
            <w:pPr>
              <w:pStyle w:val="Rial"/>
              <w:spacing w:before="0" w:after="40"/>
              <w:ind w:end="0"/>
              <w:jc w:val="center"/>
              <w:rPr/>
            </w:pPr>
            <w:r>
              <w:rPr>
                <w:rtl w:val="true"/>
              </w:rPr>
              <w:t>ميليون ريال</w:t>
            </w:r>
          </w:p>
        </w:tc>
      </w:tr>
      <w:tr>
        <w:trPr/>
        <w:tc>
          <w:tcPr>
            <w:tcW w:w="4172" w:type="dxa"/>
            <w:tcBorders/>
          </w:tcPr>
          <w:p>
            <w:pPr>
              <w:pStyle w:val="Rial"/>
              <w:snapToGrid w:val="false"/>
              <w:spacing w:before="0" w:after="40"/>
              <w:ind w:end="0"/>
              <w:jc w:val="center"/>
              <w:rPr>
                <w:sz w:val="2"/>
                <w:szCs w:val="6"/>
              </w:rPr>
            </w:pPr>
            <w:r>
              <w:rPr>
                <w:rFonts w:cs="B Lotus"/>
                <w:sz w:val="2"/>
                <w:szCs w:val="6"/>
                <w:rtl w:val="true"/>
              </w:rPr>
            </w:r>
          </w:p>
        </w:tc>
        <w:tc>
          <w:tcPr>
            <w:tcW w:w="2160" w:type="dxa"/>
            <w:tcBorders/>
          </w:tcPr>
          <w:p>
            <w:pPr>
              <w:pStyle w:val="Rial"/>
              <w:snapToGrid w:val="false"/>
              <w:spacing w:before="0" w:after="40"/>
              <w:ind w:end="0"/>
              <w:jc w:val="center"/>
              <w:rPr>
                <w:sz w:val="2"/>
                <w:szCs w:val="6"/>
              </w:rPr>
            </w:pPr>
            <w:r>
              <w:rPr>
                <w:sz w:val="2"/>
                <w:szCs w:val="6"/>
                <w:rtl w:val="true"/>
              </w:rPr>
            </w:r>
          </w:p>
        </w:tc>
        <w:tc>
          <w:tcPr>
            <w:tcW w:w="1191" w:type="dxa"/>
            <w:tcBorders/>
          </w:tcPr>
          <w:p>
            <w:pPr>
              <w:pStyle w:val="Rial"/>
              <w:snapToGrid w:val="false"/>
              <w:spacing w:before="0" w:after="40"/>
              <w:ind w:end="0"/>
              <w:jc w:val="center"/>
              <w:rPr>
                <w:sz w:val="2"/>
                <w:szCs w:val="6"/>
              </w:rPr>
            </w:pPr>
            <w:r>
              <w:rPr>
                <w:sz w:val="2"/>
                <w:szCs w:val="6"/>
                <w:rtl w:val="true"/>
              </w:rPr>
            </w:r>
          </w:p>
        </w:tc>
        <w:tc>
          <w:tcPr>
            <w:tcW w:w="1247" w:type="dxa"/>
            <w:tcBorders/>
          </w:tcPr>
          <w:p>
            <w:pPr>
              <w:pStyle w:val="Rial"/>
              <w:snapToGrid w:val="false"/>
              <w:spacing w:before="0" w:after="40"/>
              <w:ind w:end="0"/>
              <w:jc w:val="center"/>
              <w:rPr>
                <w:sz w:val="2"/>
                <w:szCs w:val="6"/>
              </w:rPr>
            </w:pPr>
            <w:r>
              <w:rPr>
                <w:sz w:val="2"/>
                <w:szCs w:val="6"/>
                <w:rtl w:val="true"/>
              </w:rPr>
            </w:r>
          </w:p>
        </w:tc>
      </w:tr>
      <w:tr>
        <w:trPr/>
        <w:tc>
          <w:tcPr>
            <w:tcW w:w="4172" w:type="dxa"/>
            <w:tcBorders/>
          </w:tcPr>
          <w:p>
            <w:pPr>
              <w:pStyle w:val="JadvalMatn"/>
              <w:spacing w:before="0" w:after="0"/>
              <w:ind w:end="0"/>
              <w:jc w:val="start"/>
              <w:rPr/>
            </w:pPr>
            <w:r>
              <w:rPr>
                <w:rtl w:val="true"/>
              </w:rPr>
              <w:t>سرقفلي</w:t>
            </w:r>
          </w:p>
        </w:tc>
        <w:tc>
          <w:tcPr>
            <w:tcW w:w="2160" w:type="dxa"/>
            <w:tcBorders/>
          </w:tcPr>
          <w:p>
            <w:pPr>
              <w:pStyle w:val="Normal"/>
              <w:ind w:start="510" w:end="340"/>
              <w:jc w:val="start"/>
              <w:rPr>
                <w:rFonts w:cs="B Lotus"/>
                <w:szCs w:val="26"/>
              </w:rPr>
            </w:pPr>
            <w:r>
              <w:rPr>
                <w:rFonts w:cs="B Lotus"/>
                <w:szCs w:val="26"/>
              </w:rPr>
              <w:t>500</w:t>
            </w:r>
            <w:r>
              <w:rPr>
                <w:rFonts w:cs="B Lotus"/>
                <w:szCs w:val="26"/>
                <w:rtl w:val="true"/>
              </w:rPr>
              <w:t>ر</w:t>
            </w:r>
            <w:r>
              <w:rPr>
                <w:rFonts w:cs="B Lotus"/>
                <w:szCs w:val="26"/>
              </w:rPr>
              <w:t>1</w:t>
            </w:r>
          </w:p>
        </w:tc>
        <w:tc>
          <w:tcPr>
            <w:tcW w:w="1191" w:type="dxa"/>
            <w:tcBorders/>
          </w:tcPr>
          <w:p>
            <w:pPr>
              <w:pStyle w:val="Normal"/>
              <w:ind w:start="113" w:end="113"/>
              <w:jc w:val="start"/>
              <w:rPr>
                <w:rFonts w:cs="B Lotus"/>
                <w:szCs w:val="26"/>
              </w:rPr>
            </w:pPr>
            <w:r>
              <w:rPr>
                <w:rFonts w:cs="B Lotus"/>
                <w:szCs w:val="26"/>
                <w:rtl w:val="true"/>
              </w:rPr>
              <w:t>(</w:t>
            </w:r>
            <w:r>
              <w:rPr>
                <w:rFonts w:cs="B Lotus"/>
                <w:szCs w:val="26"/>
              </w:rPr>
              <w:t>500</w:t>
            </w:r>
            <w:r>
              <w:rPr>
                <w:rFonts w:cs="B Lotus"/>
                <w:szCs w:val="26"/>
                <w:rtl w:val="true"/>
              </w:rPr>
              <w:t>ر</w:t>
            </w:r>
            <w:r>
              <w:rPr>
                <w:rFonts w:cs="B Lotus"/>
                <w:szCs w:val="26"/>
              </w:rPr>
              <w:t>1</w:t>
            </w:r>
            <w:r>
              <w:rPr>
                <w:rFonts w:cs="B Lotus"/>
                <w:szCs w:val="26"/>
                <w:rtl w:val="true"/>
              </w:rPr>
              <w:t>)</w:t>
            </w:r>
          </w:p>
        </w:tc>
        <w:tc>
          <w:tcPr>
            <w:tcW w:w="1247" w:type="dxa"/>
            <w:tcBorders/>
          </w:tcPr>
          <w:p>
            <w:pPr>
              <w:pStyle w:val="Normal"/>
              <w:ind w:start="170" w:end="170"/>
              <w:jc w:val="center"/>
              <w:rPr>
                <w:rFonts w:cs="B Lotus"/>
                <w:szCs w:val="26"/>
              </w:rPr>
            </w:pPr>
            <w:r>
              <w:rPr>
                <w:rFonts w:cs="B Lotus"/>
                <w:szCs w:val="26"/>
              </w:rPr>
              <w:t>0</w:t>
            </w:r>
          </w:p>
        </w:tc>
      </w:tr>
      <w:tr>
        <w:trPr/>
        <w:tc>
          <w:tcPr>
            <w:tcW w:w="4172" w:type="dxa"/>
            <w:tcBorders/>
          </w:tcPr>
          <w:p>
            <w:pPr>
              <w:pStyle w:val="JadvalMatn"/>
              <w:spacing w:before="0" w:after="0"/>
              <w:ind w:end="0"/>
              <w:jc w:val="start"/>
              <w:rPr>
                <w:spacing w:val="-8"/>
              </w:rPr>
            </w:pPr>
            <w:r>
              <w:rPr>
                <w:spacing w:val="-8"/>
                <w:rtl w:val="true"/>
              </w:rPr>
              <w:t xml:space="preserve">داراييهاي ثابت مشهود </w:t>
            </w:r>
            <w:r>
              <w:rPr>
                <w:spacing w:val="-8"/>
                <w:rtl w:val="true"/>
              </w:rPr>
              <w:t>(</w:t>
            </w:r>
            <w:r>
              <w:rPr>
                <w:spacing w:val="-8"/>
                <w:rtl w:val="true"/>
              </w:rPr>
              <w:t>به مبلغ تجديد</w:t>
            </w:r>
            <w:r>
              <w:rPr>
                <w:rFonts w:hint="cs" w:cs="Times New Roman"/>
                <w:spacing w:val="-8"/>
                <w:rtl w:val="true"/>
              </w:rPr>
              <w:t> </w:t>
            </w:r>
            <w:r>
              <w:rPr>
                <w:rFonts w:hint="cs"/>
                <w:spacing w:val="-8"/>
                <w:rtl w:val="true"/>
              </w:rPr>
              <w:t>ارزيابي شده</w:t>
            </w:r>
            <w:r>
              <w:rPr>
                <w:rFonts w:hint="cs"/>
                <w:spacing w:val="-8"/>
                <w:rtl w:val="true"/>
              </w:rPr>
              <w:t>)</w:t>
            </w:r>
          </w:p>
        </w:tc>
        <w:tc>
          <w:tcPr>
            <w:tcW w:w="2160" w:type="dxa"/>
            <w:tcBorders/>
          </w:tcPr>
          <w:p>
            <w:pPr>
              <w:pStyle w:val="Normal"/>
              <w:ind w:start="510" w:end="340"/>
              <w:jc w:val="start"/>
              <w:rPr>
                <w:rFonts w:cs="B Lotus"/>
                <w:szCs w:val="26"/>
              </w:rPr>
            </w:pPr>
            <w:r>
              <w:rPr>
                <w:rFonts w:cs="B Lotus"/>
                <w:szCs w:val="26"/>
              </w:rPr>
              <w:t>000</w:t>
            </w:r>
            <w:r>
              <w:rPr>
                <w:rFonts w:cs="B Lotus"/>
                <w:szCs w:val="26"/>
                <w:rtl w:val="true"/>
              </w:rPr>
              <w:t>ر</w:t>
            </w:r>
            <w:r>
              <w:rPr>
                <w:rFonts w:cs="B Lotus"/>
                <w:szCs w:val="26"/>
              </w:rPr>
              <w:t>4</w:t>
            </w:r>
          </w:p>
        </w:tc>
        <w:tc>
          <w:tcPr>
            <w:tcW w:w="1191" w:type="dxa"/>
            <w:tcBorders/>
          </w:tcPr>
          <w:p>
            <w:pPr>
              <w:pStyle w:val="Normal"/>
              <w:ind w:start="113" w:end="113"/>
              <w:jc w:val="start"/>
              <w:rPr>
                <w:rFonts w:cs="B Lotus"/>
                <w:szCs w:val="26"/>
              </w:rPr>
            </w:pPr>
            <w:r>
              <w:rPr>
                <w:rFonts w:cs="B Lotus"/>
                <w:szCs w:val="26"/>
                <w:rtl w:val="true"/>
              </w:rPr>
              <w:t>(</w:t>
            </w:r>
            <w:r>
              <w:rPr>
                <w:rFonts w:cs="B Lotus"/>
                <w:szCs w:val="26"/>
              </w:rPr>
              <w:t>165</w:t>
            </w:r>
            <w:r>
              <w:rPr>
                <w:rFonts w:cs="B Lotus"/>
                <w:szCs w:val="26"/>
                <w:rtl w:val="true"/>
              </w:rPr>
              <w:t>)</w:t>
            </w:r>
          </w:p>
        </w:tc>
        <w:tc>
          <w:tcPr>
            <w:tcW w:w="1247" w:type="dxa"/>
            <w:tcBorders/>
          </w:tcPr>
          <w:p>
            <w:pPr>
              <w:pStyle w:val="Normal"/>
              <w:ind w:start="170" w:end="170"/>
              <w:jc w:val="start"/>
              <w:rPr>
                <w:rFonts w:cs="B Lotus"/>
                <w:szCs w:val="26"/>
              </w:rPr>
            </w:pPr>
            <w:r>
              <w:rPr>
                <w:rFonts w:cs="B Lotus"/>
                <w:szCs w:val="26"/>
              </w:rPr>
              <w:t>835</w:t>
            </w:r>
            <w:r>
              <w:rPr>
                <w:rFonts w:cs="B Lotus"/>
                <w:szCs w:val="26"/>
                <w:rtl w:val="true"/>
              </w:rPr>
              <w:t>ر</w:t>
            </w:r>
            <w:r>
              <w:rPr>
                <w:rFonts w:cs="B Lotus"/>
                <w:szCs w:val="26"/>
              </w:rPr>
              <w:t>3</w:t>
            </w:r>
          </w:p>
        </w:tc>
      </w:tr>
      <w:tr>
        <w:trPr/>
        <w:tc>
          <w:tcPr>
            <w:tcW w:w="4172" w:type="dxa"/>
            <w:tcBorders/>
          </w:tcPr>
          <w:p>
            <w:pPr>
              <w:pStyle w:val="JadvalMatn"/>
              <w:spacing w:before="0" w:after="0"/>
              <w:ind w:end="0"/>
              <w:jc w:val="start"/>
              <w:rPr/>
            </w:pPr>
            <w:r>
              <w:rPr>
                <w:spacing w:val="-8"/>
                <w:rtl w:val="true"/>
              </w:rPr>
              <w:t xml:space="preserve">داراييهاي ثابت مشهود </w:t>
            </w:r>
            <w:r>
              <w:rPr>
                <w:spacing w:val="-8"/>
                <w:rtl w:val="true"/>
              </w:rPr>
              <w:t>(</w:t>
            </w:r>
            <w:r>
              <w:rPr>
                <w:spacing w:val="-8"/>
                <w:rtl w:val="true"/>
              </w:rPr>
              <w:t>به بهاي تمام شده تاريخي</w:t>
            </w:r>
            <w:r>
              <w:rPr>
                <w:spacing w:val="-8"/>
                <w:rtl w:val="true"/>
              </w:rPr>
              <w:t>)</w:t>
            </w:r>
          </w:p>
        </w:tc>
        <w:tc>
          <w:tcPr>
            <w:tcW w:w="2160" w:type="dxa"/>
            <w:tcBorders/>
          </w:tcPr>
          <w:p>
            <w:pPr>
              <w:pStyle w:val="Normal"/>
              <w:ind w:start="510" w:end="340"/>
              <w:jc w:val="start"/>
              <w:rPr>
                <w:rFonts w:cs="B Lotus"/>
                <w:szCs w:val="26"/>
              </w:rPr>
            </w:pPr>
            <w:r>
              <w:rPr>
                <w:rFonts w:cs="B Lotus"/>
                <w:szCs w:val="26"/>
              </w:rPr>
              <w:t>700</w:t>
            </w:r>
            <w:r>
              <w:rPr>
                <w:rFonts w:cs="B Lotus"/>
                <w:szCs w:val="26"/>
                <w:rtl w:val="true"/>
              </w:rPr>
              <w:t>ر</w:t>
            </w:r>
            <w:r>
              <w:rPr>
                <w:rFonts w:cs="B Lotus"/>
                <w:szCs w:val="26"/>
              </w:rPr>
              <w:t>5</w:t>
            </w:r>
          </w:p>
        </w:tc>
        <w:tc>
          <w:tcPr>
            <w:tcW w:w="1191" w:type="dxa"/>
            <w:tcBorders/>
          </w:tcPr>
          <w:p>
            <w:pPr>
              <w:pStyle w:val="Normal"/>
              <w:ind w:start="113" w:end="113"/>
              <w:jc w:val="start"/>
              <w:rPr>
                <w:rFonts w:cs="B Lotus"/>
                <w:szCs w:val="26"/>
              </w:rPr>
            </w:pPr>
            <w:r>
              <w:rPr>
                <w:rFonts w:cs="B Lotus"/>
                <w:szCs w:val="26"/>
                <w:rtl w:val="true"/>
              </w:rPr>
              <w:t>(</w:t>
            </w:r>
            <w:r>
              <w:rPr>
                <w:rFonts w:cs="B Lotus"/>
                <w:szCs w:val="26"/>
              </w:rPr>
              <w:t>235</w:t>
            </w:r>
            <w:r>
              <w:rPr>
                <w:rFonts w:cs="B Lotus"/>
                <w:szCs w:val="26"/>
                <w:rtl w:val="true"/>
              </w:rPr>
              <w:t>)</w:t>
            </w:r>
          </w:p>
        </w:tc>
        <w:tc>
          <w:tcPr>
            <w:tcW w:w="1247" w:type="dxa"/>
            <w:tcBorders/>
          </w:tcPr>
          <w:p>
            <w:pPr>
              <w:pStyle w:val="Normal"/>
              <w:ind w:start="170" w:end="170"/>
              <w:jc w:val="start"/>
              <w:rPr>
                <w:rFonts w:cs="B Lotus"/>
                <w:szCs w:val="26"/>
              </w:rPr>
            </w:pPr>
            <w:r>
              <w:rPr>
                <w:rFonts w:cs="B Lotus"/>
                <w:szCs w:val="26"/>
              </w:rPr>
              <w:t>465</w:t>
            </w:r>
            <w:r>
              <w:rPr>
                <w:rFonts w:cs="B Lotus"/>
                <w:szCs w:val="26"/>
                <w:rtl w:val="true"/>
              </w:rPr>
              <w:t>ر</w:t>
            </w:r>
            <w:r>
              <w:rPr>
                <w:rFonts w:cs="B Lotus"/>
                <w:szCs w:val="26"/>
              </w:rPr>
              <w:t>5</w:t>
            </w:r>
          </w:p>
        </w:tc>
      </w:tr>
      <w:tr>
        <w:trPr/>
        <w:tc>
          <w:tcPr>
            <w:tcW w:w="4172" w:type="dxa"/>
            <w:tcBorders/>
          </w:tcPr>
          <w:p>
            <w:pPr>
              <w:pStyle w:val="JadvalMatn"/>
              <w:spacing w:before="0" w:after="0"/>
              <w:ind w:end="0"/>
              <w:jc w:val="start"/>
              <w:rPr/>
            </w:pPr>
            <w:r>
              <w:rPr>
                <w:rtl w:val="true"/>
              </w:rPr>
              <w:t>موجودي کالا</w:t>
            </w:r>
          </w:p>
        </w:tc>
        <w:tc>
          <w:tcPr>
            <w:tcW w:w="2160" w:type="dxa"/>
            <w:tcBorders/>
          </w:tcPr>
          <w:p>
            <w:pPr>
              <w:pStyle w:val="Normal"/>
              <w:ind w:start="510" w:end="340"/>
              <w:jc w:val="start"/>
              <w:rPr>
                <w:rFonts w:cs="B Lotus"/>
                <w:szCs w:val="26"/>
              </w:rPr>
            </w:pPr>
            <w:r>
              <w:rPr>
                <w:rFonts w:cs="B Lotus"/>
                <w:szCs w:val="26"/>
              </w:rPr>
              <w:t>200</w:t>
            </w:r>
            <w:r>
              <w:rPr>
                <w:rFonts w:cs="B Lotus"/>
                <w:szCs w:val="26"/>
                <w:rtl w:val="true"/>
              </w:rPr>
              <w:t>ر</w:t>
            </w:r>
            <w:r>
              <w:rPr>
                <w:rFonts w:cs="B Lotus"/>
                <w:szCs w:val="26"/>
              </w:rPr>
              <w:t>2</w:t>
            </w:r>
          </w:p>
        </w:tc>
        <w:tc>
          <w:tcPr>
            <w:tcW w:w="1191" w:type="dxa"/>
            <w:tcBorders/>
          </w:tcPr>
          <w:p>
            <w:pPr>
              <w:pStyle w:val="Normal"/>
              <w:ind w:start="113" w:end="113"/>
              <w:jc w:val="center"/>
              <w:rPr>
                <w:rFonts w:cs="B Lotus"/>
                <w:szCs w:val="26"/>
              </w:rPr>
            </w:pPr>
            <w:r>
              <w:rPr>
                <w:rFonts w:cs="B Lotus"/>
                <w:szCs w:val="26"/>
                <w:rtl w:val="true"/>
              </w:rPr>
              <w:t>-</w:t>
            </w:r>
          </w:p>
        </w:tc>
        <w:tc>
          <w:tcPr>
            <w:tcW w:w="1247" w:type="dxa"/>
            <w:tcBorders/>
          </w:tcPr>
          <w:p>
            <w:pPr>
              <w:pStyle w:val="Normal"/>
              <w:ind w:start="170" w:end="170"/>
              <w:jc w:val="start"/>
              <w:rPr>
                <w:rFonts w:cs="B Lotus"/>
                <w:szCs w:val="26"/>
              </w:rPr>
            </w:pPr>
            <w:r>
              <w:rPr>
                <w:rFonts w:cs="B Lotus"/>
                <w:szCs w:val="26"/>
              </w:rPr>
              <w:t>200</w:t>
            </w:r>
            <w:r>
              <w:rPr>
                <w:rFonts w:cs="B Lotus"/>
                <w:szCs w:val="26"/>
                <w:rtl w:val="true"/>
              </w:rPr>
              <w:t>ر</w:t>
            </w:r>
            <w:r>
              <w:rPr>
                <w:rFonts w:cs="B Lotus"/>
                <w:szCs w:val="26"/>
              </w:rPr>
              <w:t>2</w:t>
            </w:r>
          </w:p>
        </w:tc>
      </w:tr>
      <w:tr>
        <w:trPr/>
        <w:tc>
          <w:tcPr>
            <w:tcW w:w="4172" w:type="dxa"/>
            <w:tcBorders/>
          </w:tcPr>
          <w:p>
            <w:pPr>
              <w:pStyle w:val="JadvalMatn"/>
              <w:spacing w:before="0" w:after="0"/>
              <w:ind w:end="0"/>
              <w:jc w:val="start"/>
              <w:rPr/>
            </w:pPr>
            <w:r>
              <w:rPr>
                <w:rtl w:val="true"/>
              </w:rPr>
              <w:t>سرمايه‌گذاريهاي جاري</w:t>
            </w:r>
          </w:p>
        </w:tc>
        <w:tc>
          <w:tcPr>
            <w:tcW w:w="2160" w:type="dxa"/>
            <w:tcBorders/>
          </w:tcPr>
          <w:p>
            <w:pPr>
              <w:pStyle w:val="Normal"/>
              <w:pBdr>
                <w:bottom w:val="single" w:sz="8" w:space="1" w:color="000000"/>
              </w:pBdr>
              <w:ind w:start="510" w:end="567"/>
              <w:jc w:val="start"/>
              <w:rPr>
                <w:rFonts w:cs="B Lotus"/>
                <w:szCs w:val="26"/>
              </w:rPr>
            </w:pPr>
            <w:r>
              <w:rPr>
                <w:rFonts w:cs="B Lotus"/>
                <w:szCs w:val="26"/>
              </w:rPr>
              <w:t>500</w:t>
            </w:r>
            <w:r>
              <w:rPr>
                <w:rFonts w:cs="B Lotus"/>
                <w:szCs w:val="26"/>
                <w:rtl w:val="true"/>
              </w:rPr>
              <w:t>ر</w:t>
            </w:r>
            <w:r>
              <w:rPr>
                <w:rFonts w:cs="B Lotus"/>
                <w:szCs w:val="26"/>
              </w:rPr>
              <w:t>1</w:t>
            </w:r>
          </w:p>
        </w:tc>
        <w:tc>
          <w:tcPr>
            <w:tcW w:w="1191" w:type="dxa"/>
            <w:tcBorders/>
          </w:tcPr>
          <w:p>
            <w:pPr>
              <w:pStyle w:val="Normal"/>
              <w:pBdr>
                <w:bottom w:val="single" w:sz="8" w:space="1" w:color="000000"/>
              </w:pBdr>
              <w:ind w:start="113" w:end="113"/>
              <w:jc w:val="center"/>
              <w:rPr>
                <w:rFonts w:cs="B Lotus"/>
                <w:szCs w:val="26"/>
              </w:rPr>
            </w:pPr>
            <w:r>
              <w:rPr>
                <w:rFonts w:cs="B Lotus"/>
                <w:szCs w:val="26"/>
                <w:rtl w:val="true"/>
              </w:rPr>
              <w:t>-</w:t>
            </w:r>
          </w:p>
        </w:tc>
        <w:tc>
          <w:tcPr>
            <w:tcW w:w="1247" w:type="dxa"/>
            <w:tcBorders/>
          </w:tcPr>
          <w:p>
            <w:pPr>
              <w:pStyle w:val="Normal"/>
              <w:pBdr>
                <w:bottom w:val="single" w:sz="8" w:space="1" w:color="000000"/>
              </w:pBdr>
              <w:ind w:start="170" w:end="170"/>
              <w:jc w:val="start"/>
              <w:rPr>
                <w:rFonts w:cs="B Lotus"/>
                <w:szCs w:val="26"/>
              </w:rPr>
            </w:pPr>
            <w:r>
              <w:rPr>
                <w:rFonts w:cs="B Lotus"/>
                <w:szCs w:val="26"/>
              </w:rPr>
              <w:t>500</w:t>
            </w:r>
            <w:r>
              <w:rPr>
                <w:rFonts w:cs="B Lotus"/>
                <w:szCs w:val="26"/>
                <w:rtl w:val="true"/>
              </w:rPr>
              <w:t>ر</w:t>
            </w:r>
            <w:r>
              <w:rPr>
                <w:rFonts w:cs="B Lotus"/>
                <w:szCs w:val="26"/>
              </w:rPr>
              <w:t>1</w:t>
            </w:r>
          </w:p>
        </w:tc>
      </w:tr>
      <w:tr>
        <w:trPr/>
        <w:tc>
          <w:tcPr>
            <w:tcW w:w="4172" w:type="dxa"/>
            <w:tcBorders/>
          </w:tcPr>
          <w:p>
            <w:pPr>
              <w:pStyle w:val="JadvalMatn"/>
              <w:spacing w:before="0" w:after="0"/>
              <w:ind w:end="0"/>
              <w:jc w:val="start"/>
              <w:rPr/>
            </w:pPr>
            <w:r>
              <w:rPr>
                <w:rtl w:val="true"/>
              </w:rPr>
              <w:t>جمع</w:t>
            </w:r>
          </w:p>
        </w:tc>
        <w:tc>
          <w:tcPr>
            <w:tcW w:w="2160" w:type="dxa"/>
            <w:tcBorders/>
          </w:tcPr>
          <w:p>
            <w:pPr>
              <w:pStyle w:val="Normal"/>
              <w:pBdr>
                <w:bottom w:val="double" w:sz="6" w:space="1" w:color="000000"/>
              </w:pBdr>
              <w:ind w:start="510" w:end="567"/>
              <w:jc w:val="start"/>
              <w:rPr>
                <w:rFonts w:cs="B Lotus"/>
                <w:szCs w:val="26"/>
              </w:rPr>
            </w:pPr>
            <w:r>
              <w:rPr>
                <w:rFonts w:cs="B Lotus"/>
                <w:szCs w:val="26"/>
              </w:rPr>
              <w:t>900</w:t>
            </w:r>
            <w:r>
              <w:rPr>
                <w:rFonts w:cs="B Lotus"/>
                <w:szCs w:val="26"/>
                <w:rtl w:val="true"/>
              </w:rPr>
              <w:t>ر</w:t>
            </w:r>
            <w:r>
              <w:rPr>
                <w:rFonts w:cs="B Lotus"/>
                <w:szCs w:val="26"/>
              </w:rPr>
              <w:t>14</w:t>
            </w:r>
          </w:p>
        </w:tc>
        <w:tc>
          <w:tcPr>
            <w:tcW w:w="1191" w:type="dxa"/>
            <w:tcBorders/>
          </w:tcPr>
          <w:p>
            <w:pPr>
              <w:pStyle w:val="Normal"/>
              <w:pBdr>
                <w:bottom w:val="double" w:sz="6" w:space="1" w:color="000000"/>
              </w:pBdr>
              <w:ind w:start="113" w:end="113"/>
              <w:jc w:val="start"/>
              <w:rPr>
                <w:rFonts w:cs="B Lotus"/>
                <w:szCs w:val="26"/>
              </w:rPr>
            </w:pPr>
            <w:r>
              <w:rPr>
                <w:rFonts w:cs="B Lotus"/>
                <w:szCs w:val="26"/>
                <w:rtl w:val="true"/>
              </w:rPr>
              <w:t>(</w:t>
            </w:r>
            <w:r>
              <w:rPr>
                <w:rFonts w:cs="B Lotus"/>
                <w:szCs w:val="26"/>
              </w:rPr>
              <w:t>900</w:t>
            </w:r>
            <w:r>
              <w:rPr>
                <w:rFonts w:cs="B Lotus"/>
                <w:szCs w:val="26"/>
                <w:rtl w:val="true"/>
              </w:rPr>
              <w:t>ر</w:t>
            </w:r>
            <w:r>
              <w:rPr>
                <w:rFonts w:cs="B Lotus"/>
                <w:szCs w:val="26"/>
              </w:rPr>
              <w:t>1</w:t>
            </w:r>
            <w:r>
              <w:rPr>
                <w:rFonts w:cs="B Lotus"/>
                <w:szCs w:val="26"/>
                <w:rtl w:val="true"/>
              </w:rPr>
              <w:t>)</w:t>
            </w:r>
          </w:p>
        </w:tc>
        <w:tc>
          <w:tcPr>
            <w:tcW w:w="1247" w:type="dxa"/>
            <w:tcBorders/>
          </w:tcPr>
          <w:p>
            <w:pPr>
              <w:pStyle w:val="Normal"/>
              <w:pBdr>
                <w:bottom w:val="double" w:sz="6" w:space="1" w:color="000000"/>
              </w:pBdr>
              <w:ind w:start="170" w:end="170"/>
              <w:jc w:val="start"/>
              <w:rPr>
                <w:rFonts w:cs="B Lotus"/>
                <w:szCs w:val="26"/>
              </w:rPr>
            </w:pPr>
            <w:r>
              <w:rPr>
                <w:rFonts w:cs="B Lotus"/>
                <w:szCs w:val="26"/>
              </w:rPr>
              <w:t>000</w:t>
            </w:r>
            <w:r>
              <w:rPr>
                <w:rFonts w:cs="B Lotus"/>
                <w:szCs w:val="26"/>
                <w:rtl w:val="true"/>
              </w:rPr>
              <w:t>ر</w:t>
            </w:r>
            <w:r>
              <w:rPr>
                <w:rFonts w:cs="B Lotus"/>
                <w:szCs w:val="26"/>
              </w:rPr>
              <w:t>13</w:t>
            </w:r>
          </w:p>
        </w:tc>
      </w:tr>
    </w:tbl>
    <w:p>
      <w:pPr>
        <w:pStyle w:val="Normal"/>
        <w:spacing w:before="0" w:after="120"/>
        <w:ind w:end="0"/>
        <w:jc w:val="start"/>
        <w:rPr>
          <w:rFonts w:cs="B Lotus"/>
        </w:rPr>
      </w:pPr>
      <w:r>
        <w:rPr>
          <w:rFonts w:cs="B Lotus"/>
          <w:rtl w:val="true"/>
        </w:rPr>
        <w:t>زيان کاهش ارزش، ابتدا مبلغ سرقفلي را کاهش مي‌دهد</w:t>
      </w:r>
      <w:r>
        <w:rPr>
          <w:rFonts w:cs="B Lotus"/>
          <w:rtl w:val="true"/>
        </w:rPr>
        <w:t xml:space="preserve">. </w:t>
      </w:r>
      <w:r>
        <w:rPr>
          <w:rFonts w:cs="B Lotus"/>
          <w:rtl w:val="true"/>
        </w:rPr>
        <w:t>سپس، مابقي زيان متناسب با مبلغ دفتري ساير داراييها</w:t>
      </w:r>
      <w:r>
        <w:rPr>
          <w:rFonts w:hint="cs" w:cs="B Lotus"/>
          <w:rtl w:val="true"/>
        </w:rPr>
        <w:t>ي غيرجاري</w:t>
      </w:r>
      <w:r>
        <w:rPr>
          <w:rFonts w:cs="B Lotus"/>
          <w:rtl w:val="true"/>
        </w:rPr>
        <w:t xml:space="preserve"> به آنها تخصيص مي‌يابد</w:t>
      </w:r>
      <w:r>
        <w:rPr>
          <w:rFonts w:cs="B Lotus"/>
          <w:rtl w:val="true"/>
        </w:rPr>
        <w:t>.</w:t>
      </w:r>
    </w:p>
    <w:p>
      <w:pPr>
        <w:pStyle w:val="Heading2"/>
        <w:ind w:end="0"/>
        <w:jc w:val="start"/>
        <w:rPr/>
      </w:pPr>
      <w:r>
        <w:rPr>
          <w:rtl w:val="true"/>
        </w:rPr>
        <w:t>ارائه عمليات متوقف شده در</w:t>
      </w:r>
      <w:r>
        <w:rPr>
          <w:rFonts w:ascii="Times New Roman" w:hAnsi="Times New Roman" w:hint="cs" w:cs="Times New Roman"/>
          <w:rtl w:val="true"/>
        </w:rPr>
        <w:t> </w:t>
      </w:r>
      <w:r>
        <w:rPr>
          <w:rtl w:val="true"/>
        </w:rPr>
        <w:t xml:space="preserve">صورت سود و زيان </w:t>
      </w:r>
      <w:r>
        <w:rPr>
          <w:rtl w:val="true"/>
        </w:rPr>
        <w:t>(</w:t>
      </w:r>
      <w:r>
        <w:rPr>
          <w:rtl w:val="true"/>
        </w:rPr>
        <w:t xml:space="preserve">بند </w:t>
      </w:r>
      <w:r>
        <w:rPr/>
        <w:t>32</w:t>
      </w:r>
      <w:r>
        <w:rPr>
          <w:rtl w:val="true"/>
        </w:rPr>
        <w:t>)</w:t>
      </w:r>
    </w:p>
    <w:p>
      <w:pPr>
        <w:pStyle w:val="Matn"/>
        <w:ind w:end="0"/>
        <w:jc w:val="both"/>
        <w:rPr/>
      </w:pPr>
      <w:r>
        <w:rPr>
          <w:rtl w:val="true"/>
        </w:rPr>
        <w:t xml:space="preserve">طبق بند </w:t>
      </w:r>
      <w:r>
        <w:rPr/>
        <w:t>32</w:t>
      </w:r>
      <w:r>
        <w:rPr>
          <w:rtl w:val="true"/>
        </w:rPr>
        <w:t xml:space="preserve"> </w:t>
      </w:r>
      <w:r>
        <w:rPr>
          <w:rtl w:val="true"/>
        </w:rPr>
        <w:t xml:space="preserve">استاندارد، واحد تجاري بايد يک مبلغ واحد در متن صورت سود و زيان براي عمليات متوقف شده و جزئيات آن در يادداشتهاي توضيحي صورتهاي مالي يا در بخش عمليات متوقف شده صورت سود و زيان </w:t>
      </w:r>
      <w:r>
        <w:rPr>
          <w:rtl w:val="true"/>
        </w:rPr>
        <w:t>(</w:t>
      </w:r>
      <w:r>
        <w:rPr>
          <w:rtl w:val="true"/>
        </w:rPr>
        <w:t>جدا از عمليات</w:t>
      </w:r>
      <w:r>
        <w:rPr>
          <w:rFonts w:hint="cs"/>
          <w:rtl w:val="true"/>
        </w:rPr>
        <w:t xml:space="preserve"> در حال تداوم</w:t>
      </w:r>
      <w:r>
        <w:rPr>
          <w:rtl w:val="true"/>
        </w:rPr>
        <w:t xml:space="preserve">) </w:t>
      </w:r>
      <w:r>
        <w:rPr>
          <w:rtl w:val="true"/>
        </w:rPr>
        <w:t>ارائه کند</w:t>
      </w:r>
      <w:r>
        <w:rPr>
          <w:rtl w:val="true"/>
        </w:rPr>
        <w:t xml:space="preserve">. </w:t>
      </w:r>
      <w:r>
        <w:rPr>
          <w:rtl w:val="true"/>
        </w:rPr>
        <w:t xml:space="preserve">مثال </w:t>
      </w:r>
      <w:r>
        <w:rPr/>
        <w:t>11</w:t>
      </w:r>
      <w:r>
        <w:rPr>
          <w:rtl w:val="true"/>
        </w:rPr>
        <w:t xml:space="preserve"> </w:t>
      </w:r>
      <w:r>
        <w:rPr>
          <w:rtl w:val="true"/>
        </w:rPr>
        <w:t>نحوه اجراي اين الزامات را شرح مي‌دهد</w:t>
      </w:r>
      <w:r>
        <w:rPr>
          <w:rtl w:val="true"/>
        </w:rPr>
        <w:t>.</w:t>
      </w:r>
      <w:r>
        <w:br w:type="page"/>
      </w:r>
    </w:p>
    <w:p>
      <w:pPr>
        <w:pStyle w:val="MesalTraffic"/>
        <w:ind w:end="0"/>
        <w:jc w:val="start"/>
        <w:rPr/>
      </w:pPr>
      <w:r>
        <w:rPr>
          <w:rtl w:val="true"/>
        </w:rPr>
        <w:t xml:space="preserve">مثال </w:t>
      </w:r>
      <w:r>
        <w:rPr/>
        <w:t>11</w:t>
      </w:r>
    </w:p>
    <w:p>
      <w:pPr>
        <w:pStyle w:val="JadvalTitrVasatBala"/>
        <w:ind w:end="0"/>
        <w:jc w:val="center"/>
        <w:rPr/>
      </w:pPr>
      <w:r>
        <w:rPr>
          <w:rtl w:val="true"/>
        </w:rPr>
        <w:t xml:space="preserve">شرکت نمونه </w:t>
      </w:r>
      <w:r>
        <w:rPr>
          <w:rtl w:val="true"/>
        </w:rPr>
        <w:t xml:space="preserve">- </w:t>
      </w:r>
      <w:r>
        <w:rPr>
          <w:rtl w:val="true"/>
        </w:rPr>
        <w:t>صورت سود و زيان</w:t>
      </w:r>
    </w:p>
    <w:p>
      <w:pPr>
        <w:pStyle w:val="JadvalTitrVasatBala"/>
        <w:ind w:end="0"/>
        <w:jc w:val="center"/>
        <w:rPr/>
      </w:pPr>
      <w:r>
        <w:rPr>
          <w:rtl w:val="true"/>
        </w:rPr>
        <w:t xml:space="preserve">براي سال منتهي به </w:t>
      </w:r>
      <w:r>
        <w:rPr/>
        <w:t>29</w:t>
      </w:r>
      <w:r>
        <w:rPr>
          <w:rtl w:val="true"/>
        </w:rPr>
        <w:t xml:space="preserve"> </w:t>
      </w:r>
      <w:r>
        <w:rPr>
          <w:rtl w:val="true"/>
        </w:rPr>
        <w:t xml:space="preserve">اسفند </w:t>
      </w:r>
      <w:r>
        <w:rPr/>
        <w:t>6</w:t>
      </w:r>
      <w:r>
        <w:rPr>
          <w:rtl w:val="true"/>
        </w:rPr>
        <w:t>×</w:t>
      </w:r>
      <w:r>
        <w:rPr/>
        <w:t>13</w:t>
      </w:r>
    </w:p>
    <w:p>
      <w:pPr>
        <w:pStyle w:val="Normal"/>
        <w:ind w:end="0"/>
        <w:jc w:val="center"/>
        <w:rPr>
          <w:rFonts w:cs="B Zar"/>
          <w:szCs w:val="24"/>
        </w:rPr>
      </w:pPr>
      <w:r>
        <w:rPr>
          <w:rFonts w:cs="B Zar"/>
          <w:szCs w:val="24"/>
          <w:rtl w:val="true"/>
        </w:rPr>
      </w:r>
    </w:p>
    <w:tbl>
      <w:tblPr>
        <w:bidiVisual w:val="true"/>
        <w:tblW w:w="8720" w:type="dxa"/>
        <w:jc w:val="end"/>
        <w:tblInd w:w="0" w:type="dxa"/>
        <w:tblLayout w:type="fixed"/>
        <w:tblCellMar>
          <w:top w:w="0" w:type="dxa"/>
          <w:start w:w="108" w:type="dxa"/>
          <w:bottom w:w="0" w:type="dxa"/>
          <w:end w:w="108" w:type="dxa"/>
        </w:tblCellMar>
      </w:tblPr>
      <w:tblGrid>
        <w:gridCol w:w="4514"/>
        <w:gridCol w:w="1578"/>
        <w:gridCol w:w="1320"/>
        <w:gridCol w:w="1308"/>
      </w:tblGrid>
      <w:tr>
        <w:trPr/>
        <w:tc>
          <w:tcPr>
            <w:tcW w:w="6092" w:type="dxa"/>
            <w:gridSpan w:val="2"/>
            <w:tcBorders/>
          </w:tcPr>
          <w:p>
            <w:pPr>
              <w:pStyle w:val="Normal"/>
              <w:snapToGrid w:val="false"/>
              <w:spacing w:lineRule="exact" w:line="440"/>
              <w:ind w:end="0"/>
              <w:jc w:val="start"/>
              <w:rPr>
                <w:rFonts w:cs="B Lotus"/>
              </w:rPr>
            </w:pPr>
            <w:r>
              <w:rPr>
                <w:rFonts w:cs="B Lotus"/>
                <w:rtl w:val="true"/>
              </w:rPr>
            </w:r>
          </w:p>
        </w:tc>
        <w:tc>
          <w:tcPr>
            <w:tcW w:w="1320" w:type="dxa"/>
            <w:tcBorders/>
            <w:tcMar>
              <w:start w:w="227" w:type="dxa"/>
              <w:end w:w="227" w:type="dxa"/>
            </w:tcMar>
          </w:tcPr>
          <w:p>
            <w:pPr>
              <w:pStyle w:val="JadvalTitrZar12"/>
              <w:ind w:end="0"/>
              <w:jc w:val="center"/>
              <w:rPr/>
            </w:pPr>
            <w:r>
              <w:rPr/>
              <w:t>6</w:t>
            </w:r>
            <w:r>
              <w:rPr>
                <w:rtl w:val="true"/>
              </w:rPr>
              <w:t>×</w:t>
            </w:r>
            <w:r>
              <w:rPr/>
              <w:t>13</w:t>
            </w:r>
          </w:p>
        </w:tc>
        <w:tc>
          <w:tcPr>
            <w:tcW w:w="1308" w:type="dxa"/>
            <w:tcBorders/>
            <w:tcMar>
              <w:start w:w="227" w:type="dxa"/>
              <w:end w:w="227" w:type="dxa"/>
            </w:tcMar>
          </w:tcPr>
          <w:p>
            <w:pPr>
              <w:pStyle w:val="JadvalTitrZar12"/>
              <w:ind w:end="0"/>
              <w:jc w:val="center"/>
              <w:rPr/>
            </w:pPr>
            <w:r>
              <w:rPr/>
              <w:t>5</w:t>
            </w:r>
            <w:r>
              <w:rPr>
                <w:rtl w:val="true"/>
              </w:rPr>
              <w:t>×</w:t>
            </w:r>
            <w:r>
              <w:rPr/>
              <w:t>13</w:t>
            </w:r>
          </w:p>
        </w:tc>
      </w:tr>
      <w:tr>
        <w:trPr/>
        <w:tc>
          <w:tcPr>
            <w:tcW w:w="6092" w:type="dxa"/>
            <w:gridSpan w:val="2"/>
            <w:tcBorders/>
          </w:tcPr>
          <w:p>
            <w:pPr>
              <w:pStyle w:val="Normal"/>
              <w:snapToGrid w:val="false"/>
              <w:spacing w:lineRule="exact" w:line="440"/>
              <w:ind w:end="0"/>
              <w:jc w:val="start"/>
              <w:rPr>
                <w:rFonts w:cs="B Lotus"/>
              </w:rPr>
            </w:pPr>
            <w:r>
              <w:rPr>
                <w:rFonts w:cs="B Lotus"/>
                <w:rtl w:val="true"/>
              </w:rPr>
            </w:r>
          </w:p>
        </w:tc>
        <w:tc>
          <w:tcPr>
            <w:tcW w:w="1320" w:type="dxa"/>
            <w:tcBorders/>
            <w:tcMar>
              <w:start w:w="227" w:type="dxa"/>
              <w:end w:w="227" w:type="dxa"/>
            </w:tcMar>
          </w:tcPr>
          <w:p>
            <w:pPr>
              <w:pStyle w:val="Normal"/>
              <w:snapToGrid w:val="false"/>
              <w:spacing w:lineRule="exact" w:line="440"/>
              <w:ind w:end="0"/>
              <w:jc w:val="center"/>
              <w:rPr>
                <w:rFonts w:cs="B Lotus"/>
              </w:rPr>
            </w:pPr>
            <w:r>
              <w:rPr>
                <w:rFonts w:cs="B Lotus"/>
                <w:rtl w:val="true"/>
              </w:rPr>
            </w:r>
          </w:p>
        </w:tc>
        <w:tc>
          <w:tcPr>
            <w:tcW w:w="1308" w:type="dxa"/>
            <w:tcBorders/>
            <w:tcMar>
              <w:start w:w="227" w:type="dxa"/>
              <w:end w:w="227" w:type="dxa"/>
            </w:tcMar>
          </w:tcPr>
          <w:p>
            <w:pPr>
              <w:pStyle w:val="Normal"/>
              <w:snapToGrid w:val="false"/>
              <w:spacing w:lineRule="exact" w:line="440"/>
              <w:ind w:end="0"/>
              <w:jc w:val="center"/>
              <w:rPr>
                <w:rFonts w:cs="B Lotus"/>
              </w:rPr>
            </w:pPr>
            <w:r>
              <w:rPr>
                <w:rFonts w:cs="B Lotus"/>
                <w:rtl w:val="true"/>
              </w:rPr>
            </w:r>
          </w:p>
        </w:tc>
      </w:tr>
      <w:tr>
        <w:trPr/>
        <w:tc>
          <w:tcPr>
            <w:tcW w:w="4514" w:type="dxa"/>
            <w:tcBorders/>
          </w:tcPr>
          <w:p>
            <w:pPr>
              <w:pStyle w:val="JadvalMatne"/>
              <w:ind w:end="0"/>
              <w:jc w:val="start"/>
              <w:rPr/>
            </w:pPr>
            <w:r>
              <w:rPr>
                <w:rtl w:val="true"/>
              </w:rPr>
              <w:t>فروش خالص</w:t>
            </w:r>
          </w:p>
        </w:tc>
        <w:tc>
          <w:tcPr>
            <w:tcW w:w="1578" w:type="dxa"/>
            <w:tcBorders/>
          </w:tcPr>
          <w:p>
            <w:pPr>
              <w:pStyle w:val="Normal"/>
              <w:snapToGrid w:val="false"/>
              <w:spacing w:lineRule="exact" w:line="440"/>
              <w:ind w:end="0"/>
              <w:jc w:val="center"/>
              <w:rPr>
                <w:rFonts w:cs="B Lotus"/>
              </w:rPr>
            </w:pPr>
            <w:r>
              <w:rPr>
                <w:rFonts w:cs="B Lotus"/>
                <w:rtl w:val="true"/>
              </w:rPr>
            </w:r>
          </w:p>
        </w:tc>
        <w:tc>
          <w:tcPr>
            <w:tcW w:w="1320" w:type="dxa"/>
            <w:tcBorders/>
            <w:tcMar>
              <w:start w:w="227" w:type="dxa"/>
              <w:end w:w="227" w:type="dxa"/>
            </w:tcMar>
          </w:tcPr>
          <w:p>
            <w:pPr>
              <w:pStyle w:val="Normal"/>
              <w:spacing w:lineRule="exact" w:line="440"/>
              <w:ind w:end="0"/>
              <w:jc w:val="center"/>
              <w:rPr>
                <w:rFonts w:cs="B Lotus"/>
              </w:rPr>
            </w:pPr>
            <w:r>
              <w:rPr>
                <w:rFonts w:cs="B Lotus"/>
                <w:rtl w:val="true"/>
              </w:rPr>
              <w:t>....</w:t>
            </w:r>
          </w:p>
        </w:tc>
        <w:tc>
          <w:tcPr>
            <w:tcW w:w="1308" w:type="dxa"/>
            <w:tcBorders/>
            <w:tcMar>
              <w:start w:w="227" w:type="dxa"/>
              <w:end w:w="227" w:type="dxa"/>
            </w:tcMar>
          </w:tcPr>
          <w:p>
            <w:pPr>
              <w:pStyle w:val="Normal"/>
              <w:spacing w:lineRule="exact" w:line="440"/>
              <w:ind w:end="0"/>
              <w:jc w:val="center"/>
              <w:rPr>
                <w:rFonts w:cs="B Lotus"/>
              </w:rPr>
            </w:pPr>
            <w:r>
              <w:rPr>
                <w:rFonts w:cs="B Lotus"/>
                <w:rtl w:val="true"/>
              </w:rPr>
              <w:t>....</w:t>
            </w:r>
          </w:p>
        </w:tc>
      </w:tr>
      <w:tr>
        <w:trPr/>
        <w:tc>
          <w:tcPr>
            <w:tcW w:w="4514" w:type="dxa"/>
            <w:tcBorders/>
          </w:tcPr>
          <w:p>
            <w:pPr>
              <w:pStyle w:val="JadvalMatne"/>
              <w:ind w:end="0"/>
              <w:jc w:val="start"/>
              <w:rPr/>
            </w:pPr>
            <w:r>
              <w:rPr>
                <w:rtl w:val="true"/>
              </w:rPr>
              <w:t>بهاي تمام شده فروش</w:t>
            </w:r>
          </w:p>
        </w:tc>
        <w:tc>
          <w:tcPr>
            <w:tcW w:w="1578" w:type="dxa"/>
            <w:tcBorders/>
          </w:tcPr>
          <w:p>
            <w:pPr>
              <w:pStyle w:val="Normal"/>
              <w:snapToGrid w:val="false"/>
              <w:spacing w:lineRule="exact" w:line="440"/>
              <w:ind w:end="0"/>
              <w:jc w:val="center"/>
              <w:rPr>
                <w:rFonts w:cs="B Lotus"/>
              </w:rPr>
            </w:pPr>
            <w:r>
              <w:rPr>
                <w:rFonts w:cs="B Lotus"/>
                <w:rtl w:val="true"/>
              </w:rPr>
            </w:r>
          </w:p>
        </w:tc>
        <w:tc>
          <w:tcPr>
            <w:tcW w:w="1320" w:type="dxa"/>
            <w:tcBorders/>
            <w:tcMar>
              <w:start w:w="227" w:type="dxa"/>
              <w:end w:w="227" w:type="dxa"/>
            </w:tcMar>
          </w:tcPr>
          <w:p>
            <w:pPr>
              <w:pStyle w:val="Normal"/>
              <w:pBdr>
                <w:bottom w:val="single" w:sz="6" w:space="1" w:color="000000"/>
              </w:pBdr>
              <w:spacing w:lineRule="exact" w:line="440"/>
              <w:ind w:end="0"/>
              <w:jc w:val="center"/>
              <w:rPr>
                <w:rFonts w:cs="B Lotus"/>
              </w:rPr>
            </w:pPr>
            <w:r>
              <w:rPr>
                <w:rFonts w:cs="B Lotus"/>
                <w:rtl w:val="true"/>
              </w:rPr>
              <w:t>(....)</w:t>
            </w:r>
          </w:p>
        </w:tc>
        <w:tc>
          <w:tcPr>
            <w:tcW w:w="1308" w:type="dxa"/>
            <w:tcBorders/>
            <w:tcMar>
              <w:start w:w="227" w:type="dxa"/>
              <w:end w:w="227" w:type="dxa"/>
            </w:tcMar>
          </w:tcPr>
          <w:p>
            <w:pPr>
              <w:pStyle w:val="Normal"/>
              <w:pBdr>
                <w:bottom w:val="single" w:sz="6" w:space="1" w:color="000000"/>
              </w:pBdr>
              <w:spacing w:lineRule="exact" w:line="440"/>
              <w:ind w:end="0"/>
              <w:jc w:val="center"/>
              <w:rPr>
                <w:rFonts w:cs="B Lotus"/>
              </w:rPr>
            </w:pPr>
            <w:r>
              <w:rPr>
                <w:rFonts w:cs="B Lotus"/>
                <w:rtl w:val="true"/>
              </w:rPr>
              <w:t>(....)</w:t>
            </w:r>
          </w:p>
        </w:tc>
      </w:tr>
      <w:tr>
        <w:trPr/>
        <w:tc>
          <w:tcPr>
            <w:tcW w:w="4514" w:type="dxa"/>
            <w:tcBorders/>
          </w:tcPr>
          <w:p>
            <w:pPr>
              <w:pStyle w:val="JadvalMatne"/>
              <w:ind w:end="0"/>
              <w:jc w:val="start"/>
              <w:rPr/>
            </w:pPr>
            <w:r>
              <w:rPr>
                <w:rtl w:val="true"/>
              </w:rPr>
              <w:t>سود ناخالص</w:t>
            </w:r>
          </w:p>
        </w:tc>
        <w:tc>
          <w:tcPr>
            <w:tcW w:w="1578" w:type="dxa"/>
            <w:tcBorders/>
          </w:tcPr>
          <w:p>
            <w:pPr>
              <w:pStyle w:val="Normal"/>
              <w:snapToGrid w:val="false"/>
              <w:spacing w:lineRule="exact" w:line="440"/>
              <w:ind w:end="0"/>
              <w:jc w:val="center"/>
              <w:rPr>
                <w:rFonts w:cs="B Lotus"/>
              </w:rPr>
            </w:pPr>
            <w:r>
              <w:rPr>
                <w:rFonts w:cs="B Lotus"/>
                <w:rtl w:val="true"/>
              </w:rPr>
            </w:r>
          </w:p>
        </w:tc>
        <w:tc>
          <w:tcPr>
            <w:tcW w:w="1320" w:type="dxa"/>
            <w:tcBorders/>
            <w:tcMar>
              <w:start w:w="227" w:type="dxa"/>
              <w:end w:w="227" w:type="dxa"/>
            </w:tcMar>
          </w:tcPr>
          <w:p>
            <w:pPr>
              <w:pStyle w:val="Normal"/>
              <w:spacing w:lineRule="exact" w:line="440"/>
              <w:ind w:end="0"/>
              <w:jc w:val="center"/>
              <w:rPr>
                <w:rFonts w:cs="B Lotus"/>
              </w:rPr>
            </w:pPr>
            <w:r>
              <w:rPr>
                <w:rFonts w:cs="B Lotus"/>
                <w:rtl w:val="true"/>
              </w:rPr>
              <w:t>....</w:t>
            </w:r>
          </w:p>
        </w:tc>
        <w:tc>
          <w:tcPr>
            <w:tcW w:w="1308" w:type="dxa"/>
            <w:tcBorders/>
            <w:tcMar>
              <w:start w:w="227" w:type="dxa"/>
              <w:end w:w="227" w:type="dxa"/>
            </w:tcMar>
          </w:tcPr>
          <w:p>
            <w:pPr>
              <w:pStyle w:val="Normal"/>
              <w:spacing w:lineRule="exact" w:line="440"/>
              <w:ind w:end="0"/>
              <w:jc w:val="center"/>
              <w:rPr>
                <w:rFonts w:cs="B Lotus"/>
              </w:rPr>
            </w:pPr>
            <w:r>
              <w:rPr>
                <w:rFonts w:cs="B Lotus"/>
                <w:rtl w:val="true"/>
              </w:rPr>
              <w:t>....</w:t>
            </w:r>
          </w:p>
        </w:tc>
      </w:tr>
      <w:tr>
        <w:trPr/>
        <w:tc>
          <w:tcPr>
            <w:tcW w:w="4514" w:type="dxa"/>
            <w:tcBorders/>
          </w:tcPr>
          <w:p>
            <w:pPr>
              <w:pStyle w:val="JadvalMatne"/>
              <w:ind w:end="0"/>
              <w:jc w:val="start"/>
              <w:rPr/>
            </w:pPr>
            <w:r>
              <w:rPr>
                <w:rtl w:val="true"/>
              </w:rPr>
              <w:t>هزينه‌هاي فروش، اداري و عمومي</w:t>
            </w:r>
          </w:p>
        </w:tc>
        <w:tc>
          <w:tcPr>
            <w:tcW w:w="1578" w:type="dxa"/>
            <w:tcBorders/>
          </w:tcPr>
          <w:p>
            <w:pPr>
              <w:pStyle w:val="Normal"/>
              <w:spacing w:lineRule="exact" w:line="440"/>
              <w:ind w:end="0"/>
              <w:jc w:val="center"/>
              <w:rPr>
                <w:rFonts w:cs="B Lotus"/>
              </w:rPr>
            </w:pPr>
            <w:r>
              <w:rPr>
                <w:rFonts w:cs="B Lotus"/>
                <w:rtl w:val="true"/>
              </w:rPr>
              <w:t>(....)</w:t>
            </w:r>
          </w:p>
        </w:tc>
        <w:tc>
          <w:tcPr>
            <w:tcW w:w="1320" w:type="dxa"/>
            <w:tcBorders/>
            <w:tcMar>
              <w:start w:w="227" w:type="dxa"/>
              <w:end w:w="227" w:type="dxa"/>
            </w:tcMar>
          </w:tcPr>
          <w:p>
            <w:pPr>
              <w:pStyle w:val="Normal"/>
              <w:snapToGrid w:val="false"/>
              <w:spacing w:lineRule="exact" w:line="440"/>
              <w:ind w:end="0"/>
              <w:jc w:val="center"/>
              <w:rPr>
                <w:rFonts w:cs="B Lotus"/>
              </w:rPr>
            </w:pPr>
            <w:r>
              <w:rPr>
                <w:rFonts w:cs="B Lotus"/>
                <w:rtl w:val="true"/>
              </w:rPr>
            </w:r>
          </w:p>
        </w:tc>
        <w:tc>
          <w:tcPr>
            <w:tcW w:w="1308" w:type="dxa"/>
            <w:tcBorders/>
            <w:tcMar>
              <w:start w:w="227" w:type="dxa"/>
              <w:end w:w="227" w:type="dxa"/>
            </w:tcMar>
          </w:tcPr>
          <w:p>
            <w:pPr>
              <w:pStyle w:val="Normal"/>
              <w:pBdr>
                <w:top w:val="single" w:sz="8" w:space="1" w:color="000000"/>
                <w:left w:val="single" w:sz="8" w:space="4" w:color="000000"/>
                <w:right w:val="single" w:sz="8" w:space="4" w:color="000000"/>
              </w:pBdr>
              <w:spacing w:lineRule="exact" w:line="440"/>
              <w:ind w:end="0"/>
              <w:jc w:val="center"/>
              <w:rPr>
                <w:rFonts w:cs="B Lotus"/>
              </w:rPr>
            </w:pPr>
            <w:r>
              <w:rPr>
                <w:rFonts w:cs="B Lotus"/>
                <w:rtl w:val="true"/>
              </w:rPr>
              <w:t>(....)</w:t>
            </w:r>
          </w:p>
        </w:tc>
      </w:tr>
      <w:tr>
        <w:trPr/>
        <w:tc>
          <w:tcPr>
            <w:tcW w:w="4514" w:type="dxa"/>
            <w:tcBorders/>
          </w:tcPr>
          <w:p>
            <w:pPr>
              <w:pStyle w:val="JadvalMatne"/>
              <w:ind w:end="0"/>
              <w:jc w:val="start"/>
              <w:rPr/>
            </w:pPr>
            <w:r>
              <w:rPr>
                <w:rtl w:val="true"/>
              </w:rPr>
              <w:t>خالص ساير درآمدها و هزينه‌هاي عملياتي</w:t>
            </w:r>
          </w:p>
        </w:tc>
        <w:tc>
          <w:tcPr>
            <w:tcW w:w="1578" w:type="dxa"/>
            <w:tcBorders/>
          </w:tcPr>
          <w:p>
            <w:pPr>
              <w:pStyle w:val="Normal"/>
              <w:pBdr>
                <w:bottom w:val="single" w:sz="6" w:space="1" w:color="000000"/>
              </w:pBdr>
              <w:spacing w:lineRule="exact" w:line="440"/>
              <w:ind w:start="170" w:end="170"/>
              <w:jc w:val="center"/>
              <w:rPr>
                <w:rFonts w:cs="B Lotus"/>
              </w:rPr>
            </w:pPr>
            <w:r>
              <w:rPr>
                <w:rFonts w:cs="B Lotus"/>
                <w:rtl w:val="true"/>
              </w:rPr>
              <w:t>....</w:t>
            </w:r>
          </w:p>
        </w:tc>
        <w:tc>
          <w:tcPr>
            <w:tcW w:w="1320" w:type="dxa"/>
            <w:tcBorders/>
            <w:tcMar>
              <w:start w:w="227" w:type="dxa"/>
              <w:end w:w="227" w:type="dxa"/>
            </w:tcMar>
          </w:tcPr>
          <w:p>
            <w:pPr>
              <w:pStyle w:val="Normal"/>
              <w:snapToGrid w:val="false"/>
              <w:spacing w:lineRule="exact" w:line="440"/>
              <w:ind w:end="0"/>
              <w:jc w:val="center"/>
              <w:rPr>
                <w:rFonts w:cs="B Lotus"/>
              </w:rPr>
            </w:pPr>
            <w:r>
              <w:rPr>
                <w:rFonts w:cs="B Lotus"/>
                <w:rtl w:val="true"/>
              </w:rPr>
            </w:r>
          </w:p>
        </w:tc>
        <w:tc>
          <w:tcPr>
            <w:tcW w:w="1308" w:type="dxa"/>
            <w:tcBorders/>
            <w:tcMar>
              <w:start w:w="227" w:type="dxa"/>
              <w:end w:w="227" w:type="dxa"/>
            </w:tcMar>
          </w:tcPr>
          <w:p>
            <w:pPr>
              <w:pStyle w:val="Normal"/>
              <w:pBdr>
                <w:left w:val="single" w:sz="8" w:space="4" w:color="000000"/>
                <w:bottom w:val="single" w:sz="6" w:space="1" w:color="000000"/>
                <w:right w:val="single" w:sz="8" w:space="4" w:color="000000"/>
              </w:pBdr>
              <w:spacing w:lineRule="exact" w:line="440"/>
              <w:ind w:end="0"/>
              <w:jc w:val="center"/>
              <w:rPr>
                <w:rFonts w:cs="B Lotus"/>
              </w:rPr>
            </w:pPr>
            <w:r>
              <w:rPr>
                <w:rFonts w:cs="B Lotus"/>
                <w:rtl w:val="true"/>
              </w:rPr>
              <w:t>(....)</w:t>
            </w:r>
          </w:p>
        </w:tc>
      </w:tr>
      <w:tr>
        <w:trPr/>
        <w:tc>
          <w:tcPr>
            <w:tcW w:w="4514" w:type="dxa"/>
            <w:tcBorders/>
          </w:tcPr>
          <w:p>
            <w:pPr>
              <w:pStyle w:val="JadvalMatne"/>
              <w:snapToGrid w:val="false"/>
              <w:ind w:end="0"/>
              <w:jc w:val="start"/>
              <w:rPr/>
            </w:pPr>
            <w:r>
              <w:rPr>
                <w:rFonts w:cs="B Lotus"/>
                <w:rtl w:val="true"/>
              </w:rPr>
            </w:r>
          </w:p>
        </w:tc>
        <w:tc>
          <w:tcPr>
            <w:tcW w:w="1578" w:type="dxa"/>
            <w:tcBorders/>
          </w:tcPr>
          <w:p>
            <w:pPr>
              <w:pStyle w:val="Normal"/>
              <w:snapToGrid w:val="false"/>
              <w:ind w:end="0"/>
              <w:jc w:val="center"/>
              <w:rPr>
                <w:rFonts w:cs="B Lotus"/>
              </w:rPr>
            </w:pPr>
            <w:r>
              <w:rPr>
                <w:rFonts w:cs="B Lotus"/>
                <w:rtl w:val="true"/>
              </w:rPr>
            </w:r>
          </w:p>
        </w:tc>
        <w:tc>
          <w:tcPr>
            <w:tcW w:w="1320" w:type="dxa"/>
            <w:tcBorders/>
            <w:tcMar>
              <w:start w:w="227" w:type="dxa"/>
              <w:end w:w="227" w:type="dxa"/>
            </w:tcMar>
          </w:tcPr>
          <w:p>
            <w:pPr>
              <w:pStyle w:val="Normal"/>
              <w:pBdr>
                <w:bottom w:val="single" w:sz="6" w:space="1" w:color="000000"/>
              </w:pBdr>
              <w:spacing w:lineRule="exact" w:line="440"/>
              <w:ind w:end="0"/>
              <w:jc w:val="center"/>
              <w:rPr>
                <w:rFonts w:cs="B Lotus"/>
              </w:rPr>
            </w:pPr>
            <w:r>
              <w:rPr>
                <w:rFonts w:cs="B Lotus"/>
                <w:rtl w:val="true"/>
              </w:rPr>
              <w:t>....</w:t>
            </w:r>
          </w:p>
        </w:tc>
        <w:tc>
          <w:tcPr>
            <w:tcW w:w="1308" w:type="dxa"/>
            <w:tcBorders/>
            <w:tcMar>
              <w:start w:w="227" w:type="dxa"/>
              <w:end w:w="227" w:type="dxa"/>
            </w:tcMar>
          </w:tcPr>
          <w:p>
            <w:pPr>
              <w:pStyle w:val="Normal"/>
              <w:pBdr>
                <w:left w:val="single" w:sz="8" w:space="4" w:color="000000"/>
                <w:bottom w:val="single" w:sz="8" w:space="1" w:color="000000"/>
                <w:right w:val="single" w:sz="8" w:space="4" w:color="000000"/>
              </w:pBdr>
              <w:spacing w:lineRule="exact" w:line="440"/>
              <w:ind w:end="0"/>
              <w:jc w:val="center"/>
              <w:rPr>
                <w:rFonts w:cs="B Lotus"/>
              </w:rPr>
            </w:pPr>
            <w:r>
              <w:rPr>
                <w:rFonts w:cs="B Lotus"/>
                <w:rtl w:val="true"/>
              </w:rPr>
              <w:t>....</w:t>
            </w:r>
          </w:p>
        </w:tc>
      </w:tr>
      <w:tr>
        <w:trPr/>
        <w:tc>
          <w:tcPr>
            <w:tcW w:w="4514" w:type="dxa"/>
            <w:tcBorders/>
          </w:tcPr>
          <w:p>
            <w:pPr>
              <w:pStyle w:val="JadvalMatne"/>
              <w:ind w:end="0"/>
              <w:jc w:val="start"/>
              <w:rPr/>
            </w:pPr>
            <w:r>
              <w:rPr>
                <w:rtl w:val="true"/>
              </w:rPr>
              <w:t>سود عملياتي</w:t>
            </w:r>
          </w:p>
        </w:tc>
        <w:tc>
          <w:tcPr>
            <w:tcW w:w="1578" w:type="dxa"/>
            <w:tcBorders/>
          </w:tcPr>
          <w:p>
            <w:pPr>
              <w:pStyle w:val="Normal"/>
              <w:snapToGrid w:val="false"/>
              <w:spacing w:lineRule="exact" w:line="440"/>
              <w:ind w:end="0"/>
              <w:jc w:val="center"/>
              <w:rPr>
                <w:rFonts w:cs="B Lotus"/>
              </w:rPr>
            </w:pPr>
            <w:r>
              <w:rPr>
                <w:rFonts w:cs="B Lotus"/>
                <w:rtl w:val="true"/>
              </w:rPr>
            </w:r>
          </w:p>
        </w:tc>
        <w:tc>
          <w:tcPr>
            <w:tcW w:w="1320" w:type="dxa"/>
            <w:tcBorders/>
            <w:tcMar>
              <w:start w:w="227" w:type="dxa"/>
              <w:end w:w="227" w:type="dxa"/>
            </w:tcMar>
          </w:tcPr>
          <w:p>
            <w:pPr>
              <w:pStyle w:val="Normal"/>
              <w:spacing w:lineRule="exact" w:line="440"/>
              <w:ind w:end="0"/>
              <w:jc w:val="center"/>
              <w:rPr>
                <w:rFonts w:cs="B Lotus"/>
              </w:rPr>
            </w:pPr>
            <w:r>
              <w:rPr>
                <w:rFonts w:cs="B Lotus"/>
                <w:rtl w:val="true"/>
              </w:rPr>
              <w:t>....</w:t>
            </w:r>
          </w:p>
        </w:tc>
        <w:tc>
          <w:tcPr>
            <w:tcW w:w="1308" w:type="dxa"/>
            <w:tcBorders/>
            <w:tcMar>
              <w:start w:w="227" w:type="dxa"/>
              <w:end w:w="227" w:type="dxa"/>
            </w:tcMar>
          </w:tcPr>
          <w:p>
            <w:pPr>
              <w:pStyle w:val="Normal"/>
              <w:spacing w:lineRule="exact" w:line="440"/>
              <w:ind w:end="0"/>
              <w:jc w:val="center"/>
              <w:rPr>
                <w:rFonts w:cs="B Lotus"/>
              </w:rPr>
            </w:pPr>
            <w:r>
              <w:rPr>
                <w:rFonts w:cs="B Lotus"/>
                <w:rtl w:val="true"/>
              </w:rPr>
              <w:t>....</w:t>
            </w:r>
          </w:p>
        </w:tc>
      </w:tr>
      <w:tr>
        <w:trPr/>
        <w:tc>
          <w:tcPr>
            <w:tcW w:w="4514" w:type="dxa"/>
            <w:tcBorders/>
          </w:tcPr>
          <w:p>
            <w:pPr>
              <w:pStyle w:val="JadvalMatne"/>
              <w:ind w:end="0"/>
              <w:jc w:val="start"/>
              <w:rPr/>
            </w:pPr>
            <w:r>
              <w:rPr>
                <w:rtl w:val="true"/>
              </w:rPr>
              <w:t>هزينه‌هاي مالي</w:t>
            </w:r>
          </w:p>
        </w:tc>
        <w:tc>
          <w:tcPr>
            <w:tcW w:w="1578" w:type="dxa"/>
            <w:tcBorders/>
          </w:tcPr>
          <w:p>
            <w:pPr>
              <w:pStyle w:val="Normal"/>
              <w:snapToGrid w:val="false"/>
              <w:spacing w:lineRule="exact" w:line="440"/>
              <w:ind w:end="0"/>
              <w:jc w:val="center"/>
              <w:rPr>
                <w:rFonts w:cs="B Lotus"/>
              </w:rPr>
            </w:pPr>
            <w:r>
              <w:rPr>
                <w:rFonts w:cs="B Lotus"/>
                <w:rtl w:val="true"/>
              </w:rPr>
            </w:r>
          </w:p>
        </w:tc>
        <w:tc>
          <w:tcPr>
            <w:tcW w:w="1320" w:type="dxa"/>
            <w:tcBorders/>
            <w:tcMar>
              <w:start w:w="227" w:type="dxa"/>
              <w:end w:w="227" w:type="dxa"/>
            </w:tcMar>
          </w:tcPr>
          <w:p>
            <w:pPr>
              <w:pStyle w:val="Normal"/>
              <w:spacing w:lineRule="exact" w:line="440"/>
              <w:ind w:end="0"/>
              <w:jc w:val="center"/>
              <w:rPr>
                <w:rFonts w:cs="B Lotus"/>
              </w:rPr>
            </w:pPr>
            <w:r>
              <w:rPr>
                <w:rFonts w:cs="B Lotus"/>
                <w:rtl w:val="true"/>
              </w:rPr>
              <w:t>(....)</w:t>
            </w:r>
          </w:p>
        </w:tc>
        <w:tc>
          <w:tcPr>
            <w:tcW w:w="1308" w:type="dxa"/>
            <w:tcBorders/>
            <w:tcMar>
              <w:start w:w="227" w:type="dxa"/>
              <w:end w:w="227" w:type="dxa"/>
            </w:tcMar>
          </w:tcPr>
          <w:p>
            <w:pPr>
              <w:pStyle w:val="Normal"/>
              <w:spacing w:lineRule="exact" w:line="440"/>
              <w:ind w:end="0"/>
              <w:jc w:val="center"/>
              <w:rPr>
                <w:rFonts w:cs="B Lotus"/>
              </w:rPr>
            </w:pPr>
            <w:r>
              <w:rPr>
                <w:rFonts w:cs="B Lotus"/>
                <w:rtl w:val="true"/>
              </w:rPr>
              <w:t>(....)</w:t>
            </w:r>
          </w:p>
        </w:tc>
      </w:tr>
      <w:tr>
        <w:trPr/>
        <w:tc>
          <w:tcPr>
            <w:tcW w:w="4514" w:type="dxa"/>
            <w:tcBorders/>
          </w:tcPr>
          <w:p>
            <w:pPr>
              <w:pStyle w:val="JadvalMatne"/>
              <w:ind w:end="0"/>
              <w:jc w:val="start"/>
              <w:rPr/>
            </w:pPr>
            <w:r>
              <w:rPr>
                <w:rtl w:val="true"/>
              </w:rPr>
              <w:t>خالص ساير درآمدها و هزينه‌هاي غيرعملياتي</w:t>
            </w:r>
          </w:p>
        </w:tc>
        <w:tc>
          <w:tcPr>
            <w:tcW w:w="1578" w:type="dxa"/>
            <w:tcBorders/>
          </w:tcPr>
          <w:p>
            <w:pPr>
              <w:pStyle w:val="Normal"/>
              <w:snapToGrid w:val="false"/>
              <w:spacing w:lineRule="exact" w:line="440"/>
              <w:ind w:end="0"/>
              <w:jc w:val="center"/>
              <w:rPr>
                <w:rFonts w:cs="B Lotus"/>
              </w:rPr>
            </w:pPr>
            <w:r>
              <w:rPr>
                <w:rFonts w:cs="B Lotus"/>
                <w:rtl w:val="true"/>
              </w:rPr>
            </w:r>
          </w:p>
        </w:tc>
        <w:tc>
          <w:tcPr>
            <w:tcW w:w="1320" w:type="dxa"/>
            <w:tcBorders/>
            <w:tcMar>
              <w:start w:w="227" w:type="dxa"/>
              <w:end w:w="227" w:type="dxa"/>
            </w:tcMar>
          </w:tcPr>
          <w:p>
            <w:pPr>
              <w:pStyle w:val="Normal"/>
              <w:pBdr>
                <w:bottom w:val="single" w:sz="6" w:space="1" w:color="000000"/>
              </w:pBdr>
              <w:spacing w:lineRule="exact" w:line="440"/>
              <w:ind w:end="0"/>
              <w:jc w:val="center"/>
              <w:rPr>
                <w:rFonts w:cs="B Lotus"/>
              </w:rPr>
            </w:pPr>
            <w:r>
              <w:rPr>
                <w:rFonts w:cs="B Lotus"/>
                <w:rtl w:val="true"/>
              </w:rPr>
              <w:t>(....)</w:t>
            </w:r>
          </w:p>
        </w:tc>
        <w:tc>
          <w:tcPr>
            <w:tcW w:w="1308" w:type="dxa"/>
            <w:tcBorders/>
            <w:tcMar>
              <w:start w:w="227" w:type="dxa"/>
              <w:end w:w="227" w:type="dxa"/>
            </w:tcMar>
          </w:tcPr>
          <w:p>
            <w:pPr>
              <w:pStyle w:val="Normal"/>
              <w:pBdr>
                <w:bottom w:val="single" w:sz="6" w:space="1" w:color="000000"/>
              </w:pBdr>
              <w:spacing w:lineRule="exact" w:line="440"/>
              <w:ind w:end="0"/>
              <w:jc w:val="center"/>
              <w:rPr>
                <w:rFonts w:cs="B Lotus"/>
              </w:rPr>
            </w:pPr>
            <w:r>
              <w:rPr>
                <w:rFonts w:cs="B Lotus"/>
                <w:rtl w:val="true"/>
              </w:rPr>
              <w:t>(....)</w:t>
            </w:r>
          </w:p>
        </w:tc>
      </w:tr>
      <w:tr>
        <w:trPr/>
        <w:tc>
          <w:tcPr>
            <w:tcW w:w="4514" w:type="dxa"/>
            <w:tcBorders/>
          </w:tcPr>
          <w:p>
            <w:pPr>
              <w:pStyle w:val="JadvalMatne"/>
              <w:ind w:end="0"/>
              <w:jc w:val="start"/>
              <w:rPr/>
            </w:pPr>
            <w:r>
              <w:rPr>
                <w:rtl w:val="true"/>
              </w:rPr>
              <w:t>سود عملیات در حال تداوم قبل از ماليات</w:t>
            </w:r>
          </w:p>
        </w:tc>
        <w:tc>
          <w:tcPr>
            <w:tcW w:w="1578" w:type="dxa"/>
            <w:tcBorders/>
          </w:tcPr>
          <w:p>
            <w:pPr>
              <w:pStyle w:val="Normal"/>
              <w:snapToGrid w:val="false"/>
              <w:spacing w:lineRule="exact" w:line="440"/>
              <w:ind w:end="0"/>
              <w:jc w:val="center"/>
              <w:rPr>
                <w:rFonts w:cs="B Lotus"/>
              </w:rPr>
            </w:pPr>
            <w:r>
              <w:rPr>
                <w:rFonts w:cs="B Lotus"/>
                <w:rtl w:val="true"/>
              </w:rPr>
            </w:r>
          </w:p>
        </w:tc>
        <w:tc>
          <w:tcPr>
            <w:tcW w:w="1320" w:type="dxa"/>
            <w:tcBorders/>
            <w:tcMar>
              <w:start w:w="227" w:type="dxa"/>
              <w:end w:w="227" w:type="dxa"/>
            </w:tcMar>
          </w:tcPr>
          <w:p>
            <w:pPr>
              <w:pStyle w:val="Normal"/>
              <w:spacing w:lineRule="exact" w:line="440"/>
              <w:ind w:end="0"/>
              <w:jc w:val="center"/>
              <w:rPr>
                <w:rFonts w:cs="B Lotus"/>
              </w:rPr>
            </w:pPr>
            <w:r>
              <w:rPr>
                <w:rFonts w:cs="B Lotus"/>
                <w:rtl w:val="true"/>
              </w:rPr>
              <w:t>....</w:t>
            </w:r>
          </w:p>
        </w:tc>
        <w:tc>
          <w:tcPr>
            <w:tcW w:w="1308" w:type="dxa"/>
            <w:tcBorders/>
            <w:tcMar>
              <w:start w:w="227" w:type="dxa"/>
              <w:end w:w="227" w:type="dxa"/>
            </w:tcMar>
          </w:tcPr>
          <w:p>
            <w:pPr>
              <w:pStyle w:val="Normal"/>
              <w:spacing w:lineRule="exact" w:line="440"/>
              <w:ind w:end="0"/>
              <w:jc w:val="center"/>
              <w:rPr>
                <w:rFonts w:cs="B Lotus"/>
              </w:rPr>
            </w:pPr>
            <w:r>
              <w:rPr>
                <w:rFonts w:cs="B Lotus"/>
                <w:rtl w:val="true"/>
              </w:rPr>
              <w:t>....</w:t>
            </w:r>
          </w:p>
        </w:tc>
      </w:tr>
      <w:tr>
        <w:trPr/>
        <w:tc>
          <w:tcPr>
            <w:tcW w:w="4514" w:type="dxa"/>
            <w:tcBorders/>
          </w:tcPr>
          <w:p>
            <w:pPr>
              <w:pStyle w:val="JadvalMatne"/>
              <w:ind w:end="0"/>
              <w:jc w:val="start"/>
              <w:rPr>
                <w:rFonts w:hint="cs"/>
              </w:rPr>
            </w:pPr>
            <w:r>
              <w:rPr>
                <w:rtl w:val="true"/>
              </w:rPr>
              <w:t xml:space="preserve">ماليات </w:t>
            </w:r>
            <w:r>
              <w:rPr>
                <w:rFonts w:hint="cs"/>
                <w:rtl w:val="true"/>
              </w:rPr>
              <w:t>بر درآمد</w:t>
            </w:r>
          </w:p>
        </w:tc>
        <w:tc>
          <w:tcPr>
            <w:tcW w:w="1578" w:type="dxa"/>
            <w:tcBorders/>
          </w:tcPr>
          <w:p>
            <w:pPr>
              <w:pStyle w:val="Normal"/>
              <w:snapToGrid w:val="false"/>
              <w:spacing w:lineRule="exact" w:line="440"/>
              <w:ind w:end="0"/>
              <w:jc w:val="center"/>
              <w:rPr>
                <w:rFonts w:cs="B Lotus"/>
              </w:rPr>
            </w:pPr>
            <w:r>
              <w:rPr>
                <w:rFonts w:cs="B Lotus" w:hint="cs"/>
                <w:rtl w:val="true"/>
              </w:rPr>
            </w:r>
          </w:p>
        </w:tc>
        <w:tc>
          <w:tcPr>
            <w:tcW w:w="1320" w:type="dxa"/>
            <w:tcBorders/>
            <w:tcMar>
              <w:start w:w="227" w:type="dxa"/>
              <w:end w:w="227" w:type="dxa"/>
            </w:tcMar>
          </w:tcPr>
          <w:p>
            <w:pPr>
              <w:pStyle w:val="Normal"/>
              <w:pBdr>
                <w:bottom w:val="single" w:sz="6" w:space="1" w:color="000000"/>
              </w:pBdr>
              <w:spacing w:lineRule="exact" w:line="440"/>
              <w:ind w:end="0"/>
              <w:jc w:val="center"/>
              <w:rPr>
                <w:rFonts w:cs="B Lotus"/>
              </w:rPr>
            </w:pPr>
            <w:r>
              <w:rPr>
                <w:rFonts w:cs="B Lotus"/>
                <w:rtl w:val="true"/>
              </w:rPr>
              <w:t>(....)</w:t>
            </w:r>
          </w:p>
        </w:tc>
        <w:tc>
          <w:tcPr>
            <w:tcW w:w="1308" w:type="dxa"/>
            <w:tcBorders/>
            <w:tcMar>
              <w:start w:w="227" w:type="dxa"/>
              <w:end w:w="227" w:type="dxa"/>
            </w:tcMar>
          </w:tcPr>
          <w:p>
            <w:pPr>
              <w:pStyle w:val="Normal"/>
              <w:pBdr>
                <w:bottom w:val="single" w:sz="6" w:space="1" w:color="000000"/>
              </w:pBdr>
              <w:spacing w:lineRule="exact" w:line="440"/>
              <w:ind w:end="0"/>
              <w:jc w:val="center"/>
              <w:rPr>
                <w:rFonts w:cs="B Lotus"/>
              </w:rPr>
            </w:pPr>
            <w:r>
              <w:rPr>
                <w:rFonts w:cs="B Lotus"/>
                <w:rtl w:val="true"/>
              </w:rPr>
              <w:t>(....)</w:t>
            </w:r>
          </w:p>
        </w:tc>
      </w:tr>
      <w:tr>
        <w:trPr/>
        <w:tc>
          <w:tcPr>
            <w:tcW w:w="4514" w:type="dxa"/>
            <w:tcBorders/>
          </w:tcPr>
          <w:p>
            <w:pPr>
              <w:pStyle w:val="JadvalMatne"/>
              <w:ind w:end="0"/>
              <w:jc w:val="start"/>
              <w:rPr/>
            </w:pPr>
            <w:r>
              <w:rPr>
                <w:rtl w:val="true"/>
              </w:rPr>
              <w:t xml:space="preserve">سود </w:t>
            </w:r>
            <w:r>
              <w:rPr>
                <w:rFonts w:hint="cs"/>
                <w:rtl w:val="true"/>
              </w:rPr>
              <w:t xml:space="preserve">خالص </w:t>
            </w:r>
            <w:r>
              <w:rPr>
                <w:rtl w:val="true"/>
              </w:rPr>
              <w:t>عمليات در حال تداوم</w:t>
            </w:r>
          </w:p>
        </w:tc>
        <w:tc>
          <w:tcPr>
            <w:tcW w:w="1578" w:type="dxa"/>
            <w:tcBorders/>
          </w:tcPr>
          <w:p>
            <w:pPr>
              <w:pStyle w:val="Normal"/>
              <w:snapToGrid w:val="false"/>
              <w:spacing w:lineRule="exact" w:line="440"/>
              <w:ind w:end="0"/>
              <w:jc w:val="center"/>
              <w:rPr>
                <w:rFonts w:cs="B Lotus"/>
              </w:rPr>
            </w:pPr>
            <w:r>
              <w:rPr>
                <w:rFonts w:cs="B Lotus"/>
                <w:rtl w:val="true"/>
              </w:rPr>
            </w:r>
          </w:p>
        </w:tc>
        <w:tc>
          <w:tcPr>
            <w:tcW w:w="1320" w:type="dxa"/>
            <w:tcBorders/>
            <w:tcMar>
              <w:start w:w="227" w:type="dxa"/>
              <w:end w:w="227" w:type="dxa"/>
            </w:tcMar>
          </w:tcPr>
          <w:p>
            <w:pPr>
              <w:pStyle w:val="Normal"/>
              <w:spacing w:lineRule="exact" w:line="440"/>
              <w:ind w:end="0"/>
              <w:jc w:val="center"/>
              <w:rPr>
                <w:rFonts w:cs="B Lotus"/>
              </w:rPr>
            </w:pPr>
            <w:r>
              <w:rPr>
                <w:rFonts w:cs="B Lotus"/>
                <w:rtl w:val="true"/>
              </w:rPr>
              <w:t>....</w:t>
            </w:r>
          </w:p>
        </w:tc>
        <w:tc>
          <w:tcPr>
            <w:tcW w:w="1308" w:type="dxa"/>
            <w:tcBorders>
              <w:bottom w:val="single" w:sz="8" w:space="0" w:color="000000"/>
            </w:tcBorders>
            <w:tcMar>
              <w:start w:w="227" w:type="dxa"/>
              <w:end w:w="227" w:type="dxa"/>
            </w:tcMar>
          </w:tcPr>
          <w:p>
            <w:pPr>
              <w:pStyle w:val="Normal"/>
              <w:spacing w:lineRule="exact" w:line="440"/>
              <w:ind w:end="0"/>
              <w:jc w:val="center"/>
              <w:rPr>
                <w:rFonts w:cs="B Lotus"/>
              </w:rPr>
            </w:pPr>
            <w:r>
              <w:rPr>
                <w:rFonts w:cs="B Lotus"/>
                <w:rtl w:val="true"/>
              </w:rPr>
              <w:t>....</w:t>
            </w:r>
          </w:p>
        </w:tc>
      </w:tr>
      <w:tr>
        <w:trPr/>
        <w:tc>
          <w:tcPr>
            <w:tcW w:w="4514" w:type="dxa"/>
            <w:tcBorders/>
          </w:tcPr>
          <w:p>
            <w:pPr>
              <w:pStyle w:val="JadvalMatne"/>
              <w:ind w:end="0"/>
              <w:jc w:val="start"/>
              <w:rPr/>
            </w:pPr>
            <w:r>
              <w:rPr>
                <w:rtl w:val="true"/>
              </w:rPr>
              <w:t xml:space="preserve">سود عمليات متوقف شده </w:t>
            </w:r>
            <w:r>
              <w:rPr>
                <w:rFonts w:hint="cs"/>
                <w:rtl w:val="true"/>
              </w:rPr>
              <w:t>قبل از مالیات</w:t>
            </w:r>
            <w:r>
              <w:rPr>
                <w:vertAlign w:val="superscript"/>
                <w:rtl w:val="true"/>
              </w:rPr>
              <w:t>(</w:t>
            </w:r>
            <w:r>
              <w:rPr>
                <w:vertAlign w:val="superscript"/>
              </w:rPr>
              <w:t>1</w:t>
            </w:r>
            <w:r>
              <w:rPr>
                <w:vertAlign w:val="superscript"/>
                <w:rtl w:val="true"/>
              </w:rPr>
              <w:t>)</w:t>
            </w:r>
          </w:p>
        </w:tc>
        <w:tc>
          <w:tcPr>
            <w:tcW w:w="1578" w:type="dxa"/>
            <w:tcBorders/>
          </w:tcPr>
          <w:p>
            <w:pPr>
              <w:pStyle w:val="Normal"/>
              <w:spacing w:lineRule="exact" w:line="440"/>
              <w:ind w:end="0"/>
              <w:jc w:val="center"/>
              <w:rPr>
                <w:rFonts w:cs="B Lotus"/>
              </w:rPr>
            </w:pPr>
            <w:r>
              <w:rPr>
                <w:rFonts w:cs="B Lotus"/>
                <w:rtl w:val="true"/>
              </w:rPr>
              <w:t>....</w:t>
            </w:r>
          </w:p>
        </w:tc>
        <w:tc>
          <w:tcPr>
            <w:tcW w:w="1320" w:type="dxa"/>
            <w:tcBorders>
              <w:end w:val="single" w:sz="8" w:space="0" w:color="000000"/>
            </w:tcBorders>
            <w:tcMar>
              <w:start w:w="227" w:type="dxa"/>
              <w:end w:w="227" w:type="dxa"/>
            </w:tcMar>
          </w:tcPr>
          <w:p>
            <w:pPr>
              <w:pStyle w:val="Normal"/>
              <w:snapToGrid w:val="false"/>
              <w:spacing w:lineRule="exact" w:line="440"/>
              <w:ind w:end="0"/>
              <w:jc w:val="center"/>
              <w:rPr>
                <w:rFonts w:cs="B Lotus"/>
              </w:rPr>
            </w:pPr>
            <w:r>
              <w:rPr>
                <w:rFonts w:cs="B Lotus"/>
                <w:rtl w:val="true"/>
              </w:rPr>
            </w:r>
          </w:p>
        </w:tc>
        <w:tc>
          <w:tcPr>
            <w:tcW w:w="1308" w:type="dxa"/>
            <w:tcBorders>
              <w:top w:val="single" w:sz="8" w:space="0" w:color="000000"/>
              <w:start w:val="single" w:sz="8" w:space="0" w:color="000000"/>
              <w:end w:val="single" w:sz="8" w:space="0" w:color="000000"/>
            </w:tcBorders>
            <w:tcMar>
              <w:start w:w="227" w:type="dxa"/>
              <w:end w:w="227" w:type="dxa"/>
            </w:tcMar>
          </w:tcPr>
          <w:p>
            <w:pPr>
              <w:pStyle w:val="Normal"/>
              <w:spacing w:lineRule="exact" w:line="440"/>
              <w:ind w:end="0"/>
              <w:jc w:val="center"/>
              <w:rPr>
                <w:rFonts w:cs="B Lotus"/>
              </w:rPr>
            </w:pPr>
            <w:r>
              <w:rPr>
                <w:rFonts w:cs="B Lotus"/>
                <w:rtl w:val="true"/>
              </w:rPr>
              <w:t>....</w:t>
            </w:r>
          </w:p>
        </w:tc>
      </w:tr>
      <w:tr>
        <w:trPr/>
        <w:tc>
          <w:tcPr>
            <w:tcW w:w="4514" w:type="dxa"/>
            <w:tcBorders/>
          </w:tcPr>
          <w:p>
            <w:pPr>
              <w:pStyle w:val="JadvalMatne"/>
              <w:ind w:end="0"/>
              <w:jc w:val="start"/>
              <w:rPr/>
            </w:pPr>
            <w:r>
              <w:rPr>
                <w:rtl w:val="true"/>
              </w:rPr>
              <w:t>اثر مالياتي</w:t>
            </w:r>
          </w:p>
        </w:tc>
        <w:tc>
          <w:tcPr>
            <w:tcW w:w="1578" w:type="dxa"/>
            <w:tcBorders/>
          </w:tcPr>
          <w:p>
            <w:pPr>
              <w:pStyle w:val="Normal"/>
              <w:pBdr>
                <w:bottom w:val="single" w:sz="6" w:space="1" w:color="000000"/>
              </w:pBdr>
              <w:spacing w:lineRule="exact" w:line="440"/>
              <w:ind w:start="170" w:end="170"/>
              <w:jc w:val="center"/>
              <w:rPr>
                <w:rFonts w:cs="B Lotus"/>
              </w:rPr>
            </w:pPr>
            <w:r>
              <w:rPr>
                <w:rFonts w:cs="B Lotus"/>
                <w:rtl w:val="true"/>
              </w:rPr>
              <w:t>(....)</w:t>
            </w:r>
          </w:p>
        </w:tc>
        <w:tc>
          <w:tcPr>
            <w:tcW w:w="1320" w:type="dxa"/>
            <w:tcBorders>
              <w:end w:val="single" w:sz="8" w:space="0" w:color="000000"/>
            </w:tcBorders>
            <w:tcMar>
              <w:start w:w="227" w:type="dxa"/>
              <w:end w:w="227" w:type="dxa"/>
            </w:tcMar>
          </w:tcPr>
          <w:p>
            <w:pPr>
              <w:pStyle w:val="Normal"/>
              <w:snapToGrid w:val="false"/>
              <w:spacing w:lineRule="exact" w:line="440"/>
              <w:ind w:end="0"/>
              <w:jc w:val="center"/>
              <w:rPr>
                <w:rFonts w:cs="B Lotus"/>
              </w:rPr>
            </w:pPr>
            <w:r>
              <w:rPr>
                <w:rFonts w:cs="B Lotus"/>
                <w:rtl w:val="true"/>
              </w:rPr>
            </w:r>
          </w:p>
        </w:tc>
        <w:tc>
          <w:tcPr>
            <w:tcW w:w="1308" w:type="dxa"/>
            <w:tcBorders>
              <w:start w:val="single" w:sz="8" w:space="0" w:color="000000"/>
              <w:bottom w:val="single" w:sz="8" w:space="0" w:color="000000"/>
              <w:end w:val="single" w:sz="8" w:space="0" w:color="000000"/>
            </w:tcBorders>
            <w:tcMar>
              <w:start w:w="227" w:type="dxa"/>
              <w:end w:w="227" w:type="dxa"/>
            </w:tcMar>
          </w:tcPr>
          <w:p>
            <w:pPr>
              <w:pStyle w:val="Normal"/>
              <w:ind w:end="0"/>
              <w:jc w:val="center"/>
              <w:rPr>
                <w:rFonts w:cs="B Lotus"/>
              </w:rPr>
            </w:pPr>
            <w:r>
              <w:rPr>
                <w:rFonts w:cs="B Lotus"/>
                <w:rtl w:val="true"/>
              </w:rPr>
              <w:t>(....)</w:t>
            </w:r>
          </w:p>
        </w:tc>
      </w:tr>
      <w:tr>
        <w:trPr/>
        <w:tc>
          <w:tcPr>
            <w:tcW w:w="4514" w:type="dxa"/>
            <w:tcBorders/>
          </w:tcPr>
          <w:p>
            <w:pPr>
              <w:pStyle w:val="JadvalMatne"/>
              <w:snapToGrid w:val="false"/>
              <w:ind w:end="0"/>
              <w:jc w:val="start"/>
              <w:rPr/>
            </w:pPr>
            <w:r>
              <w:rPr>
                <w:rFonts w:cs="B Lotus"/>
                <w:rtl w:val="true"/>
              </w:rPr>
            </w:r>
          </w:p>
        </w:tc>
        <w:tc>
          <w:tcPr>
            <w:tcW w:w="1578" w:type="dxa"/>
            <w:tcBorders/>
          </w:tcPr>
          <w:p>
            <w:pPr>
              <w:pStyle w:val="Normal"/>
              <w:snapToGrid w:val="false"/>
              <w:spacing w:lineRule="exact" w:line="440"/>
              <w:ind w:end="0"/>
              <w:jc w:val="center"/>
              <w:rPr>
                <w:rFonts w:cs="B Lotus"/>
              </w:rPr>
            </w:pPr>
            <w:r>
              <w:rPr>
                <w:rFonts w:cs="B Lotus"/>
                <w:rtl w:val="true"/>
              </w:rPr>
            </w:r>
          </w:p>
        </w:tc>
        <w:tc>
          <w:tcPr>
            <w:tcW w:w="1320" w:type="dxa"/>
            <w:tcBorders/>
            <w:tcMar>
              <w:start w:w="227" w:type="dxa"/>
              <w:end w:w="227" w:type="dxa"/>
            </w:tcMar>
          </w:tcPr>
          <w:p>
            <w:pPr>
              <w:pStyle w:val="Normal"/>
              <w:pBdr>
                <w:bottom w:val="single" w:sz="6" w:space="1" w:color="000000"/>
              </w:pBdr>
              <w:spacing w:lineRule="exact" w:line="440"/>
              <w:ind w:end="0"/>
              <w:jc w:val="center"/>
              <w:rPr>
                <w:rFonts w:cs="B Lotus"/>
              </w:rPr>
            </w:pPr>
            <w:r>
              <w:rPr>
                <w:rFonts w:cs="B Lotus"/>
                <w:rtl w:val="true"/>
              </w:rPr>
              <w:t>....</w:t>
            </w:r>
          </w:p>
        </w:tc>
        <w:tc>
          <w:tcPr>
            <w:tcW w:w="1308" w:type="dxa"/>
            <w:tcBorders>
              <w:top w:val="single" w:sz="8" w:space="0" w:color="000000"/>
            </w:tcBorders>
            <w:tcMar>
              <w:start w:w="227" w:type="dxa"/>
              <w:end w:w="227" w:type="dxa"/>
            </w:tcMar>
          </w:tcPr>
          <w:p>
            <w:pPr>
              <w:pStyle w:val="Normal"/>
              <w:pBdr>
                <w:bottom w:val="single" w:sz="6" w:space="1" w:color="000000"/>
              </w:pBdr>
              <w:spacing w:lineRule="exact" w:line="440"/>
              <w:ind w:end="0"/>
              <w:jc w:val="center"/>
              <w:rPr>
                <w:rFonts w:cs="B Lotus"/>
              </w:rPr>
            </w:pPr>
            <w:r>
              <w:rPr>
                <w:rFonts w:cs="B Lotus"/>
                <w:rtl w:val="true"/>
              </w:rPr>
              <w:t>....</w:t>
            </w:r>
          </w:p>
        </w:tc>
      </w:tr>
      <w:tr>
        <w:trPr>
          <w:trHeight w:val="557" w:hRule="atLeast"/>
        </w:trPr>
        <w:tc>
          <w:tcPr>
            <w:tcW w:w="4514" w:type="dxa"/>
            <w:tcBorders/>
          </w:tcPr>
          <w:p>
            <w:pPr>
              <w:pStyle w:val="JadvalMatne"/>
              <w:ind w:end="0"/>
              <w:jc w:val="start"/>
              <w:rPr/>
            </w:pPr>
            <w:r>
              <w:rPr>
                <w:rtl w:val="true"/>
              </w:rPr>
              <w:t>سود خالص</w:t>
            </w:r>
          </w:p>
        </w:tc>
        <w:tc>
          <w:tcPr>
            <w:tcW w:w="1578" w:type="dxa"/>
            <w:tcBorders/>
          </w:tcPr>
          <w:p>
            <w:pPr>
              <w:pStyle w:val="Normal"/>
              <w:snapToGrid w:val="false"/>
              <w:spacing w:lineRule="exact" w:line="440"/>
              <w:ind w:end="0"/>
              <w:jc w:val="center"/>
              <w:rPr>
                <w:rFonts w:cs="B Lotus"/>
              </w:rPr>
            </w:pPr>
            <w:r>
              <w:rPr>
                <w:rFonts w:cs="B Lotus"/>
                <w:rtl w:val="true"/>
              </w:rPr>
            </w:r>
          </w:p>
        </w:tc>
        <w:tc>
          <w:tcPr>
            <w:tcW w:w="1320" w:type="dxa"/>
            <w:tcBorders/>
            <w:tcMar>
              <w:start w:w="227" w:type="dxa"/>
              <w:end w:w="227" w:type="dxa"/>
            </w:tcMar>
          </w:tcPr>
          <w:p>
            <w:pPr>
              <w:pStyle w:val="Normal"/>
              <w:pBdr>
                <w:bottom w:val="double" w:sz="4" w:space="1" w:color="000000"/>
              </w:pBdr>
              <w:spacing w:lineRule="exact" w:line="440"/>
              <w:ind w:end="0"/>
              <w:jc w:val="center"/>
              <w:rPr>
                <w:rFonts w:cs="B Lotus"/>
              </w:rPr>
            </w:pPr>
            <w:r>
              <w:rPr>
                <w:rFonts w:cs="B Lotus"/>
                <w:rtl w:val="true"/>
              </w:rPr>
              <w:t>....</w:t>
            </w:r>
          </w:p>
        </w:tc>
        <w:tc>
          <w:tcPr>
            <w:tcW w:w="1308" w:type="dxa"/>
            <w:tcBorders/>
            <w:tcMar>
              <w:start w:w="227" w:type="dxa"/>
              <w:end w:w="227" w:type="dxa"/>
            </w:tcMar>
          </w:tcPr>
          <w:p>
            <w:pPr>
              <w:pStyle w:val="Normal"/>
              <w:pBdr>
                <w:bottom w:val="double" w:sz="4" w:space="1" w:color="000000"/>
              </w:pBdr>
              <w:spacing w:lineRule="exact" w:line="440"/>
              <w:ind w:end="0"/>
              <w:jc w:val="center"/>
              <w:rPr>
                <w:rFonts w:cs="B Lotus"/>
              </w:rPr>
            </w:pPr>
            <w:r>
              <w:rPr>
                <w:rFonts w:cs="B Lotus"/>
                <w:rtl w:val="true"/>
              </w:rPr>
              <w:t>....</w:t>
            </w:r>
          </w:p>
        </w:tc>
      </w:tr>
    </w:tbl>
    <w:p>
      <w:pPr>
        <w:pStyle w:val="Normal"/>
        <w:spacing w:before="0" w:after="120"/>
        <w:ind w:end="0"/>
        <w:jc w:val="start"/>
        <w:rPr>
          <w:rFonts w:cs="B Lotus"/>
          <w:szCs w:val="20"/>
        </w:rPr>
      </w:pPr>
      <w:r>
        <w:rPr>
          <w:rFonts w:cs="B Lotus"/>
          <w:szCs w:val="20"/>
          <w:rtl w:val="true"/>
        </w:rPr>
      </w:r>
    </w:p>
    <w:p>
      <w:pPr>
        <w:pStyle w:val="Normal"/>
        <w:spacing w:before="0" w:after="120"/>
        <w:ind w:end="0"/>
        <w:jc w:val="start"/>
        <w:rPr>
          <w:rFonts w:cs="B Lotus"/>
        </w:rPr>
      </w:pPr>
      <w:r>
        <w:rPr>
          <w:rFonts w:cs="B Lotus"/>
          <w:rtl w:val="true"/>
        </w:rPr>
        <w:t>(</w:t>
      </w:r>
      <w:r>
        <w:rPr>
          <w:rFonts w:cs="B Lotus"/>
        </w:rPr>
        <w:t>1</w:t>
      </w:r>
      <w:r>
        <w:rPr>
          <w:rFonts w:cs="B Lotus"/>
          <w:rtl w:val="true"/>
        </w:rPr>
        <w:t xml:space="preserve">) </w:t>
      </w:r>
      <w:r>
        <w:rPr>
          <w:rFonts w:cs="B Lotus" w:hint="cs"/>
          <w:rtl w:val="true"/>
        </w:rPr>
        <w:t xml:space="preserve"> </w:t>
      </w:r>
      <w:r>
        <w:rPr>
          <w:rFonts w:cs="B Lotus"/>
          <w:rtl w:val="true"/>
        </w:rPr>
        <w:t>جزئيات مورد نياز در يادداشتهاي توضيحي ارائه مي‌شود</w:t>
      </w:r>
      <w:r>
        <w:rPr>
          <w:rFonts w:cs="B Lotus"/>
          <w:rtl w:val="true"/>
        </w:rPr>
        <w:t>.</w:t>
      </w:r>
      <w:r>
        <w:br w:type="page"/>
      </w:r>
    </w:p>
    <w:p>
      <w:pPr>
        <w:pStyle w:val="Heading1"/>
        <w:ind w:end="0"/>
        <w:jc w:val="start"/>
        <w:rPr>
          <w:spacing w:val="-10"/>
        </w:rPr>
      </w:pPr>
      <w:r>
        <w:rPr>
          <w:spacing w:val="-4"/>
          <w:rtl w:val="true"/>
        </w:rPr>
        <w:t>ارائه دارايي غيرجاري</w:t>
      </w:r>
      <w:r>
        <w:rPr>
          <w:spacing w:val="-10"/>
          <w:rtl w:val="true"/>
        </w:rPr>
        <w:t xml:space="preserve"> </w:t>
      </w:r>
      <w:r>
        <w:rPr>
          <w:spacing w:val="-10"/>
          <w:rtl w:val="true"/>
        </w:rPr>
        <w:t>(</w:t>
      </w:r>
      <w:r>
        <w:rPr>
          <w:spacing w:val="-10"/>
          <w:rtl w:val="true"/>
        </w:rPr>
        <w:t>یا مجموعه واحد</w:t>
      </w:r>
      <w:r>
        <w:rPr>
          <w:spacing w:val="-10"/>
          <w:rtl w:val="true"/>
        </w:rPr>
        <w:t xml:space="preserve">) </w:t>
      </w:r>
      <w:r>
        <w:rPr>
          <w:spacing w:val="-10"/>
          <w:rtl w:val="true"/>
        </w:rPr>
        <w:t>طبقه‌بندي شده به</w:t>
      </w:r>
      <w:r>
        <w:rPr>
          <w:rFonts w:cs="Times New Roman"/>
          <w:spacing w:val="-10"/>
          <w:rtl w:val="true"/>
        </w:rPr>
        <w:t> </w:t>
      </w:r>
      <w:r>
        <w:rPr>
          <w:spacing w:val="-10"/>
          <w:rtl w:val="true"/>
        </w:rPr>
        <w:t xml:space="preserve">عنوان نگهداري شده براي فروش </w:t>
      </w:r>
      <w:r>
        <w:rPr>
          <w:spacing w:val="-10"/>
          <w:rtl w:val="true"/>
        </w:rPr>
        <w:t>(</w:t>
      </w:r>
      <w:r>
        <w:rPr>
          <w:spacing w:val="-10"/>
          <w:rtl w:val="true"/>
        </w:rPr>
        <w:t>بند</w:t>
      </w:r>
      <w:r>
        <w:rPr>
          <w:spacing w:val="-10"/>
          <w:rtl w:val="true"/>
        </w:rPr>
        <w:t> </w:t>
      </w:r>
      <w:r>
        <w:rPr>
          <w:spacing w:val="-10"/>
        </w:rPr>
        <w:t>37</w:t>
      </w:r>
      <w:r>
        <w:rPr>
          <w:spacing w:val="-10"/>
          <w:rtl w:val="true"/>
        </w:rPr>
        <w:t>)</w:t>
      </w:r>
    </w:p>
    <w:p>
      <w:pPr>
        <w:pStyle w:val="Matn"/>
        <w:ind w:end="0"/>
        <w:jc w:val="both"/>
        <w:rPr/>
      </w:pPr>
      <w:r>
        <w:rPr>
          <w:rtl w:val="true"/>
        </w:rPr>
        <w:t xml:space="preserve">طبق بند </w:t>
      </w:r>
      <w:r>
        <w:rPr/>
        <w:t>37</w:t>
      </w:r>
      <w:r>
        <w:rPr>
          <w:rtl w:val="true"/>
        </w:rPr>
        <w:t xml:space="preserve"> </w:t>
      </w:r>
      <w:r>
        <w:rPr>
          <w:rtl w:val="true"/>
        </w:rPr>
        <w:t>استاندارد، واحد تجاري بايد دارايي غيرجاري طبقه‌بندي شده به</w:t>
      </w:r>
      <w:r>
        <w:rPr>
          <w:rFonts w:cs="Times New Roman"/>
          <w:rtl w:val="true"/>
        </w:rPr>
        <w:t> </w:t>
      </w:r>
      <w:r>
        <w:rPr>
          <w:rtl w:val="true"/>
        </w:rPr>
        <w:t>عنوان نگهداري شده براي فروش و داراييهاي يک مجموعه واحد طبقه‌بندي شده به</w:t>
      </w:r>
      <w:r>
        <w:rPr>
          <w:rFonts w:cs="Times New Roman"/>
          <w:rtl w:val="true"/>
        </w:rPr>
        <w:t> </w:t>
      </w:r>
      <w:r>
        <w:rPr>
          <w:rtl w:val="true"/>
        </w:rPr>
        <w:t>عنوان نگهداري شده براي فروش را جدا از ساير داراييها در ترازنامه ارائه نمايد</w:t>
      </w:r>
      <w:r>
        <w:rPr>
          <w:rtl w:val="true"/>
        </w:rPr>
        <w:t xml:space="preserve">. </w:t>
      </w:r>
      <w:r>
        <w:rPr>
          <w:rtl w:val="true"/>
        </w:rPr>
        <w:t>بدهيهاي مجموعه‌ واحدي که به</w:t>
      </w:r>
      <w:r>
        <w:rPr>
          <w:rFonts w:cs="Times New Roman"/>
          <w:rtl w:val="true"/>
        </w:rPr>
        <w:t> </w:t>
      </w:r>
      <w:r>
        <w:rPr>
          <w:rtl w:val="true"/>
        </w:rPr>
        <w:t>عنوان نگهداري شده براي فروش طبقه‌بندي مي‌شود نيز بايد جدا از ساير بدهيها در ترازنامه ارائه گردد</w:t>
      </w:r>
      <w:r>
        <w:rPr>
          <w:rtl w:val="true"/>
        </w:rPr>
        <w:t xml:space="preserve">. </w:t>
      </w:r>
      <w:r>
        <w:rPr>
          <w:rtl w:val="true"/>
        </w:rPr>
        <w:t>اين داراييها و بدهيها نبايد با يکديگر تهاتر شوند و مبلغ آنها به</w:t>
      </w:r>
      <w:r>
        <w:rPr>
          <w:rFonts w:hint="cs" w:cs="Times New Roman"/>
          <w:rtl w:val="true"/>
        </w:rPr>
        <w:t> </w:t>
      </w:r>
      <w:r>
        <w:rPr>
          <w:rtl w:val="true"/>
        </w:rPr>
        <w:t>طور جداگانه ارائه مي‌شود</w:t>
      </w:r>
      <w:r>
        <w:rPr>
          <w:rtl w:val="true"/>
        </w:rPr>
        <w:t>.</w:t>
        <w:br/>
      </w:r>
      <w:r>
        <w:rPr>
          <w:rtl w:val="true"/>
        </w:rPr>
        <w:t xml:space="preserve">مثال </w:t>
      </w:r>
      <w:r>
        <w:rPr/>
        <w:t>12</w:t>
      </w:r>
      <w:r>
        <w:rPr>
          <w:rtl w:val="true"/>
        </w:rPr>
        <w:t xml:space="preserve"> </w:t>
      </w:r>
      <w:r>
        <w:rPr>
          <w:rtl w:val="true"/>
        </w:rPr>
        <w:t>اين الزامات را تشريح مي‌کند</w:t>
      </w:r>
      <w:r>
        <w:rPr>
          <w:rtl w:val="true"/>
        </w:rPr>
        <w:t>.</w:t>
      </w:r>
    </w:p>
    <w:p>
      <w:pPr>
        <w:pStyle w:val="MesalTraffic"/>
        <w:ind w:end="0"/>
        <w:jc w:val="start"/>
        <w:rPr/>
      </w:pPr>
      <w:r>
        <w:rPr>
          <w:rtl w:val="true"/>
        </w:rPr>
        <w:t xml:space="preserve">مثال </w:t>
      </w:r>
      <w:r>
        <w:rPr/>
        <w:t>12</w:t>
      </w:r>
    </w:p>
    <w:p>
      <w:pPr>
        <w:pStyle w:val="Matn"/>
        <w:ind w:end="0"/>
        <w:jc w:val="both"/>
        <w:rPr/>
      </w:pPr>
      <w:r>
        <w:rPr>
          <w:rtl w:val="true"/>
        </w:rPr>
        <w:t xml:space="preserve">در پايان سال </w:t>
      </w:r>
      <w:r>
        <w:rPr/>
        <w:t>5</w:t>
      </w:r>
      <w:r>
        <w:rPr>
          <w:rtl w:val="true"/>
        </w:rPr>
        <w:t>×</w:t>
      </w:r>
      <w:r>
        <w:rPr/>
        <w:t>13</w:t>
      </w:r>
      <w:r>
        <w:rPr>
          <w:rtl w:val="true"/>
        </w:rPr>
        <w:t xml:space="preserve">، يک واحد تجاري تصميم گرفت بخشي از داراييها </w:t>
      </w:r>
      <w:r>
        <w:rPr>
          <w:rtl w:val="true"/>
        </w:rPr>
        <w:t>(</w:t>
      </w:r>
      <w:r>
        <w:rPr>
          <w:rtl w:val="true"/>
        </w:rPr>
        <w:t>و بدهيهاي مرتبط با آن</w:t>
      </w:r>
      <w:r>
        <w:rPr>
          <w:rtl w:val="true"/>
        </w:rPr>
        <w:t xml:space="preserve">) </w:t>
      </w:r>
      <w:r>
        <w:rPr>
          <w:rtl w:val="true"/>
        </w:rPr>
        <w:t>را واگذار نمايد</w:t>
      </w:r>
      <w:r>
        <w:rPr>
          <w:rtl w:val="true"/>
        </w:rPr>
        <w:t xml:space="preserve">. </w:t>
      </w:r>
      <w:r>
        <w:rPr>
          <w:rtl w:val="true"/>
        </w:rPr>
        <w:t xml:space="preserve">اين واگذاري، که معيارهاي مندرج در بندهاي </w:t>
      </w:r>
      <w:r>
        <w:rPr/>
        <w:t>8</w:t>
      </w:r>
      <w:r>
        <w:rPr>
          <w:rtl w:val="true"/>
        </w:rPr>
        <w:t xml:space="preserve"> </w:t>
      </w:r>
      <w:r>
        <w:rPr>
          <w:rtl w:val="true"/>
        </w:rPr>
        <w:t xml:space="preserve">و </w:t>
      </w:r>
      <w:r>
        <w:rPr/>
        <w:t>9</w:t>
      </w:r>
      <w:r>
        <w:rPr>
          <w:rtl w:val="true"/>
        </w:rPr>
        <w:t xml:space="preserve"> </w:t>
      </w:r>
      <w:r>
        <w:rPr>
          <w:rtl w:val="true"/>
        </w:rPr>
        <w:t>براي طبقه‌بندي به</w:t>
      </w:r>
      <w:r>
        <w:rPr>
          <w:rFonts w:cs="Times New Roman"/>
          <w:rtl w:val="true"/>
        </w:rPr>
        <w:t> </w:t>
      </w:r>
      <w:r>
        <w:rPr>
          <w:rtl w:val="true"/>
        </w:rPr>
        <w:t>عنوان نگهداري شده براي فروش را احراز مي‌کند، از دو مجموعه واحد به</w:t>
      </w:r>
      <w:r>
        <w:rPr>
          <w:rFonts w:cs="Times New Roman"/>
          <w:rtl w:val="true"/>
        </w:rPr>
        <w:t> </w:t>
      </w:r>
      <w:r>
        <w:rPr>
          <w:rtl w:val="true"/>
        </w:rPr>
        <w:t>صورت زير تشکيل شده است</w:t>
      </w:r>
      <w:r>
        <w:rPr>
          <w:rtl w:val="true"/>
        </w:rPr>
        <w:t>:</w:t>
      </w:r>
    </w:p>
    <w:p>
      <w:pPr>
        <w:pStyle w:val="Normal"/>
        <w:spacing w:before="0" w:after="120"/>
        <w:ind w:end="0"/>
        <w:jc w:val="start"/>
        <w:rPr>
          <w:rFonts w:cs="B Lotus"/>
          <w:sz w:val="2"/>
          <w:szCs w:val="6"/>
        </w:rPr>
      </w:pPr>
      <w:r>
        <w:rPr>
          <w:rFonts w:cs="B Lotus"/>
          <w:sz w:val="2"/>
          <w:szCs w:val="6"/>
          <w:rtl w:val="true"/>
        </w:rPr>
      </w:r>
    </w:p>
    <w:tbl>
      <w:tblPr>
        <w:tblW w:w="8520" w:type="dxa"/>
        <w:jc w:val="start"/>
        <w:tblInd w:w="92" w:type="dxa"/>
        <w:tblLayout w:type="fixed"/>
        <w:tblCellMar>
          <w:top w:w="0" w:type="dxa"/>
          <w:start w:w="108" w:type="dxa"/>
          <w:bottom w:w="0" w:type="dxa"/>
          <w:end w:w="108" w:type="dxa"/>
        </w:tblCellMar>
      </w:tblPr>
      <w:tblGrid>
        <w:gridCol w:w="1920"/>
        <w:gridCol w:w="2656"/>
        <w:gridCol w:w="3944"/>
      </w:tblGrid>
      <w:tr>
        <w:trPr>
          <w:cantSplit/>
        </w:trPr>
        <w:tc>
          <w:tcPr>
            <w:tcW w:w="4576" w:type="dxa"/>
            <w:gridSpan w:val="2"/>
            <w:tcBorders/>
          </w:tcPr>
          <w:p>
            <w:pPr>
              <w:pStyle w:val="JadvalTitrzar9"/>
              <w:spacing w:before="0" w:after="120"/>
              <w:ind w:end="0"/>
              <w:jc w:val="center"/>
              <w:rPr/>
            </w:pPr>
            <w:r>
              <w:rPr>
                <w:rtl w:val="true"/>
              </w:rPr>
              <w:t>مبلغ دفتري پس</w:t>
            </w:r>
            <w:r>
              <w:rPr>
                <w:rFonts w:cs="Times New Roman"/>
                <w:rtl w:val="true"/>
              </w:rPr>
              <w:t> </w:t>
            </w:r>
            <w:r>
              <w:rPr>
                <w:rtl w:val="true"/>
              </w:rPr>
              <w:t>از طبقه‌بندي به</w:t>
            </w:r>
            <w:r>
              <w:rPr>
                <w:rFonts w:cs="Times New Roman"/>
                <w:rtl w:val="true"/>
              </w:rPr>
              <w:t> </w:t>
            </w:r>
            <w:r>
              <w:rPr>
                <w:rtl w:val="true"/>
              </w:rPr>
              <w:t>عنوان نگهداري شده براي فروش</w:t>
            </w:r>
          </w:p>
        </w:tc>
        <w:tc>
          <w:tcPr>
            <w:tcW w:w="3944" w:type="dxa"/>
            <w:tcBorders/>
          </w:tcPr>
          <w:p>
            <w:pPr>
              <w:pStyle w:val="Normal"/>
              <w:snapToGrid w:val="false"/>
              <w:spacing w:before="0" w:after="120"/>
              <w:ind w:end="0"/>
              <w:jc w:val="start"/>
              <w:rPr>
                <w:rFonts w:cs="B Lotus"/>
              </w:rPr>
            </w:pPr>
            <w:r>
              <w:rPr>
                <w:rFonts w:cs="B Lotus"/>
                <w:rtl w:val="true"/>
              </w:rPr>
            </w:r>
          </w:p>
        </w:tc>
      </w:tr>
      <w:tr>
        <w:trPr/>
        <w:tc>
          <w:tcPr>
            <w:tcW w:w="1920" w:type="dxa"/>
            <w:tcBorders/>
          </w:tcPr>
          <w:p>
            <w:pPr>
              <w:pStyle w:val="Normal"/>
              <w:pBdr>
                <w:bottom w:val="single" w:sz="4" w:space="1" w:color="000000"/>
              </w:pBdr>
              <w:spacing w:before="0" w:after="120"/>
              <w:ind w:start="284" w:end="284"/>
              <w:jc w:val="center"/>
              <w:rPr>
                <w:rFonts w:cs="B Zar"/>
                <w:szCs w:val="18"/>
              </w:rPr>
            </w:pPr>
            <w:r>
              <w:rPr>
                <w:rFonts w:cs="B Zar"/>
                <w:szCs w:val="18"/>
                <w:rtl w:val="true"/>
              </w:rPr>
              <w:t xml:space="preserve">مجموعه‌ واحد </w:t>
            </w:r>
            <w:r>
              <w:rPr>
                <w:rFonts w:cs="B Zar"/>
                <w:szCs w:val="18"/>
              </w:rPr>
              <w:t>2</w:t>
            </w:r>
          </w:p>
        </w:tc>
        <w:tc>
          <w:tcPr>
            <w:tcW w:w="2656" w:type="dxa"/>
            <w:tcBorders/>
            <w:tcMar>
              <w:start w:w="340" w:type="dxa"/>
              <w:end w:w="340" w:type="dxa"/>
            </w:tcMar>
          </w:tcPr>
          <w:p>
            <w:pPr>
              <w:pStyle w:val="Normal"/>
              <w:pBdr>
                <w:bottom w:val="single" w:sz="4" w:space="1" w:color="000000"/>
              </w:pBdr>
              <w:spacing w:before="0" w:after="120"/>
              <w:ind w:start="397" w:end="397"/>
              <w:jc w:val="center"/>
              <w:rPr>
                <w:rFonts w:cs="B Zar"/>
                <w:szCs w:val="18"/>
              </w:rPr>
            </w:pPr>
            <w:r>
              <w:rPr>
                <w:rFonts w:cs="B Zar"/>
                <w:szCs w:val="18"/>
                <w:rtl w:val="true"/>
              </w:rPr>
              <w:t xml:space="preserve">مجموعه‌ واحد </w:t>
            </w:r>
            <w:r>
              <w:rPr>
                <w:rFonts w:cs="B Zar"/>
                <w:szCs w:val="18"/>
              </w:rPr>
              <w:t>1</w:t>
            </w:r>
          </w:p>
        </w:tc>
        <w:tc>
          <w:tcPr>
            <w:tcW w:w="3944" w:type="dxa"/>
            <w:tcBorders/>
          </w:tcPr>
          <w:p>
            <w:pPr>
              <w:pStyle w:val="Normal"/>
              <w:snapToGrid w:val="false"/>
              <w:spacing w:before="0" w:after="120"/>
              <w:ind w:end="0"/>
              <w:jc w:val="start"/>
              <w:rPr>
                <w:rFonts w:cs="B Lotus"/>
              </w:rPr>
            </w:pPr>
            <w:r>
              <w:rPr>
                <w:rFonts w:cs="B Lotus"/>
                <w:szCs w:val="18"/>
                <w:rtl w:val="true"/>
              </w:rPr>
            </w:r>
          </w:p>
        </w:tc>
      </w:tr>
      <w:tr>
        <w:trPr/>
        <w:tc>
          <w:tcPr>
            <w:tcW w:w="1920" w:type="dxa"/>
            <w:tcBorders/>
          </w:tcPr>
          <w:p>
            <w:pPr>
              <w:pStyle w:val="Normal"/>
              <w:spacing w:before="0" w:after="120"/>
              <w:ind w:end="0"/>
              <w:jc w:val="center"/>
              <w:rPr>
                <w:rFonts w:cs="B Lotus"/>
                <w:szCs w:val="26"/>
              </w:rPr>
            </w:pPr>
            <w:r>
              <w:rPr>
                <w:rFonts w:cs="B Lotus"/>
                <w:szCs w:val="26"/>
                <w:rtl w:val="true"/>
              </w:rPr>
              <w:t>ميليون ريال</w:t>
            </w:r>
          </w:p>
        </w:tc>
        <w:tc>
          <w:tcPr>
            <w:tcW w:w="2656" w:type="dxa"/>
            <w:tcBorders/>
            <w:tcMar>
              <w:start w:w="340" w:type="dxa"/>
              <w:end w:w="340" w:type="dxa"/>
            </w:tcMar>
          </w:tcPr>
          <w:p>
            <w:pPr>
              <w:pStyle w:val="Normal"/>
              <w:spacing w:before="0" w:after="120"/>
              <w:ind w:start="397" w:end="397"/>
              <w:jc w:val="center"/>
              <w:rPr>
                <w:rFonts w:cs="B Lotus"/>
                <w:szCs w:val="26"/>
              </w:rPr>
            </w:pPr>
            <w:r>
              <w:rPr>
                <w:rFonts w:cs="B Lotus"/>
                <w:szCs w:val="26"/>
                <w:rtl w:val="true"/>
              </w:rPr>
              <w:t>ميليون ريال</w:t>
            </w:r>
          </w:p>
        </w:tc>
        <w:tc>
          <w:tcPr>
            <w:tcW w:w="3944" w:type="dxa"/>
            <w:tcBorders/>
          </w:tcPr>
          <w:p>
            <w:pPr>
              <w:pStyle w:val="Normal"/>
              <w:snapToGrid w:val="false"/>
              <w:spacing w:before="0" w:after="120"/>
              <w:ind w:end="0"/>
              <w:jc w:val="start"/>
              <w:rPr>
                <w:rFonts w:cs="B Lotus"/>
                <w:szCs w:val="26"/>
              </w:rPr>
            </w:pPr>
            <w:r>
              <w:rPr>
                <w:rFonts w:cs="B Lotus"/>
                <w:szCs w:val="26"/>
                <w:rtl w:val="true"/>
              </w:rPr>
            </w:r>
          </w:p>
        </w:tc>
      </w:tr>
      <w:tr>
        <w:trPr/>
        <w:tc>
          <w:tcPr>
            <w:tcW w:w="1920" w:type="dxa"/>
            <w:tcBorders/>
          </w:tcPr>
          <w:p>
            <w:pPr>
              <w:pStyle w:val="Normal"/>
              <w:spacing w:before="0" w:after="120"/>
              <w:ind w:end="0"/>
              <w:jc w:val="center"/>
              <w:rPr>
                <w:rFonts w:cs="B Lotus"/>
                <w:szCs w:val="26"/>
              </w:rPr>
            </w:pPr>
            <w:r>
              <w:rPr>
                <w:rFonts w:cs="B Lotus"/>
                <w:szCs w:val="26"/>
              </w:rPr>
              <w:t>700</w:t>
            </w:r>
            <w:r>
              <w:rPr>
                <w:rFonts w:cs="B Lotus"/>
                <w:szCs w:val="26"/>
                <w:rtl w:val="true"/>
              </w:rPr>
              <w:t>ر</w:t>
            </w:r>
            <w:r>
              <w:rPr>
                <w:rFonts w:cs="B Lotus"/>
                <w:szCs w:val="26"/>
              </w:rPr>
              <w:t>1</w:t>
            </w:r>
          </w:p>
        </w:tc>
        <w:tc>
          <w:tcPr>
            <w:tcW w:w="2656" w:type="dxa"/>
            <w:tcBorders/>
            <w:tcMar>
              <w:start w:w="340" w:type="dxa"/>
              <w:end w:w="340" w:type="dxa"/>
            </w:tcMar>
          </w:tcPr>
          <w:p>
            <w:pPr>
              <w:pStyle w:val="Normal"/>
              <w:spacing w:before="0" w:after="120"/>
              <w:ind w:start="397" w:end="397"/>
              <w:jc w:val="center"/>
              <w:rPr>
                <w:rFonts w:cs="B Lotus"/>
                <w:szCs w:val="26"/>
              </w:rPr>
            </w:pPr>
            <w:r>
              <w:rPr>
                <w:rFonts w:cs="B Lotus"/>
                <w:szCs w:val="26"/>
              </w:rPr>
              <w:t>900</w:t>
            </w:r>
            <w:r>
              <w:rPr>
                <w:rFonts w:cs="B Lotus"/>
                <w:szCs w:val="26"/>
                <w:rtl w:val="true"/>
              </w:rPr>
              <w:t>ر</w:t>
            </w:r>
            <w:r>
              <w:rPr>
                <w:rFonts w:cs="B Lotus"/>
                <w:szCs w:val="26"/>
              </w:rPr>
              <w:t>4</w:t>
            </w:r>
          </w:p>
        </w:tc>
        <w:tc>
          <w:tcPr>
            <w:tcW w:w="3944" w:type="dxa"/>
            <w:tcBorders/>
          </w:tcPr>
          <w:p>
            <w:pPr>
              <w:pStyle w:val="Normal"/>
              <w:spacing w:before="0" w:after="120"/>
              <w:ind w:end="0"/>
              <w:jc w:val="start"/>
              <w:rPr>
                <w:rFonts w:cs="B Lotus"/>
                <w:szCs w:val="26"/>
              </w:rPr>
            </w:pPr>
            <w:r>
              <w:rPr>
                <w:rFonts w:cs="B Lotus"/>
                <w:szCs w:val="26"/>
                <w:rtl w:val="true"/>
              </w:rPr>
              <w:t>داراييهاي ثابت مشهود</w:t>
            </w:r>
          </w:p>
        </w:tc>
      </w:tr>
      <w:tr>
        <w:trPr/>
        <w:tc>
          <w:tcPr>
            <w:tcW w:w="1920" w:type="dxa"/>
            <w:tcBorders/>
          </w:tcPr>
          <w:p>
            <w:pPr>
              <w:pStyle w:val="Normal"/>
              <w:spacing w:before="0" w:after="120"/>
              <w:ind w:end="0"/>
              <w:jc w:val="center"/>
              <w:rPr>
                <w:rFonts w:cs="B Lotus"/>
                <w:szCs w:val="26"/>
              </w:rPr>
            </w:pPr>
            <w:r>
              <w:rPr>
                <w:rFonts w:cs="B Lotus"/>
                <w:szCs w:val="26"/>
                <w:rtl w:val="true"/>
              </w:rPr>
              <w:t>-</w:t>
            </w:r>
          </w:p>
        </w:tc>
        <w:tc>
          <w:tcPr>
            <w:tcW w:w="2656" w:type="dxa"/>
            <w:tcBorders/>
            <w:tcMar>
              <w:start w:w="340" w:type="dxa"/>
              <w:end w:w="340" w:type="dxa"/>
            </w:tcMar>
          </w:tcPr>
          <w:p>
            <w:pPr>
              <w:pStyle w:val="Normal"/>
              <w:spacing w:before="0" w:after="120"/>
              <w:ind w:start="397" w:end="397"/>
              <w:jc w:val="center"/>
              <w:rPr>
                <w:rFonts w:cs="B Lotus"/>
                <w:szCs w:val="26"/>
              </w:rPr>
            </w:pPr>
            <w:r>
              <w:rPr>
                <w:rFonts w:cs="B Lotus"/>
                <w:szCs w:val="26"/>
              </w:rPr>
              <w:t>400</w:t>
            </w:r>
            <w:r>
              <w:rPr>
                <w:rFonts w:cs="B Lotus"/>
                <w:szCs w:val="26"/>
                <w:rtl w:val="true"/>
              </w:rPr>
              <w:t>ر</w:t>
            </w:r>
            <w:r>
              <w:rPr>
                <w:rFonts w:cs="B Lotus"/>
                <w:szCs w:val="26"/>
              </w:rPr>
              <w:t>1</w:t>
            </w:r>
            <w:r>
              <w:rPr>
                <w:rFonts w:cs="B Lotus"/>
                <w:szCs w:val="26"/>
                <w:rtl w:val="true"/>
              </w:rPr>
              <w:t xml:space="preserve"> </w:t>
            </w:r>
            <w:r>
              <w:rPr>
                <w:rFonts w:cs="B Lotus"/>
                <w:szCs w:val="26"/>
                <w:vertAlign w:val="superscript"/>
                <w:rtl w:val="true"/>
              </w:rPr>
              <w:t>(</w:t>
            </w:r>
            <w:r>
              <w:rPr>
                <w:rFonts w:cs="B Lotus"/>
                <w:szCs w:val="26"/>
                <w:vertAlign w:val="superscript"/>
              </w:rPr>
              <w:t>1</w:t>
            </w:r>
            <w:r>
              <w:rPr>
                <w:rFonts w:cs="B Lotus"/>
                <w:szCs w:val="26"/>
                <w:vertAlign w:val="superscript"/>
                <w:rtl w:val="true"/>
              </w:rPr>
              <w:t>)</w:t>
            </w:r>
          </w:p>
        </w:tc>
        <w:tc>
          <w:tcPr>
            <w:tcW w:w="3944" w:type="dxa"/>
            <w:tcBorders/>
          </w:tcPr>
          <w:p>
            <w:pPr>
              <w:pStyle w:val="Normal"/>
              <w:spacing w:before="0" w:after="120"/>
              <w:ind w:end="0"/>
              <w:jc w:val="start"/>
              <w:rPr>
                <w:rFonts w:cs="B Lotus"/>
                <w:szCs w:val="26"/>
              </w:rPr>
            </w:pPr>
            <w:r>
              <w:rPr>
                <w:rFonts w:cs="B Lotus"/>
                <w:szCs w:val="26"/>
                <w:rtl w:val="true"/>
              </w:rPr>
              <w:t>سرمايه‌گذاريهاي بلندمدت</w:t>
            </w:r>
          </w:p>
        </w:tc>
      </w:tr>
      <w:tr>
        <w:trPr/>
        <w:tc>
          <w:tcPr>
            <w:tcW w:w="1920" w:type="dxa"/>
            <w:tcBorders/>
          </w:tcPr>
          <w:p>
            <w:pPr>
              <w:pStyle w:val="Normal"/>
              <w:spacing w:before="0" w:after="120"/>
              <w:ind w:start="454" w:end="454"/>
              <w:jc w:val="center"/>
              <w:rPr>
                <w:rFonts w:cs="B Lotus"/>
                <w:szCs w:val="26"/>
              </w:rPr>
            </w:pPr>
            <w:r>
              <w:rPr>
                <w:rFonts w:cs="B Lotus"/>
                <w:szCs w:val="26"/>
                <w:rtl w:val="true"/>
              </w:rPr>
              <w:t>(</w:t>
            </w:r>
            <w:r>
              <w:rPr>
                <w:rFonts w:cs="B Lotus"/>
                <w:szCs w:val="26"/>
              </w:rPr>
              <w:t>900</w:t>
            </w:r>
            <w:r>
              <w:rPr>
                <w:rFonts w:cs="B Lotus"/>
                <w:szCs w:val="26"/>
                <w:rtl w:val="true"/>
              </w:rPr>
              <w:t>)</w:t>
            </w:r>
          </w:p>
        </w:tc>
        <w:tc>
          <w:tcPr>
            <w:tcW w:w="2656" w:type="dxa"/>
            <w:tcBorders/>
            <w:tcMar>
              <w:start w:w="340" w:type="dxa"/>
              <w:end w:w="340" w:type="dxa"/>
            </w:tcMar>
          </w:tcPr>
          <w:p>
            <w:pPr>
              <w:pStyle w:val="Normal"/>
              <w:spacing w:before="0" w:after="120"/>
              <w:ind w:start="397" w:end="397"/>
              <w:jc w:val="center"/>
              <w:rPr>
                <w:rFonts w:cs="B Lotus"/>
                <w:szCs w:val="26"/>
              </w:rPr>
            </w:pPr>
            <w:r>
              <w:rPr>
                <w:rFonts w:cs="B Lotus"/>
                <w:szCs w:val="26"/>
                <w:rtl w:val="true"/>
              </w:rPr>
              <w:t>(</w:t>
            </w:r>
            <w:r>
              <w:rPr>
                <w:rFonts w:cs="B Lotus"/>
                <w:szCs w:val="26"/>
              </w:rPr>
              <w:t>400</w:t>
            </w:r>
            <w:r>
              <w:rPr>
                <w:rFonts w:cs="B Lotus"/>
                <w:szCs w:val="26"/>
                <w:rtl w:val="true"/>
              </w:rPr>
              <w:t>ر</w:t>
            </w:r>
            <w:r>
              <w:rPr>
                <w:rFonts w:cs="B Lotus"/>
                <w:szCs w:val="26"/>
              </w:rPr>
              <w:t>2</w:t>
            </w:r>
            <w:r>
              <w:rPr>
                <w:rFonts w:cs="B Lotus"/>
                <w:szCs w:val="26"/>
                <w:rtl w:val="true"/>
              </w:rPr>
              <w:t>)</w:t>
            </w:r>
          </w:p>
        </w:tc>
        <w:tc>
          <w:tcPr>
            <w:tcW w:w="3944" w:type="dxa"/>
            <w:tcBorders/>
          </w:tcPr>
          <w:p>
            <w:pPr>
              <w:pStyle w:val="Normal"/>
              <w:spacing w:before="0" w:after="120"/>
              <w:ind w:end="0"/>
              <w:jc w:val="start"/>
              <w:rPr>
                <w:rFonts w:cs="B Lotus"/>
                <w:szCs w:val="26"/>
              </w:rPr>
            </w:pPr>
            <w:r>
              <w:rPr>
                <w:rFonts w:cs="B Lotus"/>
                <w:szCs w:val="26"/>
                <w:rtl w:val="true"/>
              </w:rPr>
              <w:t>بدهيها</w:t>
            </w:r>
          </w:p>
        </w:tc>
      </w:tr>
      <w:tr>
        <w:trPr/>
        <w:tc>
          <w:tcPr>
            <w:tcW w:w="1920" w:type="dxa"/>
            <w:tcBorders/>
          </w:tcPr>
          <w:p>
            <w:pPr>
              <w:pStyle w:val="Normal"/>
              <w:pBdr>
                <w:top w:val="single" w:sz="6" w:space="1" w:color="000000"/>
                <w:bottom w:val="double" w:sz="6" w:space="1" w:color="000000"/>
              </w:pBdr>
              <w:spacing w:before="0" w:after="120"/>
              <w:ind w:start="454" w:end="454"/>
              <w:jc w:val="center"/>
              <w:rPr>
                <w:rFonts w:cs="B Lotus"/>
                <w:szCs w:val="26"/>
              </w:rPr>
            </w:pPr>
            <w:r>
              <w:rPr>
                <w:rFonts w:cs="B Lotus"/>
                <w:szCs w:val="26"/>
              </w:rPr>
              <w:t>800</w:t>
            </w:r>
          </w:p>
        </w:tc>
        <w:tc>
          <w:tcPr>
            <w:tcW w:w="2656" w:type="dxa"/>
            <w:tcBorders/>
            <w:tcMar>
              <w:start w:w="340" w:type="dxa"/>
              <w:end w:w="340" w:type="dxa"/>
            </w:tcMar>
          </w:tcPr>
          <w:p>
            <w:pPr>
              <w:pStyle w:val="Normal"/>
              <w:pBdr>
                <w:top w:val="single" w:sz="6" w:space="1" w:color="000000"/>
                <w:bottom w:val="double" w:sz="6" w:space="1" w:color="000000"/>
              </w:pBdr>
              <w:spacing w:before="0" w:after="120"/>
              <w:ind w:start="397" w:end="397"/>
              <w:jc w:val="center"/>
              <w:rPr>
                <w:rFonts w:cs="B Lotus"/>
                <w:szCs w:val="26"/>
              </w:rPr>
            </w:pPr>
            <w:r>
              <w:rPr>
                <w:rFonts w:cs="B Lotus"/>
                <w:szCs w:val="26"/>
              </w:rPr>
              <w:t>900</w:t>
            </w:r>
            <w:r>
              <w:rPr>
                <w:rFonts w:cs="B Lotus"/>
                <w:szCs w:val="26"/>
                <w:rtl w:val="true"/>
              </w:rPr>
              <w:t>ر</w:t>
            </w:r>
            <w:r>
              <w:rPr>
                <w:rFonts w:cs="B Lotus"/>
                <w:szCs w:val="26"/>
              </w:rPr>
              <w:t>3</w:t>
            </w:r>
          </w:p>
        </w:tc>
        <w:tc>
          <w:tcPr>
            <w:tcW w:w="3944" w:type="dxa"/>
            <w:tcBorders/>
          </w:tcPr>
          <w:p>
            <w:pPr>
              <w:pStyle w:val="Normal"/>
              <w:spacing w:before="0" w:after="120"/>
              <w:ind w:end="0"/>
              <w:jc w:val="start"/>
              <w:rPr>
                <w:rFonts w:cs="B Lotus"/>
                <w:szCs w:val="26"/>
              </w:rPr>
            </w:pPr>
            <w:r>
              <w:rPr>
                <w:rFonts w:cs="B Lotus"/>
                <w:szCs w:val="26"/>
                <w:rtl w:val="true"/>
              </w:rPr>
              <w:t>خالص مبلغ دفتري مجموعه‌هاي واحد</w:t>
            </w:r>
          </w:p>
        </w:tc>
      </w:tr>
    </w:tbl>
    <w:p>
      <w:pPr>
        <w:pStyle w:val="Fa8"/>
        <w:ind w:end="0"/>
        <w:jc w:val="both"/>
        <w:rPr/>
      </w:pPr>
      <w:r>
        <w:rPr>
          <w:rtl w:val="true"/>
        </w:rPr>
      </w:r>
    </w:p>
    <w:p>
      <w:pPr>
        <w:pStyle w:val="Normal"/>
        <w:spacing w:before="0" w:after="120"/>
        <w:ind w:hanging="567" w:start="567" w:end="0"/>
        <w:jc w:val="start"/>
        <w:rPr>
          <w:rFonts w:cs="B Lotus"/>
          <w:szCs w:val="24"/>
        </w:rPr>
      </w:pPr>
      <w:r>
        <w:rPr>
          <w:rFonts w:cs="B Lotus"/>
          <w:szCs w:val="24"/>
          <w:rtl w:val="true"/>
        </w:rPr>
        <w:t>(</w:t>
      </w:r>
      <w:r>
        <w:rPr>
          <w:rFonts w:cs="B Lotus"/>
          <w:szCs w:val="24"/>
        </w:rPr>
        <w:t>1</w:t>
      </w:r>
      <w:r>
        <w:rPr>
          <w:rFonts w:cs="B Lotus"/>
          <w:szCs w:val="24"/>
          <w:rtl w:val="true"/>
        </w:rPr>
        <w:t>)</w:t>
        <w:tab/>
      </w:r>
      <w:r>
        <w:rPr>
          <w:rFonts w:cs="B Lotus"/>
          <w:szCs w:val="24"/>
          <w:rtl w:val="true"/>
        </w:rPr>
        <w:t xml:space="preserve">مبلغ </w:t>
      </w:r>
      <w:r>
        <w:rPr>
          <w:rFonts w:cs="B Lotus"/>
          <w:szCs w:val="24"/>
        </w:rPr>
        <w:t>400</w:t>
      </w:r>
      <w:r>
        <w:rPr>
          <w:rFonts w:cs="B Lotus"/>
          <w:szCs w:val="24"/>
          <w:rtl w:val="true"/>
        </w:rPr>
        <w:t xml:space="preserve"> </w:t>
      </w:r>
      <w:r>
        <w:rPr>
          <w:rFonts w:cs="B Lotus"/>
          <w:szCs w:val="24"/>
          <w:rtl w:val="true"/>
        </w:rPr>
        <w:t>ميليون ريال مازاد تجديد ارزيابي مربوط به سرمايه‌گذاريهاي بلندمدت در بخش حقوق صاحبان سهام منعکس شده است</w:t>
      </w:r>
      <w:r>
        <w:rPr>
          <w:rFonts w:cs="B Lotus"/>
          <w:szCs w:val="24"/>
          <w:rtl w:val="true"/>
        </w:rPr>
        <w:t>.</w:t>
      </w:r>
    </w:p>
    <w:p>
      <w:pPr>
        <w:pStyle w:val="Matn"/>
        <w:spacing w:before="0" w:after="0"/>
        <w:ind w:end="0"/>
        <w:jc w:val="both"/>
        <w:rPr/>
      </w:pPr>
      <w:r>
        <w:rPr>
          <w:rtl w:val="true"/>
        </w:rPr>
        <w:t>نحوه ارائه مجموعه‌هاي واحد نگهداري شده براي فروش در ترازنامه اين واحد تجاري به</w:t>
      </w:r>
      <w:r>
        <w:rPr>
          <w:rFonts w:cs="Times New Roman"/>
          <w:rtl w:val="true"/>
        </w:rPr>
        <w:t> </w:t>
      </w:r>
      <w:r>
        <w:rPr>
          <w:rtl w:val="true"/>
        </w:rPr>
        <w:t>صورت</w:t>
      </w:r>
      <w:r>
        <w:rPr>
          <w:rtl w:val="true"/>
        </w:rPr>
        <w:t xml:space="preserve"> زير است</w:t>
      </w:r>
      <w:r>
        <w:rPr>
          <w:rtl w:val="true"/>
        </w:rPr>
        <w:t>:</w:t>
      </w:r>
    </w:p>
    <w:tbl>
      <w:tblPr>
        <w:tblW w:w="8628" w:type="dxa"/>
        <w:jc w:val="center"/>
        <w:tblInd w:w="0" w:type="dxa"/>
        <w:tblLayout w:type="fixed"/>
        <w:tblCellMar>
          <w:top w:w="0" w:type="dxa"/>
          <w:start w:w="108" w:type="dxa"/>
          <w:bottom w:w="0" w:type="dxa"/>
          <w:end w:w="108" w:type="dxa"/>
        </w:tblCellMar>
      </w:tblPr>
      <w:tblGrid>
        <w:gridCol w:w="1068"/>
        <w:gridCol w:w="1080"/>
        <w:gridCol w:w="6480"/>
      </w:tblGrid>
      <w:tr>
        <w:trPr>
          <w:tblHeader w:val="true"/>
        </w:trPr>
        <w:tc>
          <w:tcPr>
            <w:tcW w:w="1068" w:type="dxa"/>
            <w:tcBorders/>
          </w:tcPr>
          <w:p>
            <w:pPr>
              <w:pStyle w:val="JadvalTitrZar12"/>
              <w:spacing w:lineRule="exact" w:line="400"/>
              <w:ind w:end="0"/>
              <w:jc w:val="center"/>
              <w:rPr/>
            </w:pPr>
            <w:r>
              <w:rPr/>
              <w:t>4</w:t>
            </w:r>
            <w:r>
              <w:rPr>
                <w:rtl w:val="true"/>
              </w:rPr>
              <w:t>×</w:t>
            </w:r>
            <w:r>
              <w:rPr/>
              <w:t>13</w:t>
            </w:r>
          </w:p>
        </w:tc>
        <w:tc>
          <w:tcPr>
            <w:tcW w:w="1080" w:type="dxa"/>
            <w:tcBorders/>
          </w:tcPr>
          <w:p>
            <w:pPr>
              <w:pStyle w:val="JadvalTitrZar12"/>
              <w:spacing w:lineRule="exact" w:line="400"/>
              <w:ind w:end="0"/>
              <w:jc w:val="center"/>
              <w:rPr/>
            </w:pPr>
            <w:r>
              <w:rPr/>
              <w:t>5</w:t>
            </w:r>
            <w:r>
              <w:rPr>
                <w:rtl w:val="true"/>
              </w:rPr>
              <w:t>×</w:t>
            </w:r>
            <w:r>
              <w:rPr/>
              <w:t>13</w:t>
            </w:r>
          </w:p>
        </w:tc>
        <w:tc>
          <w:tcPr>
            <w:tcW w:w="6480" w:type="dxa"/>
            <w:tcBorders/>
          </w:tcPr>
          <w:p>
            <w:pPr>
              <w:pStyle w:val="Normal"/>
              <w:snapToGrid w:val="false"/>
              <w:spacing w:lineRule="exact" w:line="400"/>
              <w:ind w:end="0"/>
              <w:jc w:val="start"/>
              <w:rPr>
                <w:rFonts w:cs="B Lotus"/>
              </w:rPr>
            </w:pPr>
            <w:r>
              <w:rPr>
                <w:rFonts w:cs="B Lotus"/>
                <w:rtl w:val="true"/>
              </w:rPr>
            </w:r>
          </w:p>
        </w:tc>
      </w:tr>
      <w:tr>
        <w:trPr>
          <w:tblHeader w:val="true"/>
        </w:trPr>
        <w:tc>
          <w:tcPr>
            <w:tcW w:w="1068" w:type="dxa"/>
            <w:tcBorders/>
          </w:tcPr>
          <w:p>
            <w:pPr>
              <w:pStyle w:val="Rial"/>
              <w:spacing w:lineRule="exact" w:line="400" w:before="0" w:after="0"/>
              <w:ind w:end="0"/>
              <w:jc w:val="center"/>
              <w:rPr/>
            </w:pPr>
            <w:r>
              <w:rPr>
                <w:rtl w:val="true"/>
              </w:rPr>
              <w:t>میلیون ریال</w:t>
            </w:r>
          </w:p>
        </w:tc>
        <w:tc>
          <w:tcPr>
            <w:tcW w:w="1080" w:type="dxa"/>
            <w:tcBorders/>
          </w:tcPr>
          <w:p>
            <w:pPr>
              <w:pStyle w:val="Rial"/>
              <w:spacing w:lineRule="exact" w:line="400" w:before="0" w:after="0"/>
              <w:ind w:end="0"/>
              <w:jc w:val="center"/>
              <w:rPr/>
            </w:pPr>
            <w:r>
              <w:rPr>
                <w:rtl w:val="true"/>
              </w:rPr>
              <w:t>میلیون</w:t>
            </w:r>
            <w:r>
              <w:rPr>
                <w:rFonts w:hint="cs" w:cs="Times New Roman"/>
                <w:rtl w:val="true"/>
              </w:rPr>
              <w:t> </w:t>
            </w:r>
            <w:r>
              <w:rPr>
                <w:rFonts w:hint="cs"/>
                <w:rtl w:val="true"/>
              </w:rPr>
              <w:t>ریا</w:t>
            </w:r>
            <w:r>
              <w:rPr>
                <w:rtl w:val="true"/>
              </w:rPr>
              <w:t>ل</w:t>
            </w:r>
          </w:p>
        </w:tc>
        <w:tc>
          <w:tcPr>
            <w:tcW w:w="6480" w:type="dxa"/>
            <w:tcBorders/>
          </w:tcPr>
          <w:p>
            <w:pPr>
              <w:pStyle w:val="Rial"/>
              <w:snapToGrid w:val="false"/>
              <w:spacing w:lineRule="exact" w:line="400" w:before="0" w:after="0"/>
              <w:ind w:end="0"/>
              <w:jc w:val="center"/>
              <w:rPr/>
            </w:pPr>
            <w:r>
              <w:rPr>
                <w:rtl w:val="true"/>
              </w:rPr>
            </w:r>
          </w:p>
        </w:tc>
      </w:tr>
      <w:tr>
        <w:trPr/>
        <w:tc>
          <w:tcPr>
            <w:tcW w:w="1068" w:type="dxa"/>
            <w:tcBorders/>
          </w:tcPr>
          <w:p>
            <w:pPr>
              <w:pStyle w:val="Normal"/>
              <w:snapToGrid w:val="false"/>
              <w:spacing w:lineRule="exact" w:line="400"/>
              <w:ind w:end="0"/>
              <w:jc w:val="center"/>
              <w:rPr>
                <w:rFonts w:cs="B Lotus"/>
              </w:rPr>
            </w:pPr>
            <w:r>
              <w:rPr>
                <w:rFonts w:cs="B Lotus"/>
                <w:rtl w:val="true"/>
              </w:rPr>
            </w:r>
          </w:p>
        </w:tc>
        <w:tc>
          <w:tcPr>
            <w:tcW w:w="1080" w:type="dxa"/>
            <w:tcBorders/>
          </w:tcPr>
          <w:p>
            <w:pPr>
              <w:pStyle w:val="Normal"/>
              <w:snapToGrid w:val="false"/>
              <w:spacing w:lineRule="exact" w:line="400"/>
              <w:ind w:end="0"/>
              <w:jc w:val="center"/>
              <w:rPr>
                <w:rFonts w:cs="B Lotus"/>
              </w:rPr>
            </w:pPr>
            <w:r>
              <w:rPr>
                <w:rFonts w:cs="B Lotus"/>
                <w:rtl w:val="true"/>
              </w:rPr>
            </w:r>
          </w:p>
        </w:tc>
        <w:tc>
          <w:tcPr>
            <w:tcW w:w="6480" w:type="dxa"/>
            <w:tcBorders/>
          </w:tcPr>
          <w:p>
            <w:pPr>
              <w:pStyle w:val="JadvalMatnNazanin"/>
              <w:spacing w:lineRule="exact" w:line="400"/>
              <w:ind w:end="0"/>
              <w:jc w:val="start"/>
              <w:rPr/>
            </w:pPr>
            <w:r>
              <w:rPr>
                <w:rtl w:val="true"/>
              </w:rPr>
              <w:t>داراييها</w:t>
            </w:r>
          </w:p>
        </w:tc>
      </w:tr>
      <w:tr>
        <w:trPr/>
        <w:tc>
          <w:tcPr>
            <w:tcW w:w="1068" w:type="dxa"/>
            <w:tcBorders/>
          </w:tcPr>
          <w:p>
            <w:pPr>
              <w:pStyle w:val="Normal"/>
              <w:snapToGrid w:val="false"/>
              <w:spacing w:lineRule="exact" w:line="400"/>
              <w:ind w:end="0"/>
              <w:jc w:val="center"/>
              <w:rPr>
                <w:rFonts w:cs="B Lotus"/>
              </w:rPr>
            </w:pPr>
            <w:r>
              <w:rPr>
                <w:rFonts w:cs="B Lotus"/>
                <w:rtl w:val="true"/>
              </w:rPr>
            </w:r>
          </w:p>
        </w:tc>
        <w:tc>
          <w:tcPr>
            <w:tcW w:w="1080" w:type="dxa"/>
            <w:tcBorders/>
          </w:tcPr>
          <w:p>
            <w:pPr>
              <w:pStyle w:val="Normal"/>
              <w:snapToGrid w:val="false"/>
              <w:spacing w:lineRule="exact" w:line="400"/>
              <w:ind w:end="0"/>
              <w:jc w:val="center"/>
              <w:rPr>
                <w:rFonts w:cs="B Lotus"/>
              </w:rPr>
            </w:pPr>
            <w:r>
              <w:rPr>
                <w:rFonts w:cs="B Lotus"/>
                <w:rtl w:val="true"/>
              </w:rPr>
            </w:r>
          </w:p>
        </w:tc>
        <w:tc>
          <w:tcPr>
            <w:tcW w:w="6480" w:type="dxa"/>
            <w:tcBorders/>
          </w:tcPr>
          <w:p>
            <w:pPr>
              <w:pStyle w:val="JadvalMatne"/>
              <w:spacing w:lineRule="exact" w:line="400"/>
              <w:ind w:end="0"/>
              <w:jc w:val="start"/>
              <w:rPr>
                <w:rFonts w:hint="cs"/>
              </w:rPr>
            </w:pPr>
            <w:r>
              <w:rPr>
                <w:rtl w:val="true"/>
              </w:rPr>
              <w:t>داراييهاي جاري</w:t>
            </w:r>
            <w:r>
              <w:rPr>
                <w:rFonts w:hint="cs"/>
                <w:rtl w:val="true"/>
              </w:rPr>
              <w:t>:</w:t>
            </w:r>
          </w:p>
        </w:tc>
      </w:tr>
      <w:tr>
        <w:trPr/>
        <w:tc>
          <w:tcPr>
            <w:tcW w:w="1068" w:type="dxa"/>
            <w:tcBorders/>
          </w:tcPr>
          <w:p>
            <w:pPr>
              <w:pStyle w:val="Normal"/>
              <w:spacing w:lineRule="exact" w:line="400"/>
              <w:ind w:end="0"/>
              <w:jc w:val="center"/>
              <w:rPr>
                <w:rFonts w:cs="B Lotus"/>
              </w:rPr>
            </w:pPr>
            <w:r>
              <w:rPr>
                <w:rFonts w:cs="B Lotus"/>
                <w:rtl w:val="true"/>
              </w:rPr>
              <w:t>×</w:t>
            </w:r>
          </w:p>
        </w:tc>
        <w:tc>
          <w:tcPr>
            <w:tcW w:w="1080" w:type="dxa"/>
            <w:tcBorders/>
          </w:tcPr>
          <w:p>
            <w:pPr>
              <w:pStyle w:val="Normal"/>
              <w:spacing w:lineRule="exact" w:line="400"/>
              <w:ind w:end="0"/>
              <w:jc w:val="center"/>
              <w:rPr>
                <w:rFonts w:cs="B Lotus"/>
              </w:rPr>
            </w:pPr>
            <w:r>
              <w:rPr>
                <w:rFonts w:cs="B Lotus"/>
                <w:rtl w:val="true"/>
              </w:rPr>
              <w:t>×</w:t>
            </w:r>
          </w:p>
        </w:tc>
        <w:tc>
          <w:tcPr>
            <w:tcW w:w="6480" w:type="dxa"/>
            <w:tcBorders/>
          </w:tcPr>
          <w:p>
            <w:pPr>
              <w:pStyle w:val="JadvalMatne"/>
              <w:spacing w:lineRule="exact" w:line="400"/>
              <w:ind w:end="0"/>
              <w:jc w:val="start"/>
              <w:rPr/>
            </w:pPr>
            <w:r>
              <w:rPr>
                <w:rtl w:val="true"/>
              </w:rPr>
              <w:t>الف</w:t>
            </w:r>
          </w:p>
        </w:tc>
      </w:tr>
      <w:tr>
        <w:trPr/>
        <w:tc>
          <w:tcPr>
            <w:tcW w:w="1068" w:type="dxa"/>
            <w:tcBorders/>
          </w:tcPr>
          <w:p>
            <w:pPr>
              <w:pStyle w:val="Normal"/>
              <w:pBdr>
                <w:bottom w:val="single" w:sz="4" w:space="1" w:color="000000"/>
              </w:pBdr>
              <w:spacing w:lineRule="exact" w:line="400"/>
              <w:ind w:end="0"/>
              <w:jc w:val="center"/>
              <w:rPr>
                <w:rFonts w:cs="B Lotus"/>
              </w:rPr>
            </w:pPr>
            <w:r>
              <w:rPr>
                <w:rFonts w:cs="B Lotus"/>
                <w:rtl w:val="true"/>
              </w:rPr>
              <w:t>×</w:t>
            </w:r>
          </w:p>
        </w:tc>
        <w:tc>
          <w:tcPr>
            <w:tcW w:w="1080" w:type="dxa"/>
            <w:tcBorders/>
          </w:tcPr>
          <w:p>
            <w:pPr>
              <w:pStyle w:val="Normal"/>
              <w:pBdr>
                <w:bottom w:val="single" w:sz="4" w:space="1" w:color="000000"/>
              </w:pBdr>
              <w:spacing w:lineRule="exact" w:line="400"/>
              <w:ind w:end="0"/>
              <w:jc w:val="center"/>
              <w:rPr>
                <w:rFonts w:cs="B Lotus"/>
              </w:rPr>
            </w:pPr>
            <w:r>
              <w:rPr>
                <w:rFonts w:cs="B Lotus"/>
                <w:rtl w:val="true"/>
              </w:rPr>
              <w:t>×</w:t>
            </w:r>
          </w:p>
        </w:tc>
        <w:tc>
          <w:tcPr>
            <w:tcW w:w="6480" w:type="dxa"/>
            <w:tcBorders/>
          </w:tcPr>
          <w:p>
            <w:pPr>
              <w:pStyle w:val="JadvalMatne"/>
              <w:spacing w:lineRule="exact" w:line="400"/>
              <w:ind w:end="0"/>
              <w:jc w:val="start"/>
              <w:rPr/>
            </w:pPr>
            <w:r>
              <w:rPr>
                <w:rtl w:val="true"/>
              </w:rPr>
              <w:t>ب</w:t>
            </w:r>
          </w:p>
        </w:tc>
      </w:tr>
      <w:tr>
        <w:trPr/>
        <w:tc>
          <w:tcPr>
            <w:tcW w:w="1068" w:type="dxa"/>
            <w:tcBorders/>
          </w:tcPr>
          <w:p>
            <w:pPr>
              <w:pStyle w:val="Normal"/>
              <w:snapToGrid w:val="false"/>
              <w:spacing w:lineRule="exact" w:line="400"/>
              <w:ind w:end="0"/>
              <w:jc w:val="center"/>
              <w:rPr>
                <w:rFonts w:cs="B Lotus"/>
              </w:rPr>
            </w:pPr>
            <w:r>
              <w:rPr>
                <w:rFonts w:cs="B Lotus"/>
                <w:rtl w:val="true"/>
              </w:rPr>
            </w:r>
          </w:p>
        </w:tc>
        <w:tc>
          <w:tcPr>
            <w:tcW w:w="1080" w:type="dxa"/>
            <w:tcBorders/>
          </w:tcPr>
          <w:p>
            <w:pPr>
              <w:pStyle w:val="Normal"/>
              <w:snapToGrid w:val="false"/>
              <w:spacing w:lineRule="exact" w:line="400"/>
              <w:ind w:end="0"/>
              <w:jc w:val="center"/>
              <w:rPr>
                <w:rFonts w:cs="B Lotus"/>
              </w:rPr>
            </w:pPr>
            <w:r>
              <w:rPr>
                <w:rFonts w:cs="B Lotus"/>
                <w:rtl w:val="true"/>
              </w:rPr>
            </w:r>
          </w:p>
        </w:tc>
        <w:tc>
          <w:tcPr>
            <w:tcW w:w="6480" w:type="dxa"/>
            <w:tcBorders/>
          </w:tcPr>
          <w:p>
            <w:pPr>
              <w:pStyle w:val="JadvalMatne"/>
              <w:snapToGrid w:val="false"/>
              <w:spacing w:lineRule="exact" w:line="400"/>
              <w:ind w:end="0"/>
              <w:jc w:val="start"/>
              <w:rPr/>
            </w:pPr>
            <w:r>
              <w:rPr>
                <w:rFonts w:cs="B Lotus"/>
                <w:rtl w:val="true"/>
              </w:rPr>
            </w:r>
          </w:p>
        </w:tc>
      </w:tr>
      <w:tr>
        <w:trPr/>
        <w:tc>
          <w:tcPr>
            <w:tcW w:w="1068" w:type="dxa"/>
            <w:tcBorders/>
          </w:tcPr>
          <w:p>
            <w:pPr>
              <w:pStyle w:val="Normal"/>
              <w:spacing w:lineRule="exact" w:line="400"/>
              <w:ind w:end="0"/>
              <w:jc w:val="center"/>
              <w:rPr>
                <w:rFonts w:cs="B Lotus"/>
              </w:rPr>
            </w:pPr>
            <w:r>
              <w:rPr>
                <w:rFonts w:cs="B Lotus"/>
                <w:rtl w:val="true"/>
              </w:rPr>
              <w:t>×</w:t>
            </w:r>
          </w:p>
        </w:tc>
        <w:tc>
          <w:tcPr>
            <w:tcW w:w="1080" w:type="dxa"/>
            <w:tcBorders/>
          </w:tcPr>
          <w:p>
            <w:pPr>
              <w:pStyle w:val="Normal"/>
              <w:spacing w:lineRule="exact" w:line="400"/>
              <w:ind w:end="0"/>
              <w:jc w:val="center"/>
              <w:rPr>
                <w:rFonts w:cs="B Lotus"/>
              </w:rPr>
            </w:pPr>
            <w:r>
              <w:rPr>
                <w:rFonts w:cs="B Lotus"/>
                <w:rtl w:val="true"/>
              </w:rPr>
              <w:t>×</w:t>
            </w:r>
          </w:p>
        </w:tc>
        <w:tc>
          <w:tcPr>
            <w:tcW w:w="6480" w:type="dxa"/>
            <w:tcBorders/>
          </w:tcPr>
          <w:p>
            <w:pPr>
              <w:pStyle w:val="JadvalMatne"/>
              <w:snapToGrid w:val="false"/>
              <w:spacing w:lineRule="exact" w:line="400"/>
              <w:ind w:end="0"/>
              <w:jc w:val="start"/>
              <w:rPr/>
            </w:pPr>
            <w:r>
              <w:rPr>
                <w:rFonts w:cs="B Lotus"/>
                <w:rtl w:val="true"/>
              </w:rPr>
            </w:r>
          </w:p>
        </w:tc>
      </w:tr>
      <w:tr>
        <w:trPr/>
        <w:tc>
          <w:tcPr>
            <w:tcW w:w="1068" w:type="dxa"/>
            <w:tcBorders/>
          </w:tcPr>
          <w:p>
            <w:pPr>
              <w:pStyle w:val="Normal"/>
              <w:pBdr>
                <w:bottom w:val="single" w:sz="4" w:space="1" w:color="000000"/>
              </w:pBdr>
              <w:spacing w:lineRule="exact" w:line="400"/>
              <w:ind w:end="0"/>
              <w:jc w:val="center"/>
              <w:rPr>
                <w:rFonts w:cs="B Lotus"/>
              </w:rPr>
            </w:pPr>
            <w:r>
              <w:rPr>
                <w:rFonts w:cs="B Lotus"/>
                <w:rtl w:val="true"/>
              </w:rPr>
              <w:t>-</w:t>
            </w:r>
          </w:p>
        </w:tc>
        <w:tc>
          <w:tcPr>
            <w:tcW w:w="1080" w:type="dxa"/>
            <w:tcBorders/>
          </w:tcPr>
          <w:p>
            <w:pPr>
              <w:pStyle w:val="Normal"/>
              <w:pBdr>
                <w:bottom w:val="single" w:sz="4" w:space="1" w:color="000000"/>
              </w:pBdr>
              <w:spacing w:lineRule="exact" w:line="400"/>
              <w:ind w:end="0"/>
              <w:jc w:val="center"/>
              <w:rPr>
                <w:rFonts w:cs="B Lotus"/>
              </w:rPr>
            </w:pPr>
            <w:r>
              <w:rPr>
                <w:rFonts w:cs="B Lotus"/>
                <w:vertAlign w:val="superscript"/>
                <w:rtl w:val="true"/>
              </w:rPr>
              <w:t>(</w:t>
            </w:r>
            <w:r>
              <w:rPr>
                <w:rFonts w:cs="B Lotus"/>
                <w:vertAlign w:val="superscript"/>
              </w:rPr>
              <w:t>1</w:t>
            </w:r>
            <w:r>
              <w:rPr>
                <w:rFonts w:cs="B Lotus"/>
                <w:vertAlign w:val="superscript"/>
                <w:rtl w:val="true"/>
              </w:rPr>
              <w:t>)</w:t>
            </w:r>
            <w:r>
              <w:rPr>
                <w:rFonts w:cs="B Lotus"/>
              </w:rPr>
              <w:t>000</w:t>
            </w:r>
            <w:r>
              <w:rPr>
                <w:rFonts w:cs="B Lotus"/>
                <w:rtl w:val="true"/>
              </w:rPr>
              <w:t>ر</w:t>
            </w:r>
            <w:r>
              <w:rPr>
                <w:rFonts w:cs="B Lotus"/>
              </w:rPr>
              <w:t>8</w:t>
            </w:r>
          </w:p>
        </w:tc>
        <w:tc>
          <w:tcPr>
            <w:tcW w:w="6480" w:type="dxa"/>
            <w:tcBorders/>
          </w:tcPr>
          <w:p>
            <w:pPr>
              <w:pStyle w:val="JadvalMatne"/>
              <w:spacing w:lineRule="exact" w:line="400"/>
              <w:ind w:end="0"/>
              <w:jc w:val="start"/>
              <w:rPr/>
            </w:pPr>
            <w:r>
              <w:rPr>
                <w:rtl w:val="true"/>
              </w:rPr>
              <w:t>داراييهاي غيرجاري نگهداري شده براي فروش</w:t>
            </w:r>
          </w:p>
        </w:tc>
      </w:tr>
      <w:tr>
        <w:trPr/>
        <w:tc>
          <w:tcPr>
            <w:tcW w:w="1068" w:type="dxa"/>
            <w:tcBorders/>
          </w:tcPr>
          <w:p>
            <w:pPr>
              <w:pStyle w:val="Normal"/>
              <w:pBdr>
                <w:bottom w:val="single" w:sz="4" w:space="1" w:color="000000"/>
              </w:pBdr>
              <w:spacing w:lineRule="exact" w:line="400"/>
              <w:ind w:end="0"/>
              <w:jc w:val="center"/>
              <w:rPr>
                <w:rFonts w:cs="B Lotus"/>
              </w:rPr>
            </w:pPr>
            <w:r>
              <w:rPr>
                <w:rFonts w:cs="B Lotus"/>
                <w:rtl w:val="true"/>
              </w:rPr>
              <w:t>×</w:t>
            </w:r>
          </w:p>
        </w:tc>
        <w:tc>
          <w:tcPr>
            <w:tcW w:w="1080" w:type="dxa"/>
            <w:tcBorders/>
          </w:tcPr>
          <w:p>
            <w:pPr>
              <w:pStyle w:val="Normal"/>
              <w:pBdr>
                <w:bottom w:val="single" w:sz="4" w:space="1" w:color="000000"/>
              </w:pBdr>
              <w:spacing w:lineRule="exact" w:line="400"/>
              <w:ind w:end="0"/>
              <w:jc w:val="center"/>
              <w:rPr>
                <w:rFonts w:cs="B Lotus"/>
              </w:rPr>
            </w:pPr>
            <w:r>
              <w:rPr>
                <w:rFonts w:cs="B Lotus"/>
                <w:rtl w:val="true"/>
              </w:rPr>
              <w:t>×</w:t>
            </w:r>
          </w:p>
        </w:tc>
        <w:tc>
          <w:tcPr>
            <w:tcW w:w="6480" w:type="dxa"/>
            <w:tcBorders/>
          </w:tcPr>
          <w:p>
            <w:pPr>
              <w:pStyle w:val="JadvalMatne"/>
              <w:snapToGrid w:val="false"/>
              <w:spacing w:lineRule="exact" w:line="400"/>
              <w:ind w:end="0"/>
              <w:jc w:val="start"/>
              <w:rPr/>
            </w:pPr>
            <w:r>
              <w:rPr>
                <w:rFonts w:cs="B Lotus"/>
                <w:rtl w:val="true"/>
              </w:rPr>
            </w:r>
          </w:p>
        </w:tc>
      </w:tr>
      <w:tr>
        <w:trPr/>
        <w:tc>
          <w:tcPr>
            <w:tcW w:w="1068" w:type="dxa"/>
            <w:tcBorders/>
          </w:tcPr>
          <w:p>
            <w:pPr>
              <w:pStyle w:val="Normal"/>
              <w:snapToGrid w:val="false"/>
              <w:spacing w:lineRule="exact" w:line="400"/>
              <w:ind w:end="0"/>
              <w:jc w:val="center"/>
              <w:rPr>
                <w:rFonts w:cs="B Lotus"/>
              </w:rPr>
            </w:pPr>
            <w:r>
              <w:rPr>
                <w:rFonts w:cs="B Lotus"/>
                <w:rtl w:val="true"/>
              </w:rPr>
            </w:r>
          </w:p>
        </w:tc>
        <w:tc>
          <w:tcPr>
            <w:tcW w:w="1080" w:type="dxa"/>
            <w:tcBorders/>
          </w:tcPr>
          <w:p>
            <w:pPr>
              <w:pStyle w:val="Normal"/>
              <w:snapToGrid w:val="false"/>
              <w:spacing w:lineRule="exact" w:line="400"/>
              <w:ind w:end="0"/>
              <w:jc w:val="center"/>
              <w:rPr>
                <w:rFonts w:cs="B Lotus"/>
              </w:rPr>
            </w:pPr>
            <w:r>
              <w:rPr>
                <w:rFonts w:cs="B Lotus"/>
                <w:rtl w:val="true"/>
              </w:rPr>
            </w:r>
          </w:p>
        </w:tc>
        <w:tc>
          <w:tcPr>
            <w:tcW w:w="6480" w:type="dxa"/>
            <w:tcBorders/>
          </w:tcPr>
          <w:p>
            <w:pPr>
              <w:pStyle w:val="JadvalMatne"/>
              <w:spacing w:lineRule="exact" w:line="400"/>
              <w:ind w:end="0"/>
              <w:jc w:val="start"/>
              <w:rPr>
                <w:rFonts w:hint="cs"/>
              </w:rPr>
            </w:pPr>
            <w:r>
              <w:rPr>
                <w:rtl w:val="true"/>
              </w:rPr>
              <w:t>داراييهاي غيرجاري</w:t>
            </w:r>
            <w:r>
              <w:rPr>
                <w:rFonts w:hint="cs"/>
                <w:rtl w:val="true"/>
              </w:rPr>
              <w:t>:</w:t>
            </w:r>
          </w:p>
        </w:tc>
      </w:tr>
      <w:tr>
        <w:trPr/>
        <w:tc>
          <w:tcPr>
            <w:tcW w:w="1068" w:type="dxa"/>
            <w:tcBorders/>
          </w:tcPr>
          <w:p>
            <w:pPr>
              <w:pStyle w:val="Normal"/>
              <w:spacing w:lineRule="exact" w:line="400"/>
              <w:ind w:end="0"/>
              <w:jc w:val="center"/>
              <w:rPr>
                <w:rFonts w:cs="B Lotus"/>
              </w:rPr>
            </w:pPr>
            <w:r>
              <w:rPr>
                <w:rFonts w:cs="B Lotus"/>
                <w:rtl w:val="true"/>
              </w:rPr>
              <w:t>×</w:t>
            </w:r>
          </w:p>
        </w:tc>
        <w:tc>
          <w:tcPr>
            <w:tcW w:w="1080" w:type="dxa"/>
            <w:tcBorders/>
          </w:tcPr>
          <w:p>
            <w:pPr>
              <w:pStyle w:val="Normal"/>
              <w:spacing w:lineRule="exact" w:line="400"/>
              <w:ind w:end="0"/>
              <w:jc w:val="center"/>
              <w:rPr>
                <w:rFonts w:cs="B Lotus"/>
              </w:rPr>
            </w:pPr>
            <w:r>
              <w:rPr>
                <w:rFonts w:cs="B Lotus"/>
                <w:rtl w:val="true"/>
              </w:rPr>
              <w:t>×</w:t>
            </w:r>
          </w:p>
        </w:tc>
        <w:tc>
          <w:tcPr>
            <w:tcW w:w="6480" w:type="dxa"/>
            <w:tcBorders/>
          </w:tcPr>
          <w:p>
            <w:pPr>
              <w:pStyle w:val="JadvalMatne"/>
              <w:spacing w:lineRule="exact" w:line="400"/>
              <w:ind w:end="0"/>
              <w:jc w:val="start"/>
              <w:rPr/>
            </w:pPr>
            <w:r>
              <w:rPr>
                <w:rtl w:val="true"/>
              </w:rPr>
              <w:t>پ</w:t>
            </w:r>
          </w:p>
        </w:tc>
      </w:tr>
      <w:tr>
        <w:trPr/>
        <w:tc>
          <w:tcPr>
            <w:tcW w:w="1068" w:type="dxa"/>
            <w:tcBorders/>
          </w:tcPr>
          <w:p>
            <w:pPr>
              <w:pStyle w:val="Normal"/>
              <w:spacing w:lineRule="exact" w:line="400"/>
              <w:ind w:end="0"/>
              <w:jc w:val="center"/>
              <w:rPr>
                <w:rFonts w:cs="B Lotus"/>
              </w:rPr>
            </w:pPr>
            <w:r>
              <w:rPr>
                <w:rFonts w:cs="B Lotus"/>
                <w:rtl w:val="true"/>
              </w:rPr>
              <w:t>×</w:t>
            </w:r>
          </w:p>
        </w:tc>
        <w:tc>
          <w:tcPr>
            <w:tcW w:w="1080" w:type="dxa"/>
            <w:tcBorders/>
          </w:tcPr>
          <w:p>
            <w:pPr>
              <w:pStyle w:val="Normal"/>
              <w:spacing w:lineRule="exact" w:line="400"/>
              <w:ind w:end="0"/>
              <w:jc w:val="center"/>
              <w:rPr>
                <w:rFonts w:cs="B Lotus"/>
              </w:rPr>
            </w:pPr>
            <w:r>
              <w:rPr>
                <w:rFonts w:cs="B Lotus"/>
                <w:rtl w:val="true"/>
              </w:rPr>
              <w:t>×</w:t>
            </w:r>
          </w:p>
        </w:tc>
        <w:tc>
          <w:tcPr>
            <w:tcW w:w="6480" w:type="dxa"/>
            <w:tcBorders/>
          </w:tcPr>
          <w:p>
            <w:pPr>
              <w:pStyle w:val="JadvalMatne"/>
              <w:spacing w:lineRule="exact" w:line="400"/>
              <w:ind w:end="0"/>
              <w:jc w:val="start"/>
              <w:rPr/>
            </w:pPr>
            <w:r>
              <w:rPr>
                <w:rtl w:val="true"/>
              </w:rPr>
              <w:t>ت</w:t>
            </w:r>
          </w:p>
        </w:tc>
      </w:tr>
      <w:tr>
        <w:trPr/>
        <w:tc>
          <w:tcPr>
            <w:tcW w:w="1068" w:type="dxa"/>
            <w:tcBorders/>
          </w:tcPr>
          <w:p>
            <w:pPr>
              <w:pStyle w:val="Normal"/>
              <w:pBdr>
                <w:bottom w:val="single" w:sz="4" w:space="1" w:color="000000"/>
              </w:pBdr>
              <w:spacing w:lineRule="exact" w:line="400"/>
              <w:ind w:end="0"/>
              <w:jc w:val="center"/>
              <w:rPr>
                <w:rFonts w:cs="B Lotus"/>
              </w:rPr>
            </w:pPr>
            <w:r>
              <w:rPr>
                <w:rFonts w:cs="B Lotus"/>
                <w:rtl w:val="true"/>
              </w:rPr>
              <w:t>×</w:t>
            </w:r>
          </w:p>
        </w:tc>
        <w:tc>
          <w:tcPr>
            <w:tcW w:w="1080" w:type="dxa"/>
            <w:tcBorders/>
          </w:tcPr>
          <w:p>
            <w:pPr>
              <w:pStyle w:val="Normal"/>
              <w:pBdr>
                <w:bottom w:val="single" w:sz="4" w:space="1" w:color="000000"/>
              </w:pBdr>
              <w:spacing w:lineRule="exact" w:line="400"/>
              <w:ind w:end="0"/>
              <w:jc w:val="center"/>
              <w:rPr>
                <w:rFonts w:cs="B Lotus"/>
              </w:rPr>
            </w:pPr>
            <w:r>
              <w:rPr>
                <w:rFonts w:cs="B Lotus"/>
                <w:rtl w:val="true"/>
              </w:rPr>
              <w:t>×</w:t>
            </w:r>
          </w:p>
        </w:tc>
        <w:tc>
          <w:tcPr>
            <w:tcW w:w="6480" w:type="dxa"/>
            <w:tcBorders/>
          </w:tcPr>
          <w:p>
            <w:pPr>
              <w:pStyle w:val="JadvalMatne"/>
              <w:spacing w:lineRule="exact" w:line="400"/>
              <w:ind w:end="0"/>
              <w:jc w:val="start"/>
              <w:rPr/>
            </w:pPr>
            <w:r>
              <w:rPr>
                <w:rtl w:val="true"/>
              </w:rPr>
              <w:t>ث</w:t>
            </w:r>
          </w:p>
        </w:tc>
      </w:tr>
      <w:tr>
        <w:trPr/>
        <w:tc>
          <w:tcPr>
            <w:tcW w:w="1068" w:type="dxa"/>
            <w:tcBorders/>
          </w:tcPr>
          <w:p>
            <w:pPr>
              <w:pStyle w:val="Normal"/>
              <w:pBdr>
                <w:bottom w:val="single" w:sz="4" w:space="1" w:color="000000"/>
              </w:pBdr>
              <w:spacing w:lineRule="exact" w:line="400"/>
              <w:ind w:end="0"/>
              <w:jc w:val="center"/>
              <w:rPr>
                <w:rFonts w:cs="B Lotus"/>
              </w:rPr>
            </w:pPr>
            <w:r>
              <w:rPr>
                <w:rFonts w:cs="B Lotus"/>
                <w:rtl w:val="true"/>
              </w:rPr>
              <w:t>×</w:t>
            </w:r>
          </w:p>
        </w:tc>
        <w:tc>
          <w:tcPr>
            <w:tcW w:w="1080" w:type="dxa"/>
            <w:tcBorders/>
          </w:tcPr>
          <w:p>
            <w:pPr>
              <w:pStyle w:val="Normal"/>
              <w:pBdr>
                <w:bottom w:val="single" w:sz="4" w:space="1" w:color="000000"/>
              </w:pBdr>
              <w:spacing w:lineRule="exact" w:line="400"/>
              <w:ind w:end="0"/>
              <w:jc w:val="center"/>
              <w:rPr>
                <w:rFonts w:cs="B Lotus"/>
              </w:rPr>
            </w:pPr>
            <w:r>
              <w:rPr>
                <w:rFonts w:cs="B Lotus"/>
                <w:rtl w:val="true"/>
              </w:rPr>
              <w:t>×</w:t>
            </w:r>
          </w:p>
        </w:tc>
        <w:tc>
          <w:tcPr>
            <w:tcW w:w="6480" w:type="dxa"/>
            <w:tcBorders/>
          </w:tcPr>
          <w:p>
            <w:pPr>
              <w:pStyle w:val="JadvalMatne"/>
              <w:snapToGrid w:val="false"/>
              <w:spacing w:lineRule="exact" w:line="400"/>
              <w:ind w:end="0"/>
              <w:jc w:val="start"/>
              <w:rPr/>
            </w:pPr>
            <w:r>
              <w:rPr>
                <w:rFonts w:cs="B Lotus"/>
                <w:rtl w:val="true"/>
              </w:rPr>
            </w:r>
          </w:p>
        </w:tc>
      </w:tr>
      <w:tr>
        <w:trPr/>
        <w:tc>
          <w:tcPr>
            <w:tcW w:w="1068" w:type="dxa"/>
            <w:tcBorders/>
          </w:tcPr>
          <w:p>
            <w:pPr>
              <w:pStyle w:val="Normal"/>
              <w:pBdr>
                <w:bottom w:val="double" w:sz="6" w:space="1" w:color="000000"/>
              </w:pBdr>
              <w:spacing w:lineRule="exact" w:line="400"/>
              <w:ind w:end="0"/>
              <w:jc w:val="center"/>
              <w:rPr>
                <w:rFonts w:cs="B Lotus"/>
              </w:rPr>
            </w:pPr>
            <w:r>
              <w:rPr>
                <w:rFonts w:cs="B Lotus"/>
                <w:rtl w:val="true"/>
              </w:rPr>
              <w:t>×</w:t>
            </w:r>
          </w:p>
        </w:tc>
        <w:tc>
          <w:tcPr>
            <w:tcW w:w="1080" w:type="dxa"/>
            <w:tcBorders/>
          </w:tcPr>
          <w:p>
            <w:pPr>
              <w:pStyle w:val="Normal"/>
              <w:pBdr>
                <w:bottom w:val="double" w:sz="6" w:space="1" w:color="000000"/>
              </w:pBdr>
              <w:spacing w:lineRule="exact" w:line="400"/>
              <w:ind w:end="0"/>
              <w:jc w:val="center"/>
              <w:rPr>
                <w:rFonts w:cs="B Lotus"/>
              </w:rPr>
            </w:pPr>
            <w:r>
              <w:rPr>
                <w:rFonts w:cs="B Lotus"/>
                <w:rtl w:val="true"/>
              </w:rPr>
              <w:t>×</w:t>
            </w:r>
          </w:p>
        </w:tc>
        <w:tc>
          <w:tcPr>
            <w:tcW w:w="6480" w:type="dxa"/>
            <w:tcBorders/>
          </w:tcPr>
          <w:p>
            <w:pPr>
              <w:pStyle w:val="JadvalMatne"/>
              <w:spacing w:lineRule="exact" w:line="400"/>
              <w:ind w:end="0"/>
              <w:jc w:val="start"/>
              <w:rPr/>
            </w:pPr>
            <w:r>
              <w:rPr>
                <w:rtl w:val="true"/>
              </w:rPr>
              <w:t>جمع داراييها</w:t>
            </w:r>
          </w:p>
        </w:tc>
      </w:tr>
      <w:tr>
        <w:trPr/>
        <w:tc>
          <w:tcPr>
            <w:tcW w:w="1068" w:type="dxa"/>
            <w:tcBorders/>
          </w:tcPr>
          <w:p>
            <w:pPr>
              <w:pStyle w:val="Normal"/>
              <w:snapToGrid w:val="false"/>
              <w:spacing w:lineRule="exact" w:line="400"/>
              <w:ind w:end="0"/>
              <w:jc w:val="center"/>
              <w:rPr>
                <w:rFonts w:cs="B Lotus"/>
              </w:rPr>
            </w:pPr>
            <w:r>
              <w:rPr>
                <w:rFonts w:cs="B Lotus"/>
                <w:rtl w:val="true"/>
              </w:rPr>
            </w:r>
          </w:p>
        </w:tc>
        <w:tc>
          <w:tcPr>
            <w:tcW w:w="1080" w:type="dxa"/>
            <w:tcBorders/>
          </w:tcPr>
          <w:p>
            <w:pPr>
              <w:pStyle w:val="Normal"/>
              <w:snapToGrid w:val="false"/>
              <w:spacing w:lineRule="exact" w:line="400"/>
              <w:ind w:end="0"/>
              <w:jc w:val="center"/>
              <w:rPr>
                <w:rFonts w:cs="B Lotus"/>
              </w:rPr>
            </w:pPr>
            <w:r>
              <w:rPr>
                <w:rFonts w:cs="B Lotus"/>
                <w:rtl w:val="true"/>
              </w:rPr>
            </w:r>
          </w:p>
        </w:tc>
        <w:tc>
          <w:tcPr>
            <w:tcW w:w="6480" w:type="dxa"/>
            <w:tcBorders/>
          </w:tcPr>
          <w:p>
            <w:pPr>
              <w:pStyle w:val="JadvalMatnNazanin"/>
              <w:spacing w:lineRule="exact" w:line="400"/>
              <w:ind w:end="0"/>
              <w:jc w:val="start"/>
              <w:rPr>
                <w:u w:val="none"/>
              </w:rPr>
            </w:pPr>
            <w:r>
              <w:rPr>
                <w:rtl w:val="true"/>
              </w:rPr>
              <w:t>بدهيها و حقوق صاحبان سهام</w:t>
            </w:r>
          </w:p>
        </w:tc>
      </w:tr>
      <w:tr>
        <w:trPr/>
        <w:tc>
          <w:tcPr>
            <w:tcW w:w="1068" w:type="dxa"/>
            <w:tcBorders/>
          </w:tcPr>
          <w:p>
            <w:pPr>
              <w:pStyle w:val="Normal"/>
              <w:snapToGrid w:val="false"/>
              <w:spacing w:lineRule="exact" w:line="400"/>
              <w:ind w:end="0"/>
              <w:jc w:val="center"/>
              <w:rPr>
                <w:rFonts w:cs="B Lotus"/>
              </w:rPr>
            </w:pPr>
            <w:r>
              <w:rPr>
                <w:rFonts w:cs="B Lotus"/>
                <w:u w:val="none"/>
                <w:rtl w:val="true"/>
              </w:rPr>
            </w:r>
          </w:p>
        </w:tc>
        <w:tc>
          <w:tcPr>
            <w:tcW w:w="1080" w:type="dxa"/>
            <w:tcBorders/>
          </w:tcPr>
          <w:p>
            <w:pPr>
              <w:pStyle w:val="Normal"/>
              <w:snapToGrid w:val="false"/>
              <w:spacing w:lineRule="exact" w:line="400"/>
              <w:ind w:end="0"/>
              <w:jc w:val="center"/>
              <w:rPr>
                <w:rFonts w:cs="B Lotus"/>
              </w:rPr>
            </w:pPr>
            <w:r>
              <w:rPr>
                <w:rFonts w:cs="B Lotus"/>
                <w:rtl w:val="true"/>
              </w:rPr>
            </w:r>
          </w:p>
        </w:tc>
        <w:tc>
          <w:tcPr>
            <w:tcW w:w="6480" w:type="dxa"/>
            <w:tcBorders/>
          </w:tcPr>
          <w:p>
            <w:pPr>
              <w:pStyle w:val="JadvalMatne"/>
              <w:spacing w:lineRule="exact" w:line="400"/>
              <w:ind w:end="0"/>
              <w:jc w:val="start"/>
              <w:rPr>
                <w:rFonts w:hint="cs"/>
              </w:rPr>
            </w:pPr>
            <w:r>
              <w:rPr>
                <w:rtl w:val="true"/>
              </w:rPr>
              <w:t>بدهيهاي جاري</w:t>
            </w:r>
            <w:r>
              <w:rPr>
                <w:rFonts w:hint="cs"/>
                <w:rtl w:val="true"/>
              </w:rPr>
              <w:t>:</w:t>
            </w:r>
          </w:p>
        </w:tc>
      </w:tr>
      <w:tr>
        <w:trPr/>
        <w:tc>
          <w:tcPr>
            <w:tcW w:w="1068" w:type="dxa"/>
            <w:tcBorders/>
          </w:tcPr>
          <w:p>
            <w:pPr>
              <w:pStyle w:val="Normal"/>
              <w:spacing w:lineRule="exact" w:line="400"/>
              <w:ind w:end="0"/>
              <w:jc w:val="center"/>
              <w:rPr>
                <w:rFonts w:cs="B Lotus"/>
              </w:rPr>
            </w:pPr>
            <w:r>
              <w:rPr>
                <w:rFonts w:cs="B Lotus"/>
                <w:rtl w:val="true"/>
              </w:rPr>
              <w:t>×</w:t>
            </w:r>
          </w:p>
        </w:tc>
        <w:tc>
          <w:tcPr>
            <w:tcW w:w="1080" w:type="dxa"/>
            <w:tcBorders/>
          </w:tcPr>
          <w:p>
            <w:pPr>
              <w:pStyle w:val="Normal"/>
              <w:spacing w:lineRule="exact" w:line="400"/>
              <w:ind w:end="0"/>
              <w:jc w:val="center"/>
              <w:rPr>
                <w:rFonts w:cs="B Lotus"/>
              </w:rPr>
            </w:pPr>
            <w:r>
              <w:rPr>
                <w:rFonts w:cs="B Lotus"/>
                <w:rtl w:val="true"/>
              </w:rPr>
              <w:t>×</w:t>
            </w:r>
          </w:p>
        </w:tc>
        <w:tc>
          <w:tcPr>
            <w:tcW w:w="6480" w:type="dxa"/>
            <w:tcBorders/>
          </w:tcPr>
          <w:p>
            <w:pPr>
              <w:pStyle w:val="JadvalMatne"/>
              <w:spacing w:lineRule="exact" w:line="400"/>
              <w:ind w:end="0"/>
              <w:jc w:val="start"/>
              <w:rPr/>
            </w:pPr>
            <w:r>
              <w:rPr>
                <w:rtl w:val="true"/>
              </w:rPr>
              <w:t>ج</w:t>
            </w:r>
          </w:p>
        </w:tc>
      </w:tr>
      <w:tr>
        <w:trPr/>
        <w:tc>
          <w:tcPr>
            <w:tcW w:w="1068" w:type="dxa"/>
            <w:tcBorders/>
          </w:tcPr>
          <w:p>
            <w:pPr>
              <w:pStyle w:val="Normal"/>
              <w:spacing w:lineRule="exact" w:line="400"/>
              <w:ind w:end="0"/>
              <w:jc w:val="center"/>
              <w:rPr>
                <w:rFonts w:cs="B Lotus"/>
              </w:rPr>
            </w:pPr>
            <w:r>
              <w:rPr>
                <w:rFonts w:cs="B Lotus"/>
                <w:rtl w:val="true"/>
              </w:rPr>
              <w:t>×</w:t>
            </w:r>
          </w:p>
        </w:tc>
        <w:tc>
          <w:tcPr>
            <w:tcW w:w="1080" w:type="dxa"/>
            <w:tcBorders/>
          </w:tcPr>
          <w:p>
            <w:pPr>
              <w:pStyle w:val="Normal"/>
              <w:spacing w:lineRule="exact" w:line="400"/>
              <w:ind w:end="0"/>
              <w:jc w:val="center"/>
              <w:rPr>
                <w:rFonts w:cs="B Lotus"/>
              </w:rPr>
            </w:pPr>
            <w:r>
              <w:rPr>
                <w:rFonts w:cs="B Lotus"/>
                <w:rtl w:val="true"/>
              </w:rPr>
              <w:t>×</w:t>
            </w:r>
          </w:p>
        </w:tc>
        <w:tc>
          <w:tcPr>
            <w:tcW w:w="6480" w:type="dxa"/>
            <w:tcBorders/>
          </w:tcPr>
          <w:p>
            <w:pPr>
              <w:pStyle w:val="JadvalMatne"/>
              <w:spacing w:lineRule="exact" w:line="400"/>
              <w:ind w:end="0"/>
              <w:jc w:val="start"/>
              <w:rPr/>
            </w:pPr>
            <w:r>
              <w:rPr>
                <w:rtl w:val="true"/>
              </w:rPr>
              <w:t>چ</w:t>
            </w:r>
          </w:p>
        </w:tc>
      </w:tr>
      <w:tr>
        <w:trPr/>
        <w:tc>
          <w:tcPr>
            <w:tcW w:w="1068" w:type="dxa"/>
            <w:tcBorders/>
          </w:tcPr>
          <w:p>
            <w:pPr>
              <w:pStyle w:val="Normal"/>
              <w:pBdr>
                <w:bottom w:val="single" w:sz="4" w:space="1" w:color="000000"/>
              </w:pBdr>
              <w:spacing w:lineRule="exact" w:line="400"/>
              <w:ind w:end="0"/>
              <w:jc w:val="center"/>
              <w:rPr>
                <w:rFonts w:cs="B Lotus"/>
              </w:rPr>
            </w:pPr>
            <w:r>
              <w:rPr>
                <w:rFonts w:cs="B Lotus"/>
                <w:rtl w:val="true"/>
              </w:rPr>
              <w:t>×</w:t>
            </w:r>
          </w:p>
        </w:tc>
        <w:tc>
          <w:tcPr>
            <w:tcW w:w="1080" w:type="dxa"/>
            <w:tcBorders/>
          </w:tcPr>
          <w:p>
            <w:pPr>
              <w:pStyle w:val="Normal"/>
              <w:pBdr>
                <w:bottom w:val="single" w:sz="4" w:space="1" w:color="000000"/>
              </w:pBdr>
              <w:spacing w:lineRule="exact" w:line="400"/>
              <w:ind w:end="0"/>
              <w:jc w:val="center"/>
              <w:rPr>
                <w:rFonts w:cs="B Lotus"/>
              </w:rPr>
            </w:pPr>
            <w:r>
              <w:rPr>
                <w:rFonts w:cs="B Lotus"/>
                <w:rtl w:val="true"/>
              </w:rPr>
              <w:t>×</w:t>
            </w:r>
          </w:p>
        </w:tc>
        <w:tc>
          <w:tcPr>
            <w:tcW w:w="6480" w:type="dxa"/>
            <w:tcBorders/>
          </w:tcPr>
          <w:p>
            <w:pPr>
              <w:pStyle w:val="JadvalMatne"/>
              <w:spacing w:lineRule="exact" w:line="400"/>
              <w:ind w:end="0"/>
              <w:jc w:val="start"/>
              <w:rPr/>
            </w:pPr>
            <w:r>
              <w:rPr>
                <w:rtl w:val="true"/>
              </w:rPr>
              <w:t>ح</w:t>
            </w:r>
          </w:p>
        </w:tc>
      </w:tr>
      <w:tr>
        <w:trPr/>
        <w:tc>
          <w:tcPr>
            <w:tcW w:w="1068" w:type="dxa"/>
            <w:tcBorders/>
            <w:vAlign w:val="bottom"/>
          </w:tcPr>
          <w:p>
            <w:pPr>
              <w:pStyle w:val="Normal"/>
              <w:pBdr>
                <w:bottom w:val="single" w:sz="4" w:space="1" w:color="000000"/>
              </w:pBdr>
              <w:spacing w:lineRule="exact" w:line="400"/>
              <w:ind w:end="0"/>
              <w:jc w:val="center"/>
              <w:rPr>
                <w:rFonts w:cs="B Lotus"/>
              </w:rPr>
            </w:pPr>
            <w:r>
              <w:rPr>
                <w:rFonts w:cs="B Lotus"/>
                <w:rtl w:val="true"/>
              </w:rPr>
              <w:t>×</w:t>
            </w:r>
          </w:p>
        </w:tc>
        <w:tc>
          <w:tcPr>
            <w:tcW w:w="1080" w:type="dxa"/>
            <w:tcBorders/>
            <w:vAlign w:val="bottom"/>
          </w:tcPr>
          <w:p>
            <w:pPr>
              <w:pStyle w:val="Normal"/>
              <w:pBdr>
                <w:bottom w:val="single" w:sz="4" w:space="1" w:color="000000"/>
              </w:pBdr>
              <w:spacing w:lineRule="exact" w:line="400"/>
              <w:ind w:end="0"/>
              <w:jc w:val="center"/>
              <w:rPr>
                <w:rFonts w:cs="B Lotus"/>
                <w:vertAlign w:val="superscript"/>
              </w:rPr>
            </w:pPr>
            <w:r>
              <w:rPr>
                <w:rFonts w:cs="B Lotus"/>
                <w:rtl w:val="true"/>
              </w:rPr>
              <w:t>×</w:t>
            </w:r>
          </w:p>
        </w:tc>
        <w:tc>
          <w:tcPr>
            <w:tcW w:w="6480" w:type="dxa"/>
            <w:tcBorders/>
          </w:tcPr>
          <w:p>
            <w:pPr>
              <w:pStyle w:val="Normal"/>
              <w:snapToGrid w:val="false"/>
              <w:spacing w:lineRule="exact" w:line="400"/>
              <w:ind w:end="0"/>
              <w:jc w:val="start"/>
              <w:rPr>
                <w:rFonts w:cs="B Lotus"/>
              </w:rPr>
            </w:pPr>
            <w:r>
              <w:rPr>
                <w:rFonts w:cs="B Lotus"/>
                <w:vertAlign w:val="superscript"/>
                <w:rtl w:val="true"/>
              </w:rPr>
            </w:r>
          </w:p>
        </w:tc>
      </w:tr>
      <w:tr>
        <w:trPr/>
        <w:tc>
          <w:tcPr>
            <w:tcW w:w="1068" w:type="dxa"/>
            <w:tcBorders/>
            <w:vAlign w:val="bottom"/>
          </w:tcPr>
          <w:p>
            <w:pPr>
              <w:pStyle w:val="Normal"/>
              <w:spacing w:lineRule="exact" w:line="400"/>
              <w:ind w:end="0"/>
              <w:jc w:val="center"/>
              <w:rPr>
                <w:rFonts w:cs="B Lotus"/>
              </w:rPr>
            </w:pPr>
            <w:r>
              <w:rPr>
                <w:rFonts w:cs="B Lotus"/>
                <w:rtl w:val="true"/>
              </w:rPr>
              <w:t>×</w:t>
            </w:r>
          </w:p>
        </w:tc>
        <w:tc>
          <w:tcPr>
            <w:tcW w:w="1080" w:type="dxa"/>
            <w:tcBorders/>
            <w:vAlign w:val="bottom"/>
          </w:tcPr>
          <w:p>
            <w:pPr>
              <w:pStyle w:val="Normal"/>
              <w:spacing w:lineRule="exact" w:line="400"/>
              <w:ind w:end="0"/>
              <w:jc w:val="center"/>
              <w:rPr>
                <w:rFonts w:cs="B Lotus" w:hint="cs"/>
                <w:vertAlign w:val="superscript"/>
              </w:rPr>
            </w:pPr>
            <w:r>
              <w:rPr>
                <w:rFonts w:cs="B Lotus"/>
                <w:rtl w:val="true"/>
              </w:rPr>
              <w:t>×</w:t>
            </w:r>
          </w:p>
        </w:tc>
        <w:tc>
          <w:tcPr>
            <w:tcW w:w="6480" w:type="dxa"/>
            <w:tcBorders/>
          </w:tcPr>
          <w:p>
            <w:pPr>
              <w:pStyle w:val="Normal"/>
              <w:snapToGrid w:val="false"/>
              <w:spacing w:lineRule="exact" w:line="400"/>
              <w:ind w:end="0"/>
              <w:jc w:val="start"/>
              <w:rPr>
                <w:rFonts w:cs="B Lotus"/>
              </w:rPr>
            </w:pPr>
            <w:r>
              <w:rPr>
                <w:rFonts w:cs="B Lotus" w:hint="cs"/>
                <w:vertAlign w:val="superscript"/>
                <w:rtl w:val="true"/>
              </w:rPr>
            </w:r>
          </w:p>
        </w:tc>
      </w:tr>
      <w:tr>
        <w:trPr/>
        <w:tc>
          <w:tcPr>
            <w:tcW w:w="1068" w:type="dxa"/>
            <w:tcBorders/>
          </w:tcPr>
          <w:p>
            <w:pPr>
              <w:pStyle w:val="Normal"/>
              <w:pBdr>
                <w:bottom w:val="single" w:sz="4" w:space="1" w:color="000000"/>
              </w:pBdr>
              <w:spacing w:lineRule="exact" w:line="400"/>
              <w:ind w:end="0"/>
              <w:jc w:val="center"/>
              <w:rPr>
                <w:rFonts w:cs="B Lotus"/>
              </w:rPr>
            </w:pPr>
            <w:r>
              <w:rPr>
                <w:rFonts w:cs="B Lotus"/>
                <w:rtl w:val="true"/>
              </w:rPr>
              <w:t>-</w:t>
            </w:r>
          </w:p>
        </w:tc>
        <w:tc>
          <w:tcPr>
            <w:tcW w:w="1080" w:type="dxa"/>
            <w:tcBorders/>
            <w:vAlign w:val="bottom"/>
          </w:tcPr>
          <w:p>
            <w:pPr>
              <w:pStyle w:val="Normal"/>
              <w:pBdr>
                <w:bottom w:val="single" w:sz="4" w:space="1" w:color="000000"/>
              </w:pBdr>
              <w:spacing w:lineRule="exact" w:line="400"/>
              <w:ind w:end="0"/>
              <w:jc w:val="center"/>
              <w:rPr>
                <w:rFonts w:cs="B Lotus"/>
              </w:rPr>
            </w:pPr>
            <w:r>
              <w:rPr>
                <w:rFonts w:cs="B Lotus"/>
                <w:vertAlign w:val="superscript"/>
                <w:rtl w:val="true"/>
              </w:rPr>
              <w:t>(</w:t>
            </w:r>
            <w:r>
              <w:rPr>
                <w:rFonts w:cs="B Lotus"/>
                <w:vertAlign w:val="superscript"/>
              </w:rPr>
              <w:t>2</w:t>
            </w:r>
            <w:r>
              <w:rPr>
                <w:rFonts w:cs="B Lotus"/>
                <w:vertAlign w:val="superscript"/>
                <w:rtl w:val="true"/>
              </w:rPr>
              <w:t>)</w:t>
            </w:r>
            <w:r>
              <w:rPr>
                <w:rFonts w:cs="B Lotus"/>
              </w:rPr>
              <w:t>300</w:t>
            </w:r>
            <w:r>
              <w:rPr>
                <w:rFonts w:cs="B Lotus"/>
                <w:rtl w:val="true"/>
              </w:rPr>
              <w:t>ر</w:t>
            </w:r>
            <w:r>
              <w:rPr>
                <w:rFonts w:cs="B Lotus"/>
              </w:rPr>
              <w:t>3</w:t>
            </w:r>
          </w:p>
        </w:tc>
        <w:tc>
          <w:tcPr>
            <w:tcW w:w="6480" w:type="dxa"/>
            <w:tcBorders/>
          </w:tcPr>
          <w:p>
            <w:pPr>
              <w:pStyle w:val="Normal"/>
              <w:spacing w:lineRule="exact" w:line="400"/>
              <w:ind w:end="0"/>
              <w:jc w:val="start"/>
              <w:rPr>
                <w:rFonts w:cs="B Lotus"/>
              </w:rPr>
            </w:pPr>
            <w:r>
              <w:rPr>
                <w:rFonts w:cs="B Lotus"/>
                <w:rtl w:val="true"/>
              </w:rPr>
              <w:t>بدهيهاي مرتبط با داراييهاي غيرجاري نگهداري شده براي فروش</w:t>
            </w:r>
          </w:p>
        </w:tc>
      </w:tr>
      <w:tr>
        <w:trPr/>
        <w:tc>
          <w:tcPr>
            <w:tcW w:w="1068" w:type="dxa"/>
            <w:tcBorders/>
          </w:tcPr>
          <w:p>
            <w:pPr>
              <w:pStyle w:val="Normal"/>
              <w:pBdr>
                <w:bottom w:val="single" w:sz="4" w:space="1" w:color="000000"/>
              </w:pBdr>
              <w:spacing w:lineRule="exact" w:line="400"/>
              <w:ind w:end="0"/>
              <w:jc w:val="center"/>
              <w:rPr>
                <w:rFonts w:cs="B Lotus"/>
              </w:rPr>
            </w:pPr>
            <w:r>
              <w:rPr>
                <w:rFonts w:cs="B Lotus"/>
                <w:rtl w:val="true"/>
              </w:rPr>
              <w:t>×</w:t>
            </w:r>
          </w:p>
        </w:tc>
        <w:tc>
          <w:tcPr>
            <w:tcW w:w="1080" w:type="dxa"/>
            <w:tcBorders/>
          </w:tcPr>
          <w:p>
            <w:pPr>
              <w:pStyle w:val="Normal"/>
              <w:pBdr>
                <w:bottom w:val="single" w:sz="4" w:space="1" w:color="000000"/>
              </w:pBdr>
              <w:spacing w:lineRule="exact" w:line="400"/>
              <w:ind w:end="0"/>
              <w:jc w:val="center"/>
              <w:rPr>
                <w:rFonts w:cs="B Lotus"/>
              </w:rPr>
            </w:pPr>
            <w:r>
              <w:rPr>
                <w:rFonts w:cs="B Lotus"/>
                <w:rtl w:val="true"/>
              </w:rPr>
              <w:t>×</w:t>
            </w:r>
          </w:p>
        </w:tc>
        <w:tc>
          <w:tcPr>
            <w:tcW w:w="6480" w:type="dxa"/>
            <w:tcBorders/>
          </w:tcPr>
          <w:p>
            <w:pPr>
              <w:pStyle w:val="Normal"/>
              <w:snapToGrid w:val="false"/>
              <w:spacing w:lineRule="exact" w:line="400"/>
              <w:ind w:end="0"/>
              <w:jc w:val="start"/>
              <w:rPr>
                <w:rFonts w:cs="B Lotus"/>
              </w:rPr>
            </w:pPr>
            <w:r>
              <w:rPr>
                <w:rFonts w:cs="B Lotus"/>
                <w:rtl w:val="true"/>
              </w:rPr>
            </w:r>
          </w:p>
        </w:tc>
      </w:tr>
      <w:tr>
        <w:trPr/>
        <w:tc>
          <w:tcPr>
            <w:tcW w:w="1068" w:type="dxa"/>
            <w:tcBorders/>
          </w:tcPr>
          <w:p>
            <w:pPr>
              <w:pStyle w:val="Normal"/>
              <w:snapToGrid w:val="false"/>
              <w:spacing w:lineRule="exact" w:line="400"/>
              <w:ind w:end="0"/>
              <w:jc w:val="center"/>
              <w:rPr>
                <w:rFonts w:cs="B Lotus"/>
              </w:rPr>
            </w:pPr>
            <w:r>
              <w:rPr>
                <w:rFonts w:cs="B Lotus"/>
                <w:rtl w:val="true"/>
              </w:rPr>
            </w:r>
          </w:p>
        </w:tc>
        <w:tc>
          <w:tcPr>
            <w:tcW w:w="1080" w:type="dxa"/>
            <w:tcBorders/>
          </w:tcPr>
          <w:p>
            <w:pPr>
              <w:pStyle w:val="Normal"/>
              <w:snapToGrid w:val="false"/>
              <w:spacing w:lineRule="exact" w:line="400"/>
              <w:ind w:end="0"/>
              <w:jc w:val="center"/>
              <w:rPr>
                <w:rFonts w:cs="B Lotus"/>
              </w:rPr>
            </w:pPr>
            <w:r>
              <w:rPr>
                <w:rFonts w:cs="B Lotus"/>
                <w:rtl w:val="true"/>
              </w:rPr>
            </w:r>
          </w:p>
        </w:tc>
        <w:tc>
          <w:tcPr>
            <w:tcW w:w="6480" w:type="dxa"/>
            <w:tcBorders/>
          </w:tcPr>
          <w:p>
            <w:pPr>
              <w:pStyle w:val="Normal"/>
              <w:spacing w:lineRule="exact" w:line="400"/>
              <w:ind w:end="0"/>
              <w:jc w:val="start"/>
              <w:rPr>
                <w:rFonts w:cs="B Lotus" w:hint="cs"/>
              </w:rPr>
            </w:pPr>
            <w:r>
              <w:rPr>
                <w:rFonts w:cs="B Lotus"/>
                <w:rtl w:val="true"/>
              </w:rPr>
              <w:t>بدهيهاي غيرجاري</w:t>
            </w:r>
            <w:r>
              <w:rPr>
                <w:rFonts w:cs="B Lotus" w:hint="cs"/>
                <w:rtl w:val="true"/>
              </w:rPr>
              <w:t>:</w:t>
            </w:r>
          </w:p>
        </w:tc>
      </w:tr>
      <w:tr>
        <w:trPr/>
        <w:tc>
          <w:tcPr>
            <w:tcW w:w="1068" w:type="dxa"/>
            <w:tcBorders/>
          </w:tcPr>
          <w:p>
            <w:pPr>
              <w:pStyle w:val="Normal"/>
              <w:spacing w:lineRule="exact" w:line="400"/>
              <w:ind w:end="0"/>
              <w:jc w:val="center"/>
              <w:rPr>
                <w:rFonts w:cs="B Lotus"/>
              </w:rPr>
            </w:pPr>
            <w:r>
              <w:rPr>
                <w:rFonts w:cs="B Lotus"/>
                <w:rtl w:val="true"/>
              </w:rPr>
              <w:t>×</w:t>
            </w:r>
          </w:p>
        </w:tc>
        <w:tc>
          <w:tcPr>
            <w:tcW w:w="1080" w:type="dxa"/>
            <w:tcBorders/>
          </w:tcPr>
          <w:p>
            <w:pPr>
              <w:pStyle w:val="Normal"/>
              <w:spacing w:lineRule="exact" w:line="400"/>
              <w:ind w:end="0"/>
              <w:jc w:val="center"/>
              <w:rPr>
                <w:rFonts w:cs="B Lotus"/>
              </w:rPr>
            </w:pPr>
            <w:r>
              <w:rPr>
                <w:rFonts w:cs="B Lotus"/>
                <w:rtl w:val="true"/>
              </w:rPr>
              <w:t>×</w:t>
            </w:r>
          </w:p>
        </w:tc>
        <w:tc>
          <w:tcPr>
            <w:tcW w:w="6480" w:type="dxa"/>
            <w:tcBorders/>
          </w:tcPr>
          <w:p>
            <w:pPr>
              <w:pStyle w:val="Normal"/>
              <w:spacing w:lineRule="exact" w:line="400"/>
              <w:ind w:end="0"/>
              <w:jc w:val="start"/>
              <w:rPr>
                <w:rFonts w:cs="B Lotus"/>
              </w:rPr>
            </w:pPr>
            <w:r>
              <w:rPr>
                <w:rFonts w:cs="B Lotus"/>
                <w:rtl w:val="true"/>
              </w:rPr>
              <w:t>خ</w:t>
            </w:r>
          </w:p>
        </w:tc>
      </w:tr>
      <w:tr>
        <w:trPr/>
        <w:tc>
          <w:tcPr>
            <w:tcW w:w="1068" w:type="dxa"/>
            <w:tcBorders/>
          </w:tcPr>
          <w:p>
            <w:pPr>
              <w:pStyle w:val="Normal"/>
              <w:spacing w:lineRule="exact" w:line="400"/>
              <w:ind w:end="0"/>
              <w:jc w:val="center"/>
              <w:rPr>
                <w:rFonts w:cs="B Lotus"/>
              </w:rPr>
            </w:pPr>
            <w:r>
              <w:rPr>
                <w:rFonts w:cs="B Lotus"/>
                <w:rtl w:val="true"/>
              </w:rPr>
              <w:t>×</w:t>
            </w:r>
          </w:p>
        </w:tc>
        <w:tc>
          <w:tcPr>
            <w:tcW w:w="1080" w:type="dxa"/>
            <w:tcBorders/>
          </w:tcPr>
          <w:p>
            <w:pPr>
              <w:pStyle w:val="Normal"/>
              <w:spacing w:lineRule="exact" w:line="400"/>
              <w:ind w:end="0"/>
              <w:jc w:val="center"/>
              <w:rPr>
                <w:rFonts w:cs="B Lotus"/>
              </w:rPr>
            </w:pPr>
            <w:r>
              <w:rPr>
                <w:rFonts w:cs="B Lotus"/>
                <w:rtl w:val="true"/>
              </w:rPr>
              <w:t>×</w:t>
            </w:r>
          </w:p>
        </w:tc>
        <w:tc>
          <w:tcPr>
            <w:tcW w:w="6480" w:type="dxa"/>
            <w:tcBorders/>
          </w:tcPr>
          <w:p>
            <w:pPr>
              <w:pStyle w:val="Normal"/>
              <w:spacing w:lineRule="exact" w:line="400"/>
              <w:ind w:end="0"/>
              <w:jc w:val="start"/>
              <w:rPr>
                <w:rFonts w:cs="B Lotus"/>
              </w:rPr>
            </w:pPr>
            <w:r>
              <w:rPr>
                <w:rFonts w:cs="B Lotus"/>
                <w:rtl w:val="true"/>
              </w:rPr>
              <w:t>د</w:t>
            </w:r>
          </w:p>
        </w:tc>
      </w:tr>
      <w:tr>
        <w:trPr/>
        <w:tc>
          <w:tcPr>
            <w:tcW w:w="1068" w:type="dxa"/>
            <w:tcBorders/>
          </w:tcPr>
          <w:p>
            <w:pPr>
              <w:pStyle w:val="Normal"/>
              <w:pBdr>
                <w:bottom w:val="single" w:sz="4" w:space="1" w:color="000000"/>
              </w:pBdr>
              <w:spacing w:lineRule="exact" w:line="400"/>
              <w:ind w:end="0"/>
              <w:jc w:val="center"/>
              <w:rPr>
                <w:rFonts w:cs="B Lotus"/>
              </w:rPr>
            </w:pPr>
            <w:r>
              <w:rPr>
                <w:rFonts w:cs="B Lotus"/>
                <w:rtl w:val="true"/>
              </w:rPr>
              <w:t>×</w:t>
            </w:r>
          </w:p>
        </w:tc>
        <w:tc>
          <w:tcPr>
            <w:tcW w:w="1080" w:type="dxa"/>
            <w:tcBorders/>
          </w:tcPr>
          <w:p>
            <w:pPr>
              <w:pStyle w:val="Normal"/>
              <w:pBdr>
                <w:bottom w:val="single" w:sz="4" w:space="1" w:color="000000"/>
              </w:pBdr>
              <w:spacing w:lineRule="exact" w:line="400"/>
              <w:ind w:end="0"/>
              <w:jc w:val="center"/>
              <w:rPr>
                <w:rFonts w:cs="B Lotus"/>
              </w:rPr>
            </w:pPr>
            <w:r>
              <w:rPr>
                <w:rFonts w:cs="B Lotus"/>
                <w:rtl w:val="true"/>
              </w:rPr>
              <w:t>×</w:t>
            </w:r>
          </w:p>
        </w:tc>
        <w:tc>
          <w:tcPr>
            <w:tcW w:w="6480" w:type="dxa"/>
            <w:tcBorders/>
          </w:tcPr>
          <w:p>
            <w:pPr>
              <w:pStyle w:val="Normal"/>
              <w:spacing w:lineRule="exact" w:line="400"/>
              <w:ind w:end="0"/>
              <w:jc w:val="start"/>
              <w:rPr>
                <w:rFonts w:cs="B Lotus"/>
              </w:rPr>
            </w:pPr>
            <w:r>
              <w:rPr>
                <w:rFonts w:cs="B Lotus"/>
                <w:rtl w:val="true"/>
              </w:rPr>
              <w:t>ذ</w:t>
            </w:r>
          </w:p>
        </w:tc>
      </w:tr>
      <w:tr>
        <w:trPr/>
        <w:tc>
          <w:tcPr>
            <w:tcW w:w="1068" w:type="dxa"/>
            <w:tcBorders/>
          </w:tcPr>
          <w:p>
            <w:pPr>
              <w:pStyle w:val="Normal"/>
              <w:pBdr>
                <w:bottom w:val="single" w:sz="4" w:space="1" w:color="000000"/>
              </w:pBdr>
              <w:spacing w:lineRule="exact" w:line="400"/>
              <w:ind w:end="0"/>
              <w:jc w:val="center"/>
              <w:rPr>
                <w:rFonts w:cs="B Lotus"/>
              </w:rPr>
            </w:pPr>
            <w:r>
              <w:rPr>
                <w:rFonts w:cs="B Lotus"/>
                <w:rtl w:val="true"/>
              </w:rPr>
              <w:t>×</w:t>
            </w:r>
          </w:p>
        </w:tc>
        <w:tc>
          <w:tcPr>
            <w:tcW w:w="1080" w:type="dxa"/>
            <w:tcBorders/>
          </w:tcPr>
          <w:p>
            <w:pPr>
              <w:pStyle w:val="Normal"/>
              <w:pBdr>
                <w:bottom w:val="single" w:sz="4" w:space="1" w:color="000000"/>
              </w:pBdr>
              <w:spacing w:lineRule="exact" w:line="400"/>
              <w:ind w:end="0"/>
              <w:jc w:val="center"/>
              <w:rPr>
                <w:rFonts w:cs="B Lotus"/>
              </w:rPr>
            </w:pPr>
            <w:r>
              <w:rPr>
                <w:rFonts w:cs="B Lotus"/>
                <w:rtl w:val="true"/>
              </w:rPr>
              <w:t>×</w:t>
            </w:r>
          </w:p>
        </w:tc>
        <w:tc>
          <w:tcPr>
            <w:tcW w:w="6480" w:type="dxa"/>
            <w:tcBorders/>
          </w:tcPr>
          <w:p>
            <w:pPr>
              <w:pStyle w:val="Normal"/>
              <w:snapToGrid w:val="false"/>
              <w:spacing w:lineRule="exact" w:line="400"/>
              <w:ind w:end="0"/>
              <w:jc w:val="start"/>
              <w:rPr>
                <w:rFonts w:cs="B Lotus"/>
              </w:rPr>
            </w:pPr>
            <w:r>
              <w:rPr>
                <w:rFonts w:cs="B Lotus"/>
                <w:rtl w:val="true"/>
              </w:rPr>
            </w:r>
          </w:p>
        </w:tc>
      </w:tr>
      <w:tr>
        <w:trPr/>
        <w:tc>
          <w:tcPr>
            <w:tcW w:w="1068" w:type="dxa"/>
            <w:tcBorders/>
          </w:tcPr>
          <w:p>
            <w:pPr>
              <w:pStyle w:val="Normal"/>
              <w:pBdr>
                <w:bottom w:val="single" w:sz="4" w:space="1" w:color="000000"/>
              </w:pBdr>
              <w:spacing w:lineRule="exact" w:line="400"/>
              <w:ind w:end="0"/>
              <w:jc w:val="center"/>
              <w:rPr>
                <w:rFonts w:cs="B Lotus"/>
              </w:rPr>
            </w:pPr>
            <w:r>
              <w:rPr>
                <w:rFonts w:cs="B Lotus"/>
                <w:rtl w:val="true"/>
              </w:rPr>
              <w:t>×</w:t>
            </w:r>
          </w:p>
        </w:tc>
        <w:tc>
          <w:tcPr>
            <w:tcW w:w="1080" w:type="dxa"/>
            <w:tcBorders/>
          </w:tcPr>
          <w:p>
            <w:pPr>
              <w:pStyle w:val="Normal"/>
              <w:pBdr>
                <w:bottom w:val="single" w:sz="4" w:space="1" w:color="000000"/>
              </w:pBdr>
              <w:spacing w:lineRule="exact" w:line="400"/>
              <w:ind w:end="0"/>
              <w:jc w:val="center"/>
              <w:rPr>
                <w:rFonts w:cs="B Lotus"/>
              </w:rPr>
            </w:pPr>
            <w:r>
              <w:rPr>
                <w:rFonts w:cs="B Lotus"/>
                <w:rtl w:val="true"/>
              </w:rPr>
              <w:t>×</w:t>
            </w:r>
          </w:p>
        </w:tc>
        <w:tc>
          <w:tcPr>
            <w:tcW w:w="6480" w:type="dxa"/>
            <w:tcBorders/>
          </w:tcPr>
          <w:p>
            <w:pPr>
              <w:pStyle w:val="Normal"/>
              <w:spacing w:lineRule="exact" w:line="400"/>
              <w:ind w:end="0"/>
              <w:jc w:val="start"/>
              <w:rPr>
                <w:rFonts w:cs="B Lotus"/>
              </w:rPr>
            </w:pPr>
            <w:r>
              <w:rPr>
                <w:rFonts w:cs="B Lotus"/>
                <w:rtl w:val="true"/>
              </w:rPr>
              <w:t>جمع بدهيها</w:t>
            </w:r>
          </w:p>
        </w:tc>
      </w:tr>
      <w:tr>
        <w:trPr/>
        <w:tc>
          <w:tcPr>
            <w:tcW w:w="1068" w:type="dxa"/>
            <w:tcBorders/>
          </w:tcPr>
          <w:p>
            <w:pPr>
              <w:pStyle w:val="Normal"/>
              <w:snapToGrid w:val="false"/>
              <w:spacing w:lineRule="exact" w:line="400"/>
              <w:ind w:end="0"/>
              <w:jc w:val="center"/>
              <w:rPr>
                <w:rFonts w:cs="B Lotus"/>
              </w:rPr>
            </w:pPr>
            <w:r>
              <w:rPr>
                <w:rFonts w:cs="B Lotus"/>
                <w:rtl w:val="true"/>
              </w:rPr>
            </w:r>
          </w:p>
        </w:tc>
        <w:tc>
          <w:tcPr>
            <w:tcW w:w="1080" w:type="dxa"/>
            <w:tcBorders/>
          </w:tcPr>
          <w:p>
            <w:pPr>
              <w:pStyle w:val="Normal"/>
              <w:snapToGrid w:val="false"/>
              <w:spacing w:lineRule="exact" w:line="400"/>
              <w:ind w:end="0"/>
              <w:jc w:val="center"/>
              <w:rPr>
                <w:rFonts w:cs="B Lotus"/>
              </w:rPr>
            </w:pPr>
            <w:r>
              <w:rPr>
                <w:rFonts w:cs="B Lotus"/>
                <w:rtl w:val="true"/>
              </w:rPr>
            </w:r>
          </w:p>
        </w:tc>
        <w:tc>
          <w:tcPr>
            <w:tcW w:w="6480" w:type="dxa"/>
            <w:tcBorders/>
          </w:tcPr>
          <w:p>
            <w:pPr>
              <w:pStyle w:val="Normal"/>
              <w:spacing w:lineRule="exact" w:line="400"/>
              <w:ind w:end="0"/>
              <w:jc w:val="start"/>
              <w:rPr>
                <w:rFonts w:cs="B Lotus" w:hint="cs"/>
              </w:rPr>
            </w:pPr>
            <w:r>
              <w:rPr>
                <w:rFonts w:cs="B Lotus"/>
                <w:rtl w:val="true"/>
              </w:rPr>
              <w:t>حقوق قابل تخصيص به صاحبان سهام واحد تجاري اصلي</w:t>
            </w:r>
            <w:r>
              <w:rPr>
                <w:rFonts w:cs="B Lotus" w:hint="cs"/>
                <w:rtl w:val="true"/>
              </w:rPr>
              <w:t>:</w:t>
            </w:r>
          </w:p>
        </w:tc>
      </w:tr>
      <w:tr>
        <w:trPr/>
        <w:tc>
          <w:tcPr>
            <w:tcW w:w="1068" w:type="dxa"/>
            <w:tcBorders/>
          </w:tcPr>
          <w:p>
            <w:pPr>
              <w:pStyle w:val="Normal"/>
              <w:spacing w:lineRule="exact" w:line="400"/>
              <w:ind w:end="0"/>
              <w:jc w:val="center"/>
              <w:rPr>
                <w:rFonts w:cs="B Lotus"/>
              </w:rPr>
            </w:pPr>
            <w:r>
              <w:rPr>
                <w:rFonts w:cs="B Lotus"/>
                <w:rtl w:val="true"/>
              </w:rPr>
              <w:t>×</w:t>
            </w:r>
          </w:p>
        </w:tc>
        <w:tc>
          <w:tcPr>
            <w:tcW w:w="1080" w:type="dxa"/>
            <w:tcBorders/>
          </w:tcPr>
          <w:p>
            <w:pPr>
              <w:pStyle w:val="Normal"/>
              <w:spacing w:lineRule="exact" w:line="400"/>
              <w:ind w:end="0"/>
              <w:jc w:val="center"/>
              <w:rPr>
                <w:rFonts w:cs="B Lotus"/>
              </w:rPr>
            </w:pPr>
            <w:r>
              <w:rPr>
                <w:rFonts w:cs="B Lotus"/>
                <w:rtl w:val="true"/>
              </w:rPr>
              <w:t>×</w:t>
            </w:r>
          </w:p>
        </w:tc>
        <w:tc>
          <w:tcPr>
            <w:tcW w:w="6480" w:type="dxa"/>
            <w:tcBorders/>
          </w:tcPr>
          <w:p>
            <w:pPr>
              <w:pStyle w:val="Normal"/>
              <w:spacing w:lineRule="exact" w:line="400"/>
              <w:ind w:end="0"/>
              <w:jc w:val="start"/>
              <w:rPr>
                <w:rFonts w:cs="B Lotus"/>
              </w:rPr>
            </w:pPr>
            <w:r>
              <w:rPr>
                <w:rFonts w:cs="B Lotus"/>
                <w:rtl w:val="true"/>
              </w:rPr>
              <w:t>ر</w:t>
            </w:r>
          </w:p>
        </w:tc>
      </w:tr>
      <w:tr>
        <w:trPr/>
        <w:tc>
          <w:tcPr>
            <w:tcW w:w="1068" w:type="dxa"/>
            <w:tcBorders/>
          </w:tcPr>
          <w:p>
            <w:pPr>
              <w:pStyle w:val="Normal"/>
              <w:spacing w:lineRule="exact" w:line="400"/>
              <w:ind w:end="0"/>
              <w:jc w:val="center"/>
              <w:rPr>
                <w:rFonts w:cs="B Lotus"/>
              </w:rPr>
            </w:pPr>
            <w:r>
              <w:rPr>
                <w:rFonts w:cs="B Lotus"/>
                <w:rtl w:val="true"/>
              </w:rPr>
              <w:t>×</w:t>
            </w:r>
          </w:p>
        </w:tc>
        <w:tc>
          <w:tcPr>
            <w:tcW w:w="1080" w:type="dxa"/>
            <w:tcBorders/>
          </w:tcPr>
          <w:p>
            <w:pPr>
              <w:pStyle w:val="Normal"/>
              <w:spacing w:lineRule="exact" w:line="400"/>
              <w:ind w:end="0"/>
              <w:jc w:val="center"/>
              <w:rPr>
                <w:rFonts w:cs="B Lotus"/>
              </w:rPr>
            </w:pPr>
            <w:r>
              <w:rPr>
                <w:rFonts w:cs="B Lotus"/>
                <w:rtl w:val="true"/>
              </w:rPr>
              <w:t>×</w:t>
            </w:r>
          </w:p>
        </w:tc>
        <w:tc>
          <w:tcPr>
            <w:tcW w:w="6480" w:type="dxa"/>
            <w:tcBorders/>
          </w:tcPr>
          <w:p>
            <w:pPr>
              <w:pStyle w:val="Normal"/>
              <w:spacing w:lineRule="exact" w:line="400"/>
              <w:ind w:end="0"/>
              <w:jc w:val="start"/>
              <w:rPr>
                <w:rFonts w:cs="B Lotus"/>
              </w:rPr>
            </w:pPr>
            <w:r>
              <w:rPr>
                <w:rFonts w:cs="B Lotus"/>
                <w:rtl w:val="true"/>
              </w:rPr>
              <w:t>ز</w:t>
            </w:r>
          </w:p>
        </w:tc>
      </w:tr>
      <w:tr>
        <w:trPr/>
        <w:tc>
          <w:tcPr>
            <w:tcW w:w="1068" w:type="dxa"/>
            <w:tcBorders/>
            <w:vAlign w:val="bottom"/>
          </w:tcPr>
          <w:p>
            <w:pPr>
              <w:pStyle w:val="Normal"/>
              <w:pBdr>
                <w:bottom w:val="single" w:sz="4" w:space="1" w:color="000000"/>
              </w:pBdr>
              <w:spacing w:lineRule="exact" w:line="400"/>
              <w:ind w:end="0"/>
              <w:jc w:val="center"/>
              <w:rPr>
                <w:rFonts w:cs="B Lotus"/>
              </w:rPr>
            </w:pPr>
            <w:r>
              <w:rPr>
                <w:rFonts w:cs="B Lotus"/>
                <w:rtl w:val="true"/>
              </w:rPr>
              <w:t>-</w:t>
            </w:r>
          </w:p>
        </w:tc>
        <w:tc>
          <w:tcPr>
            <w:tcW w:w="1080" w:type="dxa"/>
            <w:tcBorders/>
            <w:vAlign w:val="bottom"/>
          </w:tcPr>
          <w:p>
            <w:pPr>
              <w:pStyle w:val="Normal"/>
              <w:pBdr>
                <w:bottom w:val="single" w:sz="4" w:space="1" w:color="000000"/>
              </w:pBdr>
              <w:spacing w:lineRule="exact" w:line="400"/>
              <w:ind w:end="0"/>
              <w:jc w:val="center"/>
              <w:rPr>
                <w:rFonts w:cs="B Lotus"/>
              </w:rPr>
            </w:pPr>
            <w:r>
              <w:rPr>
                <w:rFonts w:cs="B Lotus"/>
              </w:rPr>
              <w:t>400</w:t>
            </w:r>
          </w:p>
        </w:tc>
        <w:tc>
          <w:tcPr>
            <w:tcW w:w="6480" w:type="dxa"/>
            <w:tcBorders/>
          </w:tcPr>
          <w:p>
            <w:pPr>
              <w:pStyle w:val="Normal"/>
              <w:spacing w:lineRule="exact" w:line="400"/>
              <w:ind w:end="0"/>
              <w:jc w:val="start"/>
              <w:rPr>
                <w:rFonts w:cs="B Lotus"/>
              </w:rPr>
            </w:pPr>
            <w:r>
              <w:rPr>
                <w:rFonts w:cs="B Lotus"/>
                <w:rtl w:val="true"/>
              </w:rPr>
              <w:t>مازاد تجديد ارزيابي سرمايه‌گذاريهاي بلندمدت مربوط به</w:t>
            </w:r>
          </w:p>
          <w:p>
            <w:pPr>
              <w:pStyle w:val="Normal"/>
              <w:spacing w:lineRule="exact" w:line="400"/>
              <w:ind w:end="0"/>
              <w:jc w:val="start"/>
              <w:rPr>
                <w:rFonts w:cs="B Lotus"/>
              </w:rPr>
            </w:pPr>
            <w:r>
              <w:rPr>
                <w:rFonts w:cs="B Lotus"/>
                <w:rtl w:val="true"/>
              </w:rPr>
              <w:t>داراييهاي غيرجاري نگهداري شده براي فروش</w:t>
            </w:r>
          </w:p>
        </w:tc>
      </w:tr>
      <w:tr>
        <w:trPr/>
        <w:tc>
          <w:tcPr>
            <w:tcW w:w="1068" w:type="dxa"/>
            <w:tcBorders/>
          </w:tcPr>
          <w:p>
            <w:pPr>
              <w:pStyle w:val="Normal"/>
              <w:spacing w:lineRule="exact" w:line="400"/>
              <w:ind w:end="0"/>
              <w:jc w:val="center"/>
              <w:rPr>
                <w:rFonts w:cs="B Lotus"/>
              </w:rPr>
            </w:pPr>
            <w:r>
              <w:rPr>
                <w:rFonts w:cs="B Lotus"/>
                <w:rtl w:val="true"/>
              </w:rPr>
              <w:t>×</w:t>
            </w:r>
          </w:p>
        </w:tc>
        <w:tc>
          <w:tcPr>
            <w:tcW w:w="1080" w:type="dxa"/>
            <w:tcBorders/>
          </w:tcPr>
          <w:p>
            <w:pPr>
              <w:pStyle w:val="Normal"/>
              <w:spacing w:lineRule="exact" w:line="400"/>
              <w:ind w:end="0"/>
              <w:jc w:val="center"/>
              <w:rPr>
                <w:rFonts w:cs="B Lotus"/>
              </w:rPr>
            </w:pPr>
            <w:r>
              <w:rPr>
                <w:rFonts w:cs="B Lotus"/>
                <w:rtl w:val="true"/>
              </w:rPr>
              <w:t>×</w:t>
            </w:r>
          </w:p>
        </w:tc>
        <w:tc>
          <w:tcPr>
            <w:tcW w:w="6480" w:type="dxa"/>
            <w:tcBorders/>
          </w:tcPr>
          <w:p>
            <w:pPr>
              <w:pStyle w:val="Normal"/>
              <w:snapToGrid w:val="false"/>
              <w:spacing w:lineRule="exact" w:line="400"/>
              <w:ind w:end="0"/>
              <w:jc w:val="start"/>
              <w:rPr>
                <w:rFonts w:cs="B Lotus"/>
              </w:rPr>
            </w:pPr>
            <w:r>
              <w:rPr>
                <w:rFonts w:cs="B Lotus"/>
                <w:rtl w:val="true"/>
              </w:rPr>
            </w:r>
          </w:p>
        </w:tc>
      </w:tr>
      <w:tr>
        <w:trPr/>
        <w:tc>
          <w:tcPr>
            <w:tcW w:w="1068" w:type="dxa"/>
            <w:tcBorders/>
          </w:tcPr>
          <w:p>
            <w:pPr>
              <w:pStyle w:val="Normal"/>
              <w:pBdr>
                <w:bottom w:val="single" w:sz="4" w:space="1" w:color="000000"/>
              </w:pBdr>
              <w:spacing w:lineRule="exact" w:line="400"/>
              <w:ind w:end="0"/>
              <w:jc w:val="center"/>
              <w:rPr>
                <w:rFonts w:cs="B Lotus"/>
              </w:rPr>
            </w:pPr>
            <w:r>
              <w:rPr>
                <w:rFonts w:cs="B Lotus"/>
                <w:rtl w:val="true"/>
              </w:rPr>
              <w:t>×</w:t>
            </w:r>
          </w:p>
        </w:tc>
        <w:tc>
          <w:tcPr>
            <w:tcW w:w="1080" w:type="dxa"/>
            <w:tcBorders/>
          </w:tcPr>
          <w:p>
            <w:pPr>
              <w:pStyle w:val="Normal"/>
              <w:pBdr>
                <w:bottom w:val="single" w:sz="4" w:space="1" w:color="000000"/>
              </w:pBdr>
              <w:spacing w:lineRule="exact" w:line="400"/>
              <w:ind w:end="0"/>
              <w:jc w:val="center"/>
              <w:rPr>
                <w:rFonts w:cs="B Lotus"/>
              </w:rPr>
            </w:pPr>
            <w:r>
              <w:rPr>
                <w:rFonts w:cs="B Lotus"/>
                <w:rtl w:val="true"/>
              </w:rPr>
              <w:t>×</w:t>
            </w:r>
          </w:p>
        </w:tc>
        <w:tc>
          <w:tcPr>
            <w:tcW w:w="6480" w:type="dxa"/>
            <w:tcBorders/>
          </w:tcPr>
          <w:p>
            <w:pPr>
              <w:pStyle w:val="Normal"/>
              <w:spacing w:lineRule="exact" w:line="400"/>
              <w:ind w:end="0"/>
              <w:jc w:val="start"/>
              <w:rPr>
                <w:rFonts w:cs="B Lotus" w:hint="cs"/>
              </w:rPr>
            </w:pPr>
            <w:r>
              <w:rPr>
                <w:rFonts w:cs="B Lotus"/>
                <w:rtl w:val="true"/>
              </w:rPr>
              <w:t>سهم اقليت</w:t>
            </w:r>
          </w:p>
        </w:tc>
      </w:tr>
      <w:tr>
        <w:trPr/>
        <w:tc>
          <w:tcPr>
            <w:tcW w:w="1068" w:type="dxa"/>
            <w:tcBorders/>
          </w:tcPr>
          <w:p>
            <w:pPr>
              <w:pStyle w:val="Normal"/>
              <w:pBdr>
                <w:bottom w:val="single" w:sz="4" w:space="1" w:color="000000"/>
              </w:pBdr>
              <w:spacing w:lineRule="exact" w:line="400"/>
              <w:ind w:end="0"/>
              <w:jc w:val="center"/>
              <w:rPr>
                <w:rFonts w:cs="B Lotus"/>
              </w:rPr>
            </w:pPr>
            <w:r>
              <w:rPr>
                <w:rFonts w:cs="B Lotus"/>
                <w:rtl w:val="true"/>
              </w:rPr>
              <w:t>×</w:t>
            </w:r>
          </w:p>
        </w:tc>
        <w:tc>
          <w:tcPr>
            <w:tcW w:w="1080" w:type="dxa"/>
            <w:tcBorders/>
          </w:tcPr>
          <w:p>
            <w:pPr>
              <w:pStyle w:val="Normal"/>
              <w:pBdr>
                <w:bottom w:val="single" w:sz="4" w:space="1" w:color="000000"/>
              </w:pBdr>
              <w:spacing w:lineRule="exact" w:line="400"/>
              <w:ind w:end="0"/>
              <w:jc w:val="center"/>
              <w:rPr>
                <w:rFonts w:cs="B Lotus"/>
              </w:rPr>
            </w:pPr>
            <w:r>
              <w:rPr>
                <w:rFonts w:cs="B Lotus"/>
                <w:rtl w:val="true"/>
              </w:rPr>
              <w:t>×</w:t>
            </w:r>
          </w:p>
        </w:tc>
        <w:tc>
          <w:tcPr>
            <w:tcW w:w="6480" w:type="dxa"/>
            <w:tcBorders/>
          </w:tcPr>
          <w:p>
            <w:pPr>
              <w:pStyle w:val="Normal"/>
              <w:spacing w:lineRule="exact" w:line="400"/>
              <w:ind w:end="0"/>
              <w:jc w:val="start"/>
              <w:rPr>
                <w:rFonts w:cs="B Lotus"/>
              </w:rPr>
            </w:pPr>
            <w:r>
              <w:rPr>
                <w:rFonts w:cs="B Lotus"/>
                <w:rtl w:val="true"/>
              </w:rPr>
              <w:t>جمع حقوق صاحبان سهام</w:t>
            </w:r>
          </w:p>
        </w:tc>
      </w:tr>
      <w:tr>
        <w:trPr/>
        <w:tc>
          <w:tcPr>
            <w:tcW w:w="1068" w:type="dxa"/>
            <w:tcBorders/>
          </w:tcPr>
          <w:p>
            <w:pPr>
              <w:pStyle w:val="Normal"/>
              <w:pBdr>
                <w:bottom w:val="double" w:sz="6" w:space="1" w:color="000000"/>
              </w:pBdr>
              <w:spacing w:lineRule="exact" w:line="400"/>
              <w:ind w:end="0"/>
              <w:jc w:val="center"/>
              <w:rPr>
                <w:rFonts w:cs="B Lotus"/>
              </w:rPr>
            </w:pPr>
            <w:r>
              <w:rPr>
                <w:rFonts w:cs="B Lotus"/>
                <w:rtl w:val="true"/>
              </w:rPr>
              <w:t>×</w:t>
            </w:r>
          </w:p>
        </w:tc>
        <w:tc>
          <w:tcPr>
            <w:tcW w:w="1080" w:type="dxa"/>
            <w:tcBorders/>
          </w:tcPr>
          <w:p>
            <w:pPr>
              <w:pStyle w:val="Normal"/>
              <w:pBdr>
                <w:bottom w:val="double" w:sz="6" w:space="1" w:color="000000"/>
              </w:pBdr>
              <w:spacing w:lineRule="exact" w:line="400"/>
              <w:ind w:end="0"/>
              <w:jc w:val="center"/>
              <w:rPr>
                <w:rFonts w:cs="B Lotus"/>
              </w:rPr>
            </w:pPr>
            <w:r>
              <w:rPr>
                <w:rFonts w:cs="B Lotus"/>
                <w:rtl w:val="true"/>
              </w:rPr>
              <w:t>×</w:t>
            </w:r>
          </w:p>
        </w:tc>
        <w:tc>
          <w:tcPr>
            <w:tcW w:w="6480" w:type="dxa"/>
            <w:tcBorders/>
          </w:tcPr>
          <w:p>
            <w:pPr>
              <w:pStyle w:val="Normal"/>
              <w:spacing w:lineRule="exact" w:line="400"/>
              <w:ind w:end="0"/>
              <w:jc w:val="start"/>
              <w:rPr>
                <w:rFonts w:cs="B Lotus"/>
              </w:rPr>
            </w:pPr>
            <w:r>
              <w:rPr>
                <w:rFonts w:cs="B Lotus"/>
                <w:rtl w:val="true"/>
              </w:rPr>
              <w:t>جمع بدهيها و حقوق صاحبان سهام</w:t>
            </w:r>
          </w:p>
        </w:tc>
      </w:tr>
    </w:tbl>
    <w:p>
      <w:pPr>
        <w:pStyle w:val="Normal"/>
        <w:spacing w:before="0" w:after="120"/>
        <w:ind w:end="0"/>
        <w:jc w:val="start"/>
        <w:rPr>
          <w:rFonts w:cs="B Lotus"/>
        </w:rPr>
      </w:pPr>
      <w:r>
        <w:rPr>
          <w:rFonts w:cs="B Lotus"/>
          <w:rtl w:val="true"/>
        </w:rPr>
      </w:r>
    </w:p>
    <w:p>
      <w:pPr>
        <w:pStyle w:val="Normal"/>
        <w:spacing w:before="0" w:after="120"/>
        <w:ind w:end="0"/>
        <w:jc w:val="end"/>
        <w:rPr>
          <w:rFonts w:cs="B Lotus"/>
        </w:rPr>
      </w:pPr>
      <w:r>
        <w:rPr>
          <w:rFonts w:cs="B Lotus"/>
        </w:rPr>
        <w:t>000</w:t>
      </w:r>
      <w:r>
        <w:rPr>
          <w:rFonts w:cs="B Lotus"/>
          <w:rtl w:val="true"/>
        </w:rPr>
        <w:t>ر</w:t>
      </w:r>
      <w:r>
        <w:rPr>
          <w:rFonts w:cs="B Lotus"/>
        </w:rPr>
        <w:t>8</w:t>
      </w:r>
      <w:r>
        <w:rPr>
          <w:rFonts w:cs="B Lotus"/>
          <w:rtl w:val="true"/>
        </w:rPr>
        <w:t xml:space="preserve"> = </w:t>
      </w:r>
      <w:r>
        <w:rPr>
          <w:rFonts w:cs="B Lotus"/>
        </w:rPr>
        <w:t>400</w:t>
      </w:r>
      <w:r>
        <w:rPr>
          <w:rFonts w:cs="B Lotus"/>
          <w:rtl w:val="true"/>
        </w:rPr>
        <w:t>ر</w:t>
      </w:r>
      <w:r>
        <w:rPr>
          <w:rFonts w:cs="B Lotus"/>
        </w:rPr>
        <w:t>1</w:t>
      </w:r>
      <w:r>
        <w:rPr>
          <w:rFonts w:cs="B Lotus"/>
          <w:rtl w:val="true"/>
        </w:rPr>
        <w:t xml:space="preserve"> + </w:t>
      </w:r>
      <w:r>
        <w:rPr>
          <w:rFonts w:cs="B Lotus"/>
        </w:rPr>
        <w:t>700</w:t>
      </w:r>
      <w:r>
        <w:rPr>
          <w:rFonts w:cs="B Lotus"/>
          <w:rtl w:val="true"/>
        </w:rPr>
        <w:t>ر</w:t>
      </w:r>
      <w:r>
        <w:rPr>
          <w:rFonts w:cs="B Lotus"/>
        </w:rPr>
        <w:t>1</w:t>
      </w:r>
      <w:r>
        <w:rPr>
          <w:rFonts w:cs="B Lotus"/>
          <w:rtl w:val="true"/>
        </w:rPr>
        <w:t xml:space="preserve"> + </w:t>
      </w:r>
      <w:r>
        <w:rPr>
          <w:rFonts w:cs="B Lotus"/>
        </w:rPr>
        <w:t>900</w:t>
      </w:r>
      <w:r>
        <w:rPr>
          <w:rFonts w:cs="B Lotus"/>
          <w:rtl w:val="true"/>
        </w:rPr>
        <w:t>ر</w:t>
      </w:r>
      <w:r>
        <w:rPr>
          <w:rFonts w:cs="B Lotus"/>
        </w:rPr>
        <w:t>4</w:t>
      </w:r>
      <w:r>
        <w:rPr>
          <w:rFonts w:cs="B Lotus"/>
          <w:rtl w:val="true"/>
        </w:rPr>
        <w:t xml:space="preserve"> (</w:t>
      </w:r>
      <w:r>
        <w:rPr>
          <w:rFonts w:cs="B Lotus"/>
        </w:rPr>
        <w:t>1</w:t>
      </w:r>
      <w:r>
        <w:rPr>
          <w:rFonts w:cs="B Lotus"/>
          <w:rtl w:val="true"/>
        </w:rPr>
        <w:t>)</w:t>
      </w:r>
    </w:p>
    <w:p>
      <w:pPr>
        <w:pStyle w:val="Normal"/>
        <w:spacing w:before="0" w:after="120"/>
        <w:ind w:end="0"/>
        <w:jc w:val="end"/>
        <w:rPr>
          <w:rFonts w:cs="B Lotus"/>
        </w:rPr>
      </w:pPr>
      <w:r>
        <w:rPr>
          <w:rFonts w:cs="B Lotus"/>
        </w:rPr>
        <w:t>300</w:t>
      </w:r>
      <w:r>
        <w:rPr>
          <w:rFonts w:cs="B Lotus"/>
          <w:rtl w:val="true"/>
        </w:rPr>
        <w:t>ر</w:t>
      </w:r>
      <w:r>
        <w:rPr>
          <w:rFonts w:cs="B Lotus"/>
        </w:rPr>
        <w:t>3</w:t>
      </w:r>
      <w:r>
        <w:rPr>
          <w:rFonts w:cs="B Lotus"/>
          <w:rtl w:val="true"/>
        </w:rPr>
        <w:t xml:space="preserve"> = </w:t>
      </w:r>
      <w:r>
        <w:rPr>
          <w:rFonts w:cs="B Lotus"/>
        </w:rPr>
        <w:t>900</w:t>
      </w:r>
      <w:r>
        <w:rPr>
          <w:rFonts w:cs="B Lotus"/>
          <w:rtl w:val="true"/>
        </w:rPr>
        <w:t xml:space="preserve"> + </w:t>
      </w:r>
      <w:r>
        <w:rPr>
          <w:rFonts w:cs="B Lotus"/>
        </w:rPr>
        <w:t>400</w:t>
      </w:r>
      <w:r>
        <w:rPr>
          <w:rFonts w:cs="B Lotus"/>
          <w:rtl w:val="true"/>
        </w:rPr>
        <w:t>ر</w:t>
      </w:r>
      <w:r>
        <w:rPr>
          <w:rFonts w:cs="B Lotus"/>
        </w:rPr>
        <w:t>2</w:t>
      </w:r>
      <w:r>
        <w:rPr>
          <w:rFonts w:cs="B Lotus"/>
          <w:rtl w:val="true"/>
        </w:rPr>
        <w:t xml:space="preserve"> (</w:t>
      </w:r>
      <w:r>
        <w:rPr>
          <w:rFonts w:cs="B Lotus"/>
        </w:rPr>
        <w:t>2</w:t>
      </w:r>
      <w:r>
        <w:rPr>
          <w:rFonts w:cs="B Lotus"/>
          <w:rtl w:val="true"/>
        </w:rPr>
        <w:t>)</w:t>
      </w:r>
    </w:p>
    <w:p>
      <w:pPr>
        <w:pStyle w:val="Fa41"/>
        <w:ind w:end="0"/>
        <w:jc w:val="both"/>
        <w:rPr/>
      </w:pPr>
      <w:r>
        <w:rPr>
          <w:rFonts w:cs="B Lotus"/>
          <w:rtl w:val="true"/>
        </w:rPr>
      </w:r>
    </w:p>
    <w:p>
      <w:pPr>
        <w:pStyle w:val="Matn"/>
        <w:ind w:end="0"/>
        <w:jc w:val="both"/>
        <w:rPr>
          <w:spacing w:val="-4"/>
        </w:rPr>
      </w:pPr>
      <w:r>
        <w:rPr>
          <w:spacing w:val="-4"/>
          <w:rtl w:val="true"/>
        </w:rPr>
        <w:t xml:space="preserve">الزامات ارائه براي داراييهاي </w:t>
      </w:r>
      <w:r>
        <w:rPr>
          <w:rFonts w:hint="cs"/>
          <w:spacing w:val="-4"/>
          <w:rtl w:val="true"/>
        </w:rPr>
        <w:t xml:space="preserve">غيرجاري </w:t>
      </w:r>
      <w:r>
        <w:rPr>
          <w:spacing w:val="-4"/>
          <w:rtl w:val="true"/>
        </w:rPr>
        <w:t>(</w:t>
      </w:r>
      <w:r>
        <w:rPr>
          <w:spacing w:val="-4"/>
          <w:rtl w:val="true"/>
        </w:rPr>
        <w:t>يا مجموعه‌هاي واحد</w:t>
      </w:r>
      <w:r>
        <w:rPr>
          <w:spacing w:val="-4"/>
          <w:rtl w:val="true"/>
        </w:rPr>
        <w:t xml:space="preserve">) </w:t>
      </w:r>
      <w:r>
        <w:rPr>
          <w:spacing w:val="-4"/>
          <w:rtl w:val="true"/>
        </w:rPr>
        <w:t>طبقه‌بندي شده به</w:t>
      </w:r>
      <w:r>
        <w:rPr>
          <w:rFonts w:cs="Times New Roman"/>
          <w:spacing w:val="-4"/>
          <w:rtl w:val="true"/>
        </w:rPr>
        <w:t> </w:t>
      </w:r>
      <w:r>
        <w:rPr>
          <w:spacing w:val="-4"/>
          <w:rtl w:val="true"/>
        </w:rPr>
        <w:t>عنوان نگهداري شده براي فروش در پايان اين دوره گزارشگري، به گذشته تسري پيدا نمي‌کند</w:t>
      </w:r>
      <w:r>
        <w:rPr>
          <w:spacing w:val="-4"/>
          <w:rtl w:val="true"/>
        </w:rPr>
        <w:t xml:space="preserve">. </w:t>
      </w:r>
      <w:r>
        <w:rPr>
          <w:spacing w:val="-4"/>
          <w:rtl w:val="true"/>
        </w:rPr>
        <w:t>بنابراين، ترازنامه‌هاي مقايسه‌اي براي دوره‌هاي قبل تجديد ارائه نمي‌شود</w:t>
      </w:r>
      <w:r>
        <w:rPr>
          <w:spacing w:val="-4"/>
          <w:rtl w:val="true"/>
        </w:rPr>
        <w:t>.</w:t>
      </w:r>
      <w:r>
        <w:br w:type="page"/>
      </w:r>
    </w:p>
    <w:p>
      <w:pPr>
        <w:pStyle w:val="Normal"/>
        <w:spacing w:before="240" w:after="120"/>
        <w:ind w:end="0"/>
        <w:jc w:val="start"/>
        <w:rPr>
          <w:rFonts w:cs="B Zar"/>
          <w:b/>
          <w:sz w:val="24"/>
          <w:szCs w:val="26"/>
        </w:rPr>
      </w:pPr>
      <w:r>
        <w:rPr>
          <w:rFonts w:cs="B Zar"/>
          <w:b/>
          <w:b/>
          <w:sz w:val="24"/>
          <w:szCs w:val="26"/>
          <w:rtl w:val="true"/>
        </w:rPr>
        <w:t>اندازه‌گيري و ارائه واحدهاي فرعي تحصيل شده به</w:t>
      </w:r>
      <w:r>
        <w:rPr>
          <w:rFonts w:cs="Times New Roman"/>
          <w:b/>
          <w:b/>
          <w:sz w:val="24"/>
          <w:szCs w:val="26"/>
          <w:rtl w:val="true"/>
        </w:rPr>
        <w:t> </w:t>
      </w:r>
      <w:r>
        <w:rPr>
          <w:rFonts w:cs="B Zar"/>
          <w:b/>
          <w:b/>
          <w:sz w:val="24"/>
          <w:szCs w:val="26"/>
          <w:rtl w:val="true"/>
        </w:rPr>
        <w:t>منظور فروش مجدد و طبقه‌بندي شده به</w:t>
      </w:r>
      <w:r>
        <w:rPr>
          <w:rFonts w:cs="Times New Roman"/>
          <w:b/>
          <w:b/>
          <w:sz w:val="24"/>
          <w:szCs w:val="26"/>
          <w:rtl w:val="true"/>
        </w:rPr>
        <w:t> </w:t>
      </w:r>
      <w:r>
        <w:rPr>
          <w:rFonts w:cs="B Zar"/>
          <w:b/>
          <w:b/>
          <w:sz w:val="24"/>
          <w:szCs w:val="26"/>
          <w:rtl w:val="true"/>
        </w:rPr>
        <w:t xml:space="preserve">عنوان نگهداري شده براي فروش </w:t>
      </w:r>
      <w:r>
        <w:rPr>
          <w:rFonts w:cs="B Zar"/>
          <w:b/>
          <w:sz w:val="24"/>
          <w:szCs w:val="26"/>
          <w:rtl w:val="true"/>
        </w:rPr>
        <w:t>(</w:t>
      </w:r>
      <w:r>
        <w:rPr>
          <w:rFonts w:cs="B Zar"/>
          <w:b/>
          <w:b/>
          <w:sz w:val="24"/>
          <w:szCs w:val="26"/>
          <w:rtl w:val="true"/>
        </w:rPr>
        <w:t xml:space="preserve">بندهاي </w:t>
      </w:r>
      <w:r>
        <w:rPr>
          <w:rFonts w:cs="B Zar"/>
          <w:b/>
          <w:sz w:val="24"/>
          <w:szCs w:val="26"/>
        </w:rPr>
        <w:t>12</w:t>
      </w:r>
      <w:r>
        <w:rPr>
          <w:rFonts w:cs="B Zar"/>
          <w:b/>
          <w:sz w:val="24"/>
          <w:szCs w:val="26"/>
          <w:rtl w:val="true"/>
        </w:rPr>
        <w:t xml:space="preserve"> </w:t>
      </w:r>
      <w:r>
        <w:rPr>
          <w:rFonts w:cs="B Zar"/>
          <w:b/>
          <w:b/>
          <w:sz w:val="24"/>
          <w:szCs w:val="26"/>
          <w:rtl w:val="true"/>
        </w:rPr>
        <w:t xml:space="preserve">و </w:t>
      </w:r>
      <w:r>
        <w:rPr>
          <w:rFonts w:cs="B Zar"/>
          <w:b/>
          <w:sz w:val="24"/>
          <w:szCs w:val="26"/>
        </w:rPr>
        <w:t>38</w:t>
      </w:r>
      <w:r>
        <w:rPr>
          <w:rFonts w:cs="B Zar"/>
          <w:b/>
          <w:sz w:val="24"/>
          <w:szCs w:val="26"/>
          <w:rtl w:val="true"/>
        </w:rPr>
        <w:t>)</w:t>
      </w:r>
    </w:p>
    <w:p>
      <w:pPr>
        <w:pStyle w:val="Matn"/>
        <w:ind w:end="0"/>
        <w:jc w:val="both"/>
        <w:rPr/>
      </w:pPr>
      <w:r>
        <w:rPr>
          <w:rtl w:val="true"/>
        </w:rPr>
        <w:t>واحد فرعي که به</w:t>
      </w:r>
      <w:r>
        <w:rPr>
          <w:rFonts w:cs="Times New Roman"/>
          <w:rtl w:val="true"/>
        </w:rPr>
        <w:t> </w:t>
      </w:r>
      <w:r>
        <w:rPr>
          <w:rtl w:val="true"/>
        </w:rPr>
        <w:t xml:space="preserve">منظور فروش تحصيل شده است از الزامات تلفيق طبق استاندارد حسابداري شماره </w:t>
      </w:r>
      <w:r>
        <w:rPr/>
        <w:t>18</w:t>
      </w:r>
      <w:r>
        <w:rPr>
          <w:rtl w:val="true"/>
        </w:rPr>
        <w:t xml:space="preserve"> </w:t>
      </w:r>
      <w:r>
        <w:rPr>
          <w:rtl w:val="true"/>
        </w:rPr>
        <w:t>با</w:t>
      </w:r>
      <w:r>
        <w:rPr>
          <w:rFonts w:hint="cs" w:cs="Times New Roman"/>
          <w:rtl w:val="true"/>
        </w:rPr>
        <w:t> </w:t>
      </w:r>
      <w:r>
        <w:rPr>
          <w:rtl w:val="true"/>
        </w:rPr>
        <w:t xml:space="preserve">عنوان </w:t>
      </w:r>
      <w:r>
        <w:rPr>
          <w:rStyle w:val="D-TrafficVasat"/>
          <w:rtl w:val="true"/>
        </w:rPr>
        <w:t xml:space="preserve">صورتهاي مالي تلفيقي و حسابداري سرمايه‌گذاري در واحدهاي تجاري فرعي </w:t>
      </w:r>
      <w:r>
        <w:rPr>
          <w:rStyle w:val="D-TrafficVasat"/>
          <w:rtl w:val="true"/>
        </w:rPr>
        <w:t>(</w:t>
      </w:r>
      <w:r>
        <w:rPr>
          <w:rStyle w:val="D-TrafficVasat"/>
          <w:rtl w:val="true"/>
        </w:rPr>
        <w:t xml:space="preserve">تجديدنظر شده </w:t>
      </w:r>
      <w:r>
        <w:rPr>
          <w:rStyle w:val="D-TrafficVasat"/>
        </w:rPr>
        <w:t>1384</w:t>
      </w:r>
      <w:r>
        <w:rPr>
          <w:rStyle w:val="D-TrafficVasat"/>
          <w:rtl w:val="true"/>
        </w:rPr>
        <w:t>)</w:t>
      </w:r>
      <w:r>
        <w:rPr>
          <w:rtl w:val="true"/>
        </w:rPr>
        <w:t xml:space="preserve"> </w:t>
      </w:r>
      <w:r>
        <w:rPr>
          <w:rtl w:val="true"/>
        </w:rPr>
        <w:t>مستثني نيست</w:t>
      </w:r>
      <w:r>
        <w:rPr>
          <w:rtl w:val="true"/>
        </w:rPr>
        <w:t xml:space="preserve">. </w:t>
      </w:r>
      <w:r>
        <w:rPr>
          <w:rtl w:val="true"/>
        </w:rPr>
        <w:t xml:space="preserve">با اين حال، اگر معيارهاي بند </w:t>
      </w:r>
      <w:r>
        <w:rPr/>
        <w:t>12</w:t>
      </w:r>
      <w:r>
        <w:rPr>
          <w:rtl w:val="true"/>
        </w:rPr>
        <w:t xml:space="preserve"> </w:t>
      </w:r>
      <w:r>
        <w:rPr>
          <w:rtl w:val="true"/>
        </w:rPr>
        <w:t>احراز شود، به</w:t>
      </w:r>
      <w:r>
        <w:rPr>
          <w:rFonts w:cs="Times New Roman"/>
          <w:rtl w:val="true"/>
        </w:rPr>
        <w:t> </w:t>
      </w:r>
      <w:r>
        <w:rPr>
          <w:rtl w:val="true"/>
        </w:rPr>
        <w:t>عنوان مجموعه‌ واحد طبقه‌بندي شده به</w:t>
      </w:r>
      <w:r>
        <w:rPr>
          <w:rFonts w:cs="Times New Roman"/>
          <w:rtl w:val="true"/>
        </w:rPr>
        <w:t> </w:t>
      </w:r>
      <w:r>
        <w:rPr>
          <w:rtl w:val="true"/>
        </w:rPr>
        <w:t>عنوان نگهداري شده براي فروش ارائه مي‌شود</w:t>
      </w:r>
      <w:r>
        <w:rPr>
          <w:rtl w:val="true"/>
        </w:rPr>
        <w:t xml:space="preserve">. </w:t>
      </w:r>
      <w:r>
        <w:rPr>
          <w:rtl w:val="true"/>
        </w:rPr>
        <w:t xml:space="preserve">مثال </w:t>
      </w:r>
      <w:r>
        <w:rPr/>
        <w:t>13</w:t>
      </w:r>
      <w:r>
        <w:rPr>
          <w:rtl w:val="true"/>
        </w:rPr>
        <w:t xml:space="preserve"> </w:t>
      </w:r>
      <w:r>
        <w:rPr>
          <w:rtl w:val="true"/>
        </w:rPr>
        <w:t>اين الزامات را تشريح مي‌کند</w:t>
      </w:r>
      <w:r>
        <w:rPr>
          <w:rtl w:val="true"/>
        </w:rPr>
        <w:t>.</w:t>
      </w:r>
    </w:p>
    <w:p>
      <w:pPr>
        <w:pStyle w:val="MesalTraffic"/>
        <w:ind w:end="0"/>
        <w:jc w:val="start"/>
        <w:rPr/>
      </w:pPr>
      <w:r>
        <w:rPr>
          <w:rtl w:val="true"/>
        </w:rPr>
        <w:t xml:space="preserve">مثال </w:t>
      </w:r>
      <w:r>
        <w:rPr/>
        <w:t>13</w:t>
      </w:r>
      <w:r>
        <w:rPr>
          <w:rtl w:val="true"/>
        </w:rPr>
        <w:t>:</w:t>
      </w:r>
    </w:p>
    <w:p>
      <w:pPr>
        <w:pStyle w:val="Matn"/>
        <w:ind w:end="0"/>
        <w:jc w:val="both"/>
        <w:rPr/>
      </w:pPr>
      <w:r>
        <w:rPr>
          <w:rtl w:val="true"/>
        </w:rPr>
        <w:t>شرکت البرز، شرکت جام را تحصيل کرده که خود يک شرکت اصلي با دو شرکت فرعي به</w:t>
      </w:r>
      <w:r>
        <w:rPr>
          <w:rFonts w:hint="cs" w:cs="Times New Roman"/>
          <w:rtl w:val="true"/>
        </w:rPr>
        <w:t> </w:t>
      </w:r>
      <w:r>
        <w:rPr>
          <w:rtl w:val="true"/>
        </w:rPr>
        <w:t>نامهاي الف و ب است</w:t>
      </w:r>
      <w:r>
        <w:rPr>
          <w:rtl w:val="true"/>
        </w:rPr>
        <w:t xml:space="preserve">. </w:t>
      </w:r>
      <w:r>
        <w:rPr>
          <w:rtl w:val="true"/>
        </w:rPr>
        <w:t>شرکت فرعي ب منحصراً به</w:t>
      </w:r>
      <w:r>
        <w:rPr>
          <w:rFonts w:cs="Times New Roman"/>
          <w:rtl w:val="true"/>
        </w:rPr>
        <w:t> </w:t>
      </w:r>
      <w:r>
        <w:rPr>
          <w:rtl w:val="true"/>
        </w:rPr>
        <w:t>منظور فروش خريداري شده است و معيارهاي طبقه‌بندي به</w:t>
      </w:r>
      <w:r>
        <w:rPr>
          <w:rFonts w:cs="Times New Roman"/>
          <w:rtl w:val="true"/>
        </w:rPr>
        <w:t> </w:t>
      </w:r>
      <w:r>
        <w:rPr>
          <w:rtl w:val="true"/>
        </w:rPr>
        <w:t>عنوان نگهداري شده براي فروش را احراز مي‌کند</w:t>
      </w:r>
      <w:r>
        <w:rPr>
          <w:rtl w:val="true"/>
        </w:rPr>
        <w:t xml:space="preserve">. </w:t>
      </w:r>
      <w:r>
        <w:rPr>
          <w:rtl w:val="true"/>
        </w:rPr>
        <w:t>همچنين طبق بند</w:t>
      </w:r>
      <w:r>
        <w:rPr>
          <w:rFonts w:hint="cs" w:cs="Times New Roman"/>
          <w:rtl w:val="true"/>
        </w:rPr>
        <w:t> </w:t>
      </w:r>
      <w:r>
        <w:rPr/>
        <w:t>6</w:t>
      </w:r>
      <w:r>
        <w:rPr>
          <w:rtl w:val="true"/>
        </w:rPr>
        <w:t>، شرکت فرعي ب عمليات متوقف شده نيز محسوب مي‌شود</w:t>
      </w:r>
      <w:r>
        <w:rPr>
          <w:rtl w:val="true"/>
        </w:rPr>
        <w:t>.</w:t>
      </w:r>
    </w:p>
    <w:p>
      <w:pPr>
        <w:pStyle w:val="Matn"/>
        <w:ind w:end="0"/>
        <w:jc w:val="both"/>
        <w:rPr/>
      </w:pPr>
      <w:r>
        <w:rPr>
          <w:rtl w:val="true"/>
        </w:rPr>
        <w:t xml:space="preserve">خالص ارزش فروش شرکت فرعي ب، معادل </w:t>
      </w:r>
      <w:r>
        <w:rPr/>
        <w:t>135</w:t>
      </w:r>
      <w:r>
        <w:rPr>
          <w:rtl w:val="true"/>
        </w:rPr>
        <w:t xml:space="preserve"> </w:t>
      </w:r>
      <w:r>
        <w:rPr>
          <w:rtl w:val="true"/>
        </w:rPr>
        <w:t>ميليون ريال است</w:t>
      </w:r>
      <w:r>
        <w:rPr>
          <w:rtl w:val="true"/>
        </w:rPr>
        <w:t xml:space="preserve">. </w:t>
      </w:r>
      <w:r>
        <w:rPr>
          <w:rtl w:val="true"/>
        </w:rPr>
        <w:t>شرکت البرز، شرکت فرعي ب را به</w:t>
      </w:r>
      <w:r>
        <w:rPr>
          <w:rFonts w:cs="Times New Roman"/>
          <w:rtl w:val="true"/>
        </w:rPr>
        <w:t> </w:t>
      </w:r>
      <w:r>
        <w:rPr>
          <w:rtl w:val="true"/>
        </w:rPr>
        <w:t>صورت زير در حسابها منظور مي‌کند</w:t>
      </w:r>
      <w:r>
        <w:rPr>
          <w:rtl w:val="true"/>
        </w:rPr>
        <w:t>:</w:t>
      </w:r>
    </w:p>
    <w:p>
      <w:pPr>
        <w:pStyle w:val="MatnBullet"/>
        <w:numPr>
          <w:ilvl w:val="0"/>
          <w:numId w:val="14"/>
        </w:numPr>
        <w:ind w:hanging="284" w:start="284" w:end="0"/>
        <w:jc w:val="both"/>
        <w:rPr/>
      </w:pPr>
      <w:r>
        <w:rPr>
          <w:rtl w:val="true"/>
        </w:rPr>
        <w:t>در ابتدا، شرکت البرز بدهيهاي قابل تشخيص شرکت فرعي ب را به ارزش منصفانه آن معادل</w:t>
      </w:r>
      <w:r>
        <w:rPr>
          <w:rFonts w:hint="cs" w:cs="Times New Roman"/>
          <w:rtl w:val="true"/>
        </w:rPr>
        <w:t> </w:t>
      </w:r>
      <w:r>
        <w:rPr/>
        <w:t>40</w:t>
      </w:r>
      <w:r>
        <w:rPr>
          <w:rtl w:val="true"/>
        </w:rPr>
        <w:t xml:space="preserve"> </w:t>
      </w:r>
      <w:r>
        <w:rPr>
          <w:rtl w:val="true"/>
        </w:rPr>
        <w:t>ميليون ريال اندازه‌گيري مي‌کند</w:t>
      </w:r>
      <w:r>
        <w:rPr>
          <w:rtl w:val="true"/>
        </w:rPr>
        <w:t>.</w:t>
      </w:r>
    </w:p>
    <w:p>
      <w:pPr>
        <w:pStyle w:val="MatnBullet"/>
        <w:numPr>
          <w:ilvl w:val="0"/>
          <w:numId w:val="14"/>
        </w:numPr>
        <w:ind w:hanging="284" w:start="284" w:end="0"/>
        <w:jc w:val="both"/>
        <w:rPr/>
      </w:pPr>
      <w:r>
        <w:rPr>
          <w:rtl w:val="true"/>
        </w:rPr>
        <w:t>همچنين، شرکت البرز داراييهاي تحصيل شده شرکت فرعي ب را معادل خالص ارزش فروش</w:t>
      </w:r>
      <w:r>
        <w:rPr>
          <w:rFonts w:hint="cs"/>
          <w:rtl w:val="true"/>
        </w:rPr>
        <w:t xml:space="preserve"> شركت ب</w:t>
      </w:r>
      <w:r>
        <w:rPr>
          <w:rtl w:val="true"/>
        </w:rPr>
        <w:t xml:space="preserve"> </w:t>
      </w:r>
      <w:r>
        <w:rPr>
          <w:rtl w:val="true"/>
        </w:rPr>
        <w:t>(</w:t>
      </w:r>
      <w:r>
        <w:rPr/>
        <w:t>135</w:t>
      </w:r>
      <w:r>
        <w:rPr>
          <w:rtl w:val="true"/>
        </w:rPr>
        <w:t xml:space="preserve"> </w:t>
      </w:r>
      <w:r>
        <w:rPr>
          <w:rtl w:val="true"/>
        </w:rPr>
        <w:t>ميليون ريال</w:t>
      </w:r>
      <w:r>
        <w:rPr>
          <w:rtl w:val="true"/>
        </w:rPr>
        <w:t xml:space="preserve">) </w:t>
      </w:r>
      <w:r>
        <w:rPr>
          <w:rtl w:val="true"/>
        </w:rPr>
        <w:t xml:space="preserve">به علاوه ارزش منصفانه بدهيهاي قابل تشخيص آن </w:t>
      </w:r>
      <w:r>
        <w:rPr>
          <w:rtl w:val="true"/>
        </w:rPr>
        <w:t>(</w:t>
      </w:r>
      <w:r>
        <w:rPr/>
        <w:t>40</w:t>
      </w:r>
      <w:r>
        <w:rPr>
          <w:rFonts w:cs="Times New Roman" w:hint="cs"/>
          <w:rtl w:val="true"/>
        </w:rPr>
        <w:t> </w:t>
      </w:r>
      <w:r>
        <w:rPr>
          <w:rtl w:val="true"/>
        </w:rPr>
        <w:t>ميليون ريال</w:t>
      </w:r>
      <w:r>
        <w:rPr>
          <w:rtl w:val="true"/>
        </w:rPr>
        <w:t>)</w:t>
      </w:r>
      <w:r>
        <w:rPr>
          <w:rtl w:val="true"/>
        </w:rPr>
        <w:t xml:space="preserve">، يعني معادل </w:t>
      </w:r>
      <w:r>
        <w:rPr/>
        <w:t>175</w:t>
      </w:r>
      <w:r>
        <w:rPr>
          <w:rtl w:val="true"/>
        </w:rPr>
        <w:t xml:space="preserve"> </w:t>
      </w:r>
      <w:r>
        <w:rPr>
          <w:rtl w:val="true"/>
        </w:rPr>
        <w:t>ميليون ريال، اندازه‌گيري مي‌کند</w:t>
      </w:r>
      <w:r>
        <w:rPr>
          <w:rtl w:val="true"/>
        </w:rPr>
        <w:t>.</w:t>
      </w:r>
    </w:p>
    <w:p>
      <w:pPr>
        <w:pStyle w:val="MatnBullet"/>
        <w:numPr>
          <w:ilvl w:val="0"/>
          <w:numId w:val="14"/>
        </w:numPr>
        <w:ind w:hanging="284" w:start="284" w:end="0"/>
        <w:jc w:val="both"/>
        <w:rPr>
          <w:spacing w:val="2"/>
        </w:rPr>
      </w:pPr>
      <w:r>
        <w:rPr>
          <w:spacing w:val="2"/>
          <w:rtl w:val="true"/>
        </w:rPr>
        <w:t xml:space="preserve">در تاريخ ترازنامه، شرکت البرز مجموعه‌ واحد را به اقل </w:t>
      </w:r>
      <w:r>
        <w:rPr>
          <w:rFonts w:hint="cs"/>
          <w:spacing w:val="2"/>
          <w:rtl w:val="true"/>
        </w:rPr>
        <w:t xml:space="preserve">مبلغ دفتري </w:t>
      </w:r>
      <w:r>
        <w:rPr>
          <w:spacing w:val="2"/>
          <w:rtl w:val="true"/>
        </w:rPr>
        <w:t>و خالص ارزش</w:t>
      </w:r>
      <w:r>
        <w:rPr>
          <w:rFonts w:hint="cs" w:cs="Times New Roman"/>
          <w:spacing w:val="2"/>
          <w:rtl w:val="true"/>
        </w:rPr>
        <w:t> </w:t>
      </w:r>
      <w:r>
        <w:rPr>
          <w:spacing w:val="2"/>
          <w:rtl w:val="true"/>
        </w:rPr>
        <w:t xml:space="preserve">فروش، معادل </w:t>
      </w:r>
      <w:r>
        <w:rPr>
          <w:spacing w:val="2"/>
        </w:rPr>
        <w:t>130</w:t>
      </w:r>
      <w:r>
        <w:rPr>
          <w:spacing w:val="2"/>
          <w:rtl w:val="true"/>
        </w:rPr>
        <w:t xml:space="preserve"> </w:t>
      </w:r>
      <w:r>
        <w:rPr>
          <w:spacing w:val="2"/>
          <w:rtl w:val="true"/>
        </w:rPr>
        <w:t>ميليون ريال و بدهيها را طبق استانداردهاي حسابداري مربوط،</w:t>
      </w:r>
      <w:r>
        <w:rPr>
          <w:rFonts w:hint="cs"/>
          <w:spacing w:val="2"/>
          <w:rtl w:val="true"/>
        </w:rPr>
        <w:t xml:space="preserve"> </w:t>
      </w:r>
      <w:r>
        <w:rPr>
          <w:spacing w:val="2"/>
          <w:rtl w:val="true"/>
        </w:rPr>
        <w:t xml:space="preserve">معادل </w:t>
      </w:r>
      <w:r>
        <w:rPr>
          <w:spacing w:val="2"/>
        </w:rPr>
        <w:t>35</w:t>
      </w:r>
      <w:r>
        <w:rPr>
          <w:rFonts w:cs="Times New Roman" w:hint="cs"/>
          <w:spacing w:val="2"/>
          <w:rtl w:val="true"/>
        </w:rPr>
        <w:t> </w:t>
      </w:r>
      <w:r>
        <w:rPr>
          <w:spacing w:val="2"/>
          <w:rtl w:val="true"/>
        </w:rPr>
        <w:t>ميليون ريال اندازه‌گيري مجدد مي‌کند</w:t>
      </w:r>
      <w:r>
        <w:rPr>
          <w:spacing w:val="2"/>
          <w:rtl w:val="true"/>
        </w:rPr>
        <w:t xml:space="preserve">. </w:t>
      </w:r>
      <w:r>
        <w:rPr>
          <w:spacing w:val="2"/>
          <w:rtl w:val="true"/>
        </w:rPr>
        <w:t xml:space="preserve">کل داراييها معادل </w:t>
      </w:r>
      <w:r>
        <w:rPr>
          <w:spacing w:val="2"/>
        </w:rPr>
        <w:t>165</w:t>
      </w:r>
      <w:r>
        <w:rPr>
          <w:spacing w:val="2"/>
          <w:rtl w:val="true"/>
        </w:rPr>
        <w:t xml:space="preserve"> </w:t>
      </w:r>
      <w:r>
        <w:rPr>
          <w:spacing w:val="2"/>
          <w:rtl w:val="true"/>
        </w:rPr>
        <w:t xml:space="preserve">ميليون ريال، </w:t>
      </w:r>
      <w:r>
        <w:rPr>
          <w:spacing w:val="2"/>
          <w:rtl w:val="true"/>
        </w:rPr>
        <w:t>(</w:t>
      </w:r>
      <w:r>
        <w:rPr>
          <w:spacing w:val="2"/>
          <w:rtl w:val="true"/>
        </w:rPr>
        <w:t xml:space="preserve">يعني </w:t>
      </w:r>
      <w:r>
        <w:rPr>
          <w:spacing w:val="2"/>
        </w:rPr>
        <w:t>130</w:t>
      </w:r>
      <w:r>
        <w:rPr>
          <w:spacing w:val="2"/>
          <w:rtl w:val="true"/>
        </w:rPr>
        <w:t xml:space="preserve"> </w:t>
      </w:r>
      <w:r>
        <w:rPr>
          <w:spacing w:val="2"/>
          <w:rtl w:val="true"/>
        </w:rPr>
        <w:t xml:space="preserve">ميليون ريال بعلاوه </w:t>
      </w:r>
      <w:r>
        <w:rPr>
          <w:spacing w:val="2"/>
        </w:rPr>
        <w:t>35</w:t>
      </w:r>
      <w:r>
        <w:rPr>
          <w:spacing w:val="2"/>
          <w:rtl w:val="true"/>
        </w:rPr>
        <w:t xml:space="preserve"> </w:t>
      </w:r>
      <w:r>
        <w:rPr>
          <w:spacing w:val="2"/>
          <w:rtl w:val="true"/>
        </w:rPr>
        <w:t>ميليون ريال</w:t>
      </w:r>
      <w:r>
        <w:rPr>
          <w:spacing w:val="2"/>
          <w:rtl w:val="true"/>
        </w:rPr>
        <w:t xml:space="preserve">) </w:t>
      </w:r>
      <w:r>
        <w:rPr>
          <w:spacing w:val="2"/>
          <w:rtl w:val="true"/>
        </w:rPr>
        <w:t>اندازه‌گيري مي‌شوند</w:t>
      </w:r>
      <w:r>
        <w:rPr>
          <w:spacing w:val="2"/>
          <w:rtl w:val="true"/>
        </w:rPr>
        <w:t>.</w:t>
      </w:r>
    </w:p>
    <w:p>
      <w:pPr>
        <w:pStyle w:val="MatnBullet"/>
        <w:numPr>
          <w:ilvl w:val="0"/>
          <w:numId w:val="14"/>
        </w:numPr>
        <w:ind w:hanging="284" w:start="284" w:end="0"/>
        <w:jc w:val="both"/>
        <w:rPr>
          <w:spacing w:val="-2"/>
        </w:rPr>
      </w:pPr>
      <w:r>
        <w:rPr>
          <w:spacing w:val="-2"/>
          <w:rtl w:val="true"/>
        </w:rPr>
        <w:t>در تاريخ ترازنامه، شرکت البرز اين داراييها و بدهيها را جدا از ساير داراييها و بدهيها، به</w:t>
      </w:r>
      <w:r>
        <w:rPr>
          <w:rFonts w:hint="cs"/>
          <w:spacing w:val="-2"/>
          <w:rtl w:val="true"/>
        </w:rPr>
        <w:t> </w:t>
      </w:r>
      <w:r>
        <w:rPr>
          <w:spacing w:val="-2"/>
          <w:rtl w:val="true"/>
        </w:rPr>
        <w:t xml:space="preserve">شيوه‌اي مشابه مثال </w:t>
      </w:r>
      <w:r>
        <w:rPr>
          <w:spacing w:val="-2"/>
        </w:rPr>
        <w:t>12</w:t>
      </w:r>
      <w:r>
        <w:rPr>
          <w:spacing w:val="-2"/>
          <w:rtl w:val="true"/>
        </w:rPr>
        <w:t xml:space="preserve"> </w:t>
      </w:r>
      <w:r>
        <w:rPr>
          <w:spacing w:val="-2"/>
          <w:rtl w:val="true"/>
        </w:rPr>
        <w:t>با</w:t>
      </w:r>
      <w:r>
        <w:rPr>
          <w:rFonts w:hint="cs" w:cs="Times New Roman"/>
          <w:spacing w:val="-2"/>
          <w:rtl w:val="true"/>
        </w:rPr>
        <w:t> </w:t>
      </w:r>
      <w:r>
        <w:rPr>
          <w:spacing w:val="-2"/>
          <w:rtl w:val="true"/>
        </w:rPr>
        <w:t>عنوان ارائه داراييهاي غيرجاري يا مجموعه‌هاي واحد طبقه‌بندي</w:t>
      </w:r>
      <w:r>
        <w:rPr>
          <w:rFonts w:hint="cs" w:cs="Times New Roman"/>
          <w:spacing w:val="-2"/>
          <w:rtl w:val="true"/>
        </w:rPr>
        <w:t> </w:t>
      </w:r>
      <w:r>
        <w:rPr>
          <w:spacing w:val="-2"/>
          <w:rtl w:val="true"/>
        </w:rPr>
        <w:t>شده به عنوان نگهداري شده براي فروش، در صورتهاي مالي تلفيقي ارائه مي‌کند، و</w:t>
      </w:r>
    </w:p>
    <w:p>
      <w:pPr>
        <w:pStyle w:val="MatnBullet"/>
        <w:numPr>
          <w:ilvl w:val="0"/>
          <w:numId w:val="14"/>
        </w:numPr>
        <w:ind w:hanging="284" w:start="284" w:end="0"/>
        <w:jc w:val="both"/>
        <w:rPr/>
      </w:pPr>
      <w:r>
        <w:rPr>
          <w:rtl w:val="true"/>
        </w:rPr>
        <w:t>در</w:t>
      </w:r>
      <w:r>
        <w:rPr>
          <w:rFonts w:hint="cs" w:cs="Times New Roman"/>
          <w:rtl w:val="true"/>
        </w:rPr>
        <w:t> </w:t>
      </w:r>
      <w:r>
        <w:rPr>
          <w:rtl w:val="true"/>
        </w:rPr>
        <w:t xml:space="preserve">صورت سود و زيان، شرکت البرز کل مبلغ سود يا زيان پس از ماليات شرکت فرعي ب و سود يا زيان پس از ماليات شناسايي شده در ارزيابي مجدد بعدي شرکت فرعي ب را ارائه مي‌کند، که برابر با ارزيابي مجدد مجموعه‌هاي واحد از مبلغ </w:t>
      </w:r>
      <w:r>
        <w:rPr/>
        <w:t>135</w:t>
      </w:r>
      <w:r>
        <w:rPr>
          <w:rtl w:val="true"/>
        </w:rPr>
        <w:t xml:space="preserve"> </w:t>
      </w:r>
      <w:r>
        <w:rPr>
          <w:rtl w:val="true"/>
        </w:rPr>
        <w:t xml:space="preserve">به </w:t>
      </w:r>
      <w:r>
        <w:rPr/>
        <w:t>130</w:t>
      </w:r>
      <w:r>
        <w:rPr>
          <w:rtl w:val="true"/>
        </w:rPr>
        <w:t xml:space="preserve"> </w:t>
      </w:r>
      <w:r>
        <w:rPr>
          <w:rtl w:val="true"/>
        </w:rPr>
        <w:t>ميليون ريال است</w:t>
      </w:r>
      <w:r>
        <w:rPr>
          <w:rtl w:val="true"/>
        </w:rPr>
        <w:t>.</w:t>
      </w:r>
    </w:p>
    <w:p>
      <w:pPr>
        <w:pStyle w:val="Matn"/>
        <w:ind w:end="0"/>
        <w:jc w:val="both"/>
        <w:rPr/>
      </w:pPr>
      <w:r>
        <w:rPr>
          <w:rtl w:val="true"/>
        </w:rPr>
        <w:t>ارائه جزئيات بيشتر داراييها و بدهيها يا تغييرات در ارزش مجموعه‌هاي واحد الزامي نيست</w:t>
      </w:r>
      <w:r>
        <w:rPr>
          <w:rtl w:val="true"/>
        </w:rPr>
        <w:t>.</w:t>
      </w:r>
    </w:p>
    <w:p>
      <w:pPr>
        <w:pStyle w:val="Normal"/>
        <w:spacing w:before="0" w:after="120"/>
        <w:ind w:end="0"/>
        <w:jc w:val="start"/>
        <w:rPr>
          <w:rFonts w:cs="B Lotus"/>
          <w:color w:val="FFCC00"/>
        </w:rPr>
      </w:pPr>
      <w:r>
        <w:rPr>
          <w:rFonts w:cs="B Lotus"/>
          <w:color w:val="FFCC00"/>
          <w:rtl w:val="true"/>
        </w:rPr>
      </w:r>
    </w:p>
    <w:p>
      <w:pPr>
        <w:sectPr>
          <w:headerReference w:type="default" r:id="rId20"/>
          <w:footerReference w:type="default" r:id="rId21"/>
          <w:type w:val="nextPage"/>
          <w:pgSz w:w="11906" w:h="16838"/>
          <w:pgMar w:left="1701" w:right="1701" w:gutter="0" w:header="1418" w:top="3119" w:footer="1134" w:bottom="1701"/>
          <w:pgNumType w:fmt="decimal"/>
          <w:formProt w:val="false"/>
          <w:textDirection w:val="lrTb"/>
          <w:bidi/>
          <w:rtlGutter/>
          <w:docGrid w:type="default" w:linePitch="360" w:charSpace="0"/>
        </w:sectPr>
      </w:pPr>
    </w:p>
    <w:p>
      <w:pPr>
        <w:pStyle w:val="Header"/>
        <w:spacing w:before="0" w:after="60"/>
        <w:ind w:end="0"/>
        <w:jc w:val="center"/>
        <w:rPr>
          <w:rFonts w:cs="B Zar" w:hint="cs"/>
          <w:sz w:val="28"/>
        </w:rPr>
      </w:pPr>
      <w:r>
        <w:rPr>
          <w:rFonts w:cs="B Zar"/>
          <w:sz w:val="28"/>
          <w:rtl w:val="true"/>
        </w:rPr>
        <w:t xml:space="preserve">پیوست شماره </w:t>
      </w:r>
      <w:r>
        <w:rPr>
          <w:rFonts w:cs="B Zar" w:hint="cs"/>
          <w:sz w:val="28"/>
        </w:rPr>
        <w:t>3</w:t>
      </w:r>
      <w:r>
        <w:rPr>
          <w:rFonts w:cs="B Zar"/>
          <w:sz w:val="28"/>
          <w:rtl w:val="true"/>
        </w:rPr>
        <w:t xml:space="preserve"> :   </w:t>
      </w:r>
      <w:r>
        <w:rPr>
          <w:rFonts w:hint="cs" w:cs="B Zar"/>
          <w:sz w:val="28"/>
          <w:rtl w:val="true"/>
        </w:rPr>
        <w:t>مبانی نتیجه‌گیری</w:t>
      </w:r>
    </w:p>
    <w:p>
      <w:pPr>
        <w:pStyle w:val="IN1"/>
        <w:ind w:end="0"/>
        <w:jc w:val="center"/>
        <w:rPr/>
      </w:pPr>
      <w:r>
        <w:rPr>
          <w:rtl w:val="true"/>
        </w:rPr>
        <w:t xml:space="preserve">اين پيوست بخشي از الزامات استاندارد حسابداري شماره </w:t>
      </w:r>
      <w:r>
        <w:rPr/>
        <w:t>31</w:t>
      </w:r>
      <w:r>
        <w:rPr>
          <w:rtl w:val="true"/>
        </w:rPr>
        <w:t xml:space="preserve"> </w:t>
      </w:r>
      <w:r>
        <w:rPr>
          <w:rtl w:val="true"/>
        </w:rPr>
        <w:t>محسوب نمي‌شود</w:t>
      </w:r>
      <w:r>
        <w:rPr>
          <w:rtl w:val="true"/>
        </w:rPr>
        <w:t>.</w:t>
      </w:r>
    </w:p>
    <w:p>
      <w:pPr>
        <w:pStyle w:val="Heading1"/>
        <w:ind w:end="0"/>
        <w:jc w:val="start"/>
        <w:rPr>
          <w:rFonts w:hint="cs"/>
        </w:rPr>
      </w:pPr>
      <w:r>
        <w:rPr>
          <w:rtl w:val="true"/>
        </w:rPr>
        <w:t>پيشين</w:t>
      </w:r>
      <w:r>
        <w:rPr>
          <w:rFonts w:hint="cs"/>
          <w:rtl w:val="true"/>
        </w:rPr>
        <w:t>ـه</w:t>
      </w:r>
    </w:p>
    <w:p>
      <w:pPr>
        <w:pStyle w:val="1Lotus1"/>
        <w:ind w:end="0"/>
        <w:jc w:val="both"/>
        <w:rPr/>
      </w:pPr>
      <w:r>
        <w:rPr/>
        <w:t>1</w:t>
      </w:r>
      <w:r>
        <w:rPr>
          <w:rtl w:val="true"/>
        </w:rPr>
        <w:t xml:space="preserve"> .</w:t>
        <w:tab/>
      </w:r>
      <w:r>
        <w:rPr>
          <w:rtl w:val="true"/>
        </w:rPr>
        <w:t>پيش از تدوين اين استاندارد، طبقه‌بندي جداگانه داراييهاي غيرجاري نگهداري شده براي فروش و اندازه‌گيري متفاوت آنها در مقايسه با ساير داراييهاي غيرجاري، در استانداردهاي حسابداري ايران الزامي نشده بود</w:t>
      </w:r>
      <w:r>
        <w:rPr>
          <w:rtl w:val="true"/>
        </w:rPr>
        <w:t xml:space="preserve">. </w:t>
      </w:r>
      <w:r>
        <w:rPr>
          <w:rtl w:val="true"/>
        </w:rPr>
        <w:t>ليکن در استاندارد بين‌المللي گزارشگري مالي شماره</w:t>
      </w:r>
      <w:r>
        <w:rPr>
          <w:rFonts w:hint="eastAsia" w:cs="Times New Roman"/>
          <w:rtl w:val="true"/>
        </w:rPr>
        <w:t> </w:t>
      </w:r>
      <w:r>
        <w:rPr/>
        <w:t>5</w:t>
      </w:r>
      <w:r>
        <w:rPr>
          <w:rtl w:val="true"/>
        </w:rPr>
        <w:t xml:space="preserve"> </w:t>
      </w:r>
      <w:r>
        <w:rPr>
          <w:rtl w:val="true"/>
        </w:rPr>
        <w:t>با</w:t>
      </w:r>
      <w:r>
        <w:rPr>
          <w:rFonts w:hint="cs" w:cs="Times New Roman"/>
          <w:rtl w:val="true"/>
        </w:rPr>
        <w:t> </w:t>
      </w:r>
      <w:r>
        <w:rPr>
          <w:rtl w:val="true"/>
        </w:rPr>
        <w:t>عنوان</w:t>
      </w:r>
      <w:r>
        <w:rPr>
          <w:rFonts w:hint="cs"/>
          <w:rtl w:val="true"/>
        </w:rPr>
        <w:t xml:space="preserve"> </w:t>
      </w:r>
      <w:r>
        <w:rPr>
          <w:rStyle w:val="D-TrafficVasat"/>
          <w:rtl w:val="true"/>
        </w:rPr>
        <w:t>داراييهاي غيرجاري نگهداري شده براي فروش و عمليات متوقف شده</w:t>
      </w:r>
      <w:r>
        <w:rPr>
          <w:rtl w:val="true"/>
        </w:rPr>
        <w:t>، علاوه</w:t>
      </w:r>
      <w:r>
        <w:rPr>
          <w:rFonts w:hint="cs" w:cs="Times New Roman"/>
          <w:rtl w:val="true"/>
        </w:rPr>
        <w:t> </w:t>
      </w:r>
      <w:r>
        <w:rPr>
          <w:rtl w:val="true"/>
        </w:rPr>
        <w:t xml:space="preserve">بر </w:t>
      </w:r>
      <w:r>
        <w:rPr>
          <w:rFonts w:hint="cs"/>
          <w:rtl w:val="true"/>
        </w:rPr>
        <w:t xml:space="preserve">تجويز الزامات </w:t>
      </w:r>
      <w:r>
        <w:rPr>
          <w:rtl w:val="true"/>
        </w:rPr>
        <w:t>طبقه‌بندي و اندازه‌گيري داراييهاي غيرجاري نگهداري شده براي فروش، تعريف و نحوه ارائه عمليات متوقف شده نيز مشخص گرديده است</w:t>
      </w:r>
      <w:r>
        <w:rPr>
          <w:rtl w:val="true"/>
        </w:rPr>
        <w:t xml:space="preserve">. </w:t>
      </w:r>
      <w:r>
        <w:rPr>
          <w:rtl w:val="true"/>
        </w:rPr>
        <w:t>در نتيجه، به</w:t>
      </w:r>
      <w:r>
        <w:rPr>
          <w:rFonts w:cs="Times New Roman"/>
          <w:rtl w:val="true"/>
        </w:rPr>
        <w:t> </w:t>
      </w:r>
      <w:r>
        <w:rPr>
          <w:rtl w:val="true"/>
        </w:rPr>
        <w:t xml:space="preserve">منظور هماهنگي با استانداردهاي بين‌المللي حسابداري، در ارديبهشت </w:t>
      </w:r>
      <w:r>
        <w:rPr/>
        <w:t>1386</w:t>
      </w:r>
      <w:r>
        <w:rPr>
          <w:rtl w:val="true"/>
        </w:rPr>
        <w:t xml:space="preserve"> </w:t>
      </w:r>
      <w:r>
        <w:rPr>
          <w:rtl w:val="true"/>
        </w:rPr>
        <w:t>با تصويب کميته تدوين استانداردهاي حسابداري، پروژه‌اي با</w:t>
      </w:r>
      <w:r>
        <w:rPr>
          <w:rFonts w:hint="cs" w:cs="Times New Roman"/>
          <w:rtl w:val="true"/>
        </w:rPr>
        <w:t> </w:t>
      </w:r>
      <w:r>
        <w:rPr>
          <w:rtl w:val="true"/>
        </w:rPr>
        <w:t>عنوان ”تدوين استاندارد حسابداري داراييهاي غيرجاري نگهداري شده براي فروش و عمليات متوقف شده“ در دستور کار مديريت تدوين استانداردها قرار گرفت</w:t>
      </w:r>
      <w:r>
        <w:rPr>
          <w:rtl w:val="true"/>
        </w:rPr>
        <w:t>.</w:t>
      </w:r>
    </w:p>
    <w:p>
      <w:pPr>
        <w:pStyle w:val="1Lotus1"/>
        <w:ind w:end="0"/>
        <w:jc w:val="both"/>
        <w:rPr/>
      </w:pPr>
      <w:r>
        <w:rPr/>
        <w:t>2</w:t>
      </w:r>
      <w:r>
        <w:rPr>
          <w:rtl w:val="true"/>
        </w:rPr>
        <w:t xml:space="preserve"> .</w:t>
        <w:tab/>
      </w:r>
      <w:r>
        <w:rPr>
          <w:rtl w:val="true"/>
        </w:rPr>
        <w:t>پروژه ذکر شده در قالب يک کار پژوهشي براي گروه کارشناسي مديريت تدوين استانداردها تعريف گرديد</w:t>
      </w:r>
      <w:r>
        <w:rPr>
          <w:rtl w:val="true"/>
        </w:rPr>
        <w:t xml:space="preserve">. </w:t>
      </w:r>
      <w:r>
        <w:rPr>
          <w:rtl w:val="true"/>
        </w:rPr>
        <w:t>گروه کارشناسي در ابتدا ادبيات و استانداردهاي مرتبط را بررسي و گزارش خود را با</w:t>
      </w:r>
      <w:r>
        <w:rPr>
          <w:rFonts w:hint="cs" w:cs="Times New Roman"/>
          <w:rtl w:val="true"/>
        </w:rPr>
        <w:t> </w:t>
      </w:r>
      <w:r>
        <w:rPr>
          <w:rtl w:val="true"/>
        </w:rPr>
        <w:t>عنوان ”مطالعه تطبيقي گزارشگري مالي داراييهاي غيرجاري نگهداري شده براي فروش و عمليات متوقف شده و بررسي لزوم تدوين استاندارد در</w:t>
      </w:r>
      <w:r>
        <w:rPr>
          <w:rFonts w:hint="cs" w:cs="Times New Roman"/>
          <w:rtl w:val="true"/>
        </w:rPr>
        <w:t> </w:t>
      </w:r>
      <w:r>
        <w:rPr>
          <w:rtl w:val="true"/>
        </w:rPr>
        <w:t>اين</w:t>
      </w:r>
      <w:r>
        <w:rPr>
          <w:rFonts w:hint="cs" w:cs="Times New Roman"/>
          <w:rtl w:val="true"/>
        </w:rPr>
        <w:t> </w:t>
      </w:r>
      <w:r>
        <w:rPr>
          <w:rtl w:val="true"/>
        </w:rPr>
        <w:t>زمينه“ تهيه و در</w:t>
      </w:r>
      <w:r>
        <w:rPr>
          <w:rFonts w:cs="Times New Roman"/>
          <w:rtl w:val="true"/>
        </w:rPr>
        <w:t> </w:t>
      </w:r>
      <w:r>
        <w:rPr>
          <w:rtl w:val="true"/>
        </w:rPr>
        <w:t>اختيار کميته تدوين استانداردهاي حسابداري قرار داد</w:t>
      </w:r>
      <w:r>
        <w:rPr>
          <w:rtl w:val="true"/>
        </w:rPr>
        <w:t>.</w:t>
      </w:r>
    </w:p>
    <w:p>
      <w:pPr>
        <w:pStyle w:val="1Lotus1"/>
        <w:ind w:end="0"/>
        <w:jc w:val="both"/>
        <w:rPr>
          <w:rFonts w:hint="cs"/>
          <w:spacing w:val="-2"/>
        </w:rPr>
        <w:sectPr>
          <w:headerReference w:type="default" r:id="rId22"/>
          <w:headerReference w:type="first" r:id="rId23"/>
          <w:footerReference w:type="default" r:id="rId24"/>
          <w:footerReference w:type="first" r:id="rId25"/>
          <w:type w:val="nextPage"/>
          <w:pgSz w:w="11906" w:h="16838"/>
          <w:pgMar w:left="1701" w:right="1701" w:gutter="0" w:header="1418" w:top="2835" w:footer="1134" w:bottom="1701"/>
          <w:pgNumType w:start="739" w:fmt="decimal"/>
          <w:formProt w:val="false"/>
          <w:textDirection w:val="lrTb"/>
          <w:bidi/>
          <w:rtlGutter/>
          <w:docGrid w:type="default" w:linePitch="381" w:charSpace="0"/>
        </w:sectPr>
      </w:pPr>
      <w:r>
        <w:rPr/>
        <w:t>3</w:t>
      </w:r>
      <w:r>
        <w:rPr>
          <w:rtl w:val="true"/>
        </w:rPr>
        <w:t xml:space="preserve"> .</w:t>
        <w:tab/>
      </w:r>
      <w:r>
        <w:rPr>
          <w:rtl w:val="true"/>
        </w:rPr>
        <w:t>پس</w:t>
      </w:r>
      <w:r>
        <w:rPr>
          <w:rFonts w:cs="Times New Roman"/>
          <w:rtl w:val="true"/>
        </w:rPr>
        <w:t> </w:t>
      </w:r>
      <w:r>
        <w:rPr>
          <w:rtl w:val="true"/>
        </w:rPr>
        <w:t>از تأييد ضرورت تدوين استاندارد حسابداري براي داراييهاي غيرجاري نگهداري شده براي فروش و عمليات متوقف شده توسط کميته تدوين استانداردهاي حسابداري، گروه</w:t>
      </w:r>
      <w:r>
        <w:rPr>
          <w:rFonts w:hint="cs" w:cs="Times New Roman"/>
          <w:rtl w:val="true"/>
        </w:rPr>
        <w:t> </w:t>
      </w:r>
      <w:r>
        <w:rPr>
          <w:rtl w:val="true"/>
        </w:rPr>
        <w:t>کارشناسي پيش‌نويس اولیه استاندارد را تهيه کرد</w:t>
      </w:r>
      <w:r>
        <w:rPr>
          <w:rtl w:val="true"/>
        </w:rPr>
        <w:t xml:space="preserve">. </w:t>
      </w:r>
      <w:r>
        <w:rPr>
          <w:rtl w:val="true"/>
        </w:rPr>
        <w:t xml:space="preserve">اين پيش‌نويس در جلسات متعدد کميته </w:t>
      </w:r>
      <w:r>
        <w:rPr>
          <w:spacing w:val="-2"/>
          <w:rtl w:val="true"/>
        </w:rPr>
        <w:t>تدوين استانداردهاي حسابداري بررسي و با انجام اصلاحات لازم</w:t>
      </w:r>
      <w:r>
        <w:rPr>
          <w:rFonts w:hint="cs"/>
          <w:spacing w:val="-2"/>
          <w:rtl w:val="true"/>
        </w:rPr>
        <w:t>،</w:t>
      </w:r>
      <w:r>
        <w:rPr>
          <w:spacing w:val="-2"/>
          <w:rtl w:val="true"/>
        </w:rPr>
        <w:t xml:space="preserve"> متن پیشنهادی استاندارد تصویب شد</w:t>
      </w:r>
      <w:r>
        <w:rPr>
          <w:spacing w:val="-2"/>
          <w:rtl w:val="true"/>
        </w:rPr>
        <w:t>.</w:t>
      </w:r>
    </w:p>
    <w:p>
      <w:pPr>
        <w:pStyle w:val="Heading1"/>
        <w:spacing w:before="0" w:after="60"/>
        <w:ind w:end="0"/>
        <w:jc w:val="start"/>
        <w:rPr>
          <w:spacing w:val="-10"/>
        </w:rPr>
      </w:pPr>
      <w:r>
        <w:rPr>
          <w:spacing w:val="-10"/>
          <w:rtl w:val="true"/>
        </w:rPr>
        <w:t>دلايل نياز به استاندارد حسابداري داراييهاي غيرجاري نگهداري شده براي فروش و عمليات متوقف شده</w:t>
      </w:r>
    </w:p>
    <w:p>
      <w:pPr>
        <w:pStyle w:val="1LotusZirAlef1"/>
        <w:spacing w:before="0" w:after="0"/>
        <w:ind w:end="0"/>
        <w:jc w:val="both"/>
        <w:rPr/>
      </w:pPr>
      <w:r>
        <w:rPr/>
        <w:t>4</w:t>
      </w:r>
      <w:r>
        <w:rPr>
          <w:rtl w:val="true"/>
        </w:rPr>
        <w:t xml:space="preserve"> .</w:t>
        <w:tab/>
      </w:r>
      <w:r>
        <w:rPr>
          <w:rtl w:val="true"/>
        </w:rPr>
        <w:t>وجود استاندارد حسابداري مربوط به داراييهاي غيرجاري نگهداري شده براي فروش و عمليات متوقف شده بنا به دلايل زير ضروري است</w:t>
      </w:r>
      <w:r>
        <w:rPr>
          <w:rtl w:val="true"/>
        </w:rPr>
        <w:t>:</w:t>
      </w:r>
    </w:p>
    <w:p>
      <w:pPr>
        <w:pStyle w:val="1LotusAlef2"/>
        <w:spacing w:before="0" w:after="0"/>
        <w:ind w:end="0"/>
        <w:jc w:val="both"/>
        <w:rPr/>
      </w:pPr>
      <w:r>
        <w:rPr>
          <w:rtl w:val="true"/>
        </w:rPr>
        <w:t>الف</w:t>
      </w:r>
      <w:r>
        <w:rPr>
          <w:rtl w:val="true"/>
        </w:rPr>
        <w:t>.</w:t>
        <w:tab/>
      </w:r>
      <w:r>
        <w:rPr>
          <w:rtl w:val="true"/>
        </w:rPr>
        <w:t>بهبود اطلاعات در</w:t>
      </w:r>
      <w:r>
        <w:rPr>
          <w:rFonts w:hint="cs" w:cs="Times New Roman"/>
          <w:rtl w:val="true"/>
        </w:rPr>
        <w:t> </w:t>
      </w:r>
      <w:r>
        <w:rPr>
          <w:rtl w:val="true"/>
        </w:rPr>
        <w:t>دسترس استفاده‌کنندگان صورتهاي مالي براي ارزيابي زمان‌بندي، مبلغ و احتمال تحقق جريانهاي نقدي آتي مرتبط با داراييها و مجموعه‌هاي واحد نگهداري شده براي فروش،</w:t>
      </w:r>
    </w:p>
    <w:p>
      <w:pPr>
        <w:pStyle w:val="1LotusAlef2"/>
        <w:spacing w:before="0" w:after="0"/>
        <w:ind w:end="0"/>
        <w:jc w:val="both"/>
        <w:rPr/>
      </w:pPr>
      <w:r>
        <w:rPr>
          <w:rtl w:val="true"/>
        </w:rPr>
        <w:t>ب</w:t>
      </w:r>
      <w:r>
        <w:rPr>
          <w:rtl w:val="true"/>
        </w:rPr>
        <w:tab/>
      </w:r>
      <w:r>
        <w:rPr>
          <w:rtl w:val="true"/>
        </w:rPr>
        <w:t>.</w:t>
        <w:tab/>
      </w:r>
      <w:r>
        <w:rPr>
          <w:rtl w:val="true"/>
        </w:rPr>
        <w:t>تبيين مشخص‌تر ضوابط مربوط به عمليات متوقف شده، و</w:t>
      </w:r>
    </w:p>
    <w:p>
      <w:pPr>
        <w:pStyle w:val="1LotusAlef2"/>
        <w:spacing w:before="0" w:after="40"/>
        <w:ind w:end="0"/>
        <w:jc w:val="both"/>
        <w:rPr/>
      </w:pPr>
      <w:r>
        <w:rPr>
          <w:rFonts w:hint="cs"/>
          <w:rtl w:val="true"/>
        </w:rPr>
        <w:t>ج</w:t>
      </w:r>
      <w:r>
        <w:rPr>
          <w:rtl w:val="true"/>
        </w:rPr>
        <w:tab/>
        <w:t>.</w:t>
        <w:tab/>
      </w:r>
      <w:r>
        <w:rPr>
          <w:rtl w:val="true"/>
        </w:rPr>
        <w:t xml:space="preserve">تفکيک مناسب‌تر سود و زيان حاصل از عمليات متوقف شده از سود و زيان حاصل از عمليات </w:t>
      </w:r>
      <w:r>
        <w:rPr>
          <w:rFonts w:hint="cs"/>
          <w:rtl w:val="true"/>
        </w:rPr>
        <w:t>در حال تداوم</w:t>
      </w:r>
      <w:r>
        <w:rPr>
          <w:rtl w:val="true"/>
        </w:rPr>
        <w:t>.</w:t>
      </w:r>
    </w:p>
    <w:p>
      <w:pPr>
        <w:pStyle w:val="Heading1"/>
        <w:ind w:end="0"/>
        <w:jc w:val="start"/>
        <w:rPr/>
      </w:pPr>
      <w:r>
        <w:rPr>
          <w:rtl w:val="true"/>
        </w:rPr>
        <w:t>دامنه کاربرد</w:t>
      </w:r>
    </w:p>
    <w:p>
      <w:pPr>
        <w:pStyle w:val="1Lotus1"/>
        <w:spacing w:before="0" w:after="200"/>
        <w:ind w:end="0"/>
        <w:jc w:val="both"/>
        <w:rPr/>
      </w:pPr>
      <w:r>
        <w:rPr/>
        <w:t>5</w:t>
      </w:r>
      <w:r>
        <w:rPr>
          <w:rtl w:val="true"/>
        </w:rPr>
        <w:t xml:space="preserve"> </w:t>
      </w:r>
      <w:r>
        <w:rPr>
          <w:rFonts w:hint="cs"/>
          <w:rtl w:val="true"/>
        </w:rPr>
        <w:t xml:space="preserve"> </w:t>
      </w:r>
      <w:r>
        <w:rPr>
          <w:rtl w:val="true"/>
        </w:rPr>
        <w:t>.</w:t>
        <w:tab/>
      </w:r>
      <w:r>
        <w:rPr>
          <w:rtl w:val="true"/>
        </w:rPr>
        <w:t>بر</w:t>
      </w:r>
      <w:r>
        <w:rPr>
          <w:rFonts w:hint="cs" w:cs="Times New Roman"/>
          <w:rtl w:val="true"/>
        </w:rPr>
        <w:t> </w:t>
      </w:r>
      <w:r>
        <w:rPr>
          <w:rtl w:val="true"/>
        </w:rPr>
        <w:t>اساس استاندارد، داراييهاي غيرجاري در</w:t>
      </w:r>
      <w:r>
        <w:rPr>
          <w:rFonts w:hint="cs" w:cs="Times New Roman"/>
          <w:rtl w:val="true"/>
        </w:rPr>
        <w:t> </w:t>
      </w:r>
      <w:r>
        <w:rPr>
          <w:rtl w:val="true"/>
        </w:rPr>
        <w:t>صورتي  به</w:t>
      </w:r>
      <w:r>
        <w:rPr>
          <w:rFonts w:cs="Times New Roman"/>
          <w:rtl w:val="true"/>
        </w:rPr>
        <w:t> </w:t>
      </w:r>
      <w:r>
        <w:rPr>
          <w:rtl w:val="true"/>
        </w:rPr>
        <w:t>عنوان داراييهاي جاري تجديد طبقه‌بندي مي‌شود که معيارهاي استاندارد را براي طبقه‌بندي به</w:t>
      </w:r>
      <w:r>
        <w:rPr>
          <w:rFonts w:cs="Times New Roman"/>
          <w:rtl w:val="true"/>
        </w:rPr>
        <w:t> </w:t>
      </w:r>
      <w:r>
        <w:rPr>
          <w:rtl w:val="true"/>
        </w:rPr>
        <w:t>عنوان نگهداري شده براي</w:t>
      </w:r>
      <w:r>
        <w:rPr>
          <w:rFonts w:hint="cs" w:cs="Times New Roman"/>
          <w:rtl w:val="true"/>
        </w:rPr>
        <w:t> </w:t>
      </w:r>
      <w:r>
        <w:rPr>
          <w:rtl w:val="true"/>
        </w:rPr>
        <w:t>فروش احراز نمايد</w:t>
      </w:r>
      <w:r>
        <w:rPr>
          <w:rtl w:val="true"/>
        </w:rPr>
        <w:t xml:space="preserve">. </w:t>
      </w:r>
      <w:r>
        <w:rPr>
          <w:rtl w:val="true"/>
        </w:rPr>
        <w:t>از اين رو قصد مديريت براي فروش يا رسيدن به آخرين دوازده ماه استفاده مورد انتظار از داراييهاي غيرجاري را نمي‌توان به</w:t>
      </w:r>
      <w:r>
        <w:rPr>
          <w:rFonts w:hint="cs" w:cs="Times New Roman"/>
          <w:rtl w:val="true"/>
        </w:rPr>
        <w:t> </w:t>
      </w:r>
      <w:r>
        <w:rPr>
          <w:rFonts w:hint="cs"/>
          <w:rtl w:val="true"/>
        </w:rPr>
        <w:t>تنهایی دليلي براي تجديد طبقه‌بندي داراييهاي غيرجاري به داراييهاي جاري تلقي نمود</w:t>
      </w:r>
      <w:r>
        <w:rPr>
          <w:rFonts w:hint="cs"/>
          <w:rtl w:val="true"/>
        </w:rPr>
        <w:t>.</w:t>
      </w:r>
    </w:p>
    <w:p>
      <w:pPr>
        <w:pStyle w:val="1Lotus1"/>
        <w:spacing w:before="0" w:after="60"/>
        <w:ind w:end="0"/>
        <w:jc w:val="both"/>
        <w:rPr>
          <w:rFonts w:hint="cs"/>
        </w:rPr>
      </w:pPr>
      <w:r>
        <w:rPr/>
        <w:t>6</w:t>
      </w:r>
      <w:r>
        <w:rPr>
          <w:rtl w:val="true"/>
        </w:rPr>
        <w:t xml:space="preserve"> .</w:t>
        <w:tab/>
      </w:r>
      <w:r>
        <w:rPr>
          <w:rtl w:val="true"/>
        </w:rPr>
        <w:t>الزامات طبقه‌بندي و ارائه</w:t>
      </w:r>
      <w:r>
        <w:rPr>
          <w:rFonts w:hint="cs"/>
          <w:rtl w:val="true"/>
        </w:rPr>
        <w:t xml:space="preserve"> در </w:t>
      </w:r>
      <w:r>
        <w:rPr>
          <w:rtl w:val="true"/>
        </w:rPr>
        <w:t>استاندارد براي تمام داراييهاي غيرجاري و مجموعه‌هاي واحد قابل</w:t>
      </w:r>
      <w:r>
        <w:rPr>
          <w:rFonts w:hint="cs" w:cs="Times New Roman"/>
          <w:rtl w:val="true"/>
        </w:rPr>
        <w:t> </w:t>
      </w:r>
      <w:r>
        <w:rPr>
          <w:rFonts w:hint="cs"/>
          <w:rtl w:val="true"/>
        </w:rPr>
        <w:t>اعمال است و هر گونه استثنا تنها به الزامات اندازه‌گيري مربوط مي‌شود</w:t>
      </w:r>
      <w:r>
        <w:rPr>
          <w:rFonts w:hint="cs"/>
          <w:rtl w:val="true"/>
        </w:rPr>
        <w:t xml:space="preserve">. </w:t>
      </w:r>
      <w:r>
        <w:rPr>
          <w:rFonts w:hint="cs"/>
          <w:rtl w:val="true"/>
        </w:rPr>
        <w:t>بنابراين داراييهاي غيرجاري که قبلاً به ارزش منصفانه اندازه‌گيري شده‌اند</w:t>
      </w:r>
      <w:r>
        <w:rPr>
          <w:rtl w:val="true"/>
        </w:rPr>
        <w:t>، از الزامات اندازه‌گيري اين استاندارد مستثني مي‌</w:t>
      </w:r>
      <w:r>
        <w:rPr>
          <w:rFonts w:hint="cs"/>
          <w:rtl w:val="true"/>
        </w:rPr>
        <w:t>گردن</w:t>
      </w:r>
      <w:r>
        <w:rPr>
          <w:rtl w:val="true"/>
        </w:rPr>
        <w:t>د</w:t>
      </w:r>
      <w:r>
        <w:rPr>
          <w:rtl w:val="true"/>
        </w:rPr>
        <w:t>.</w:t>
      </w:r>
      <w:r>
        <w:rPr>
          <w:rFonts w:hint="cs"/>
          <w:rtl w:val="true"/>
        </w:rPr>
        <w:t xml:space="preserve"> </w:t>
      </w:r>
      <w:r>
        <w:rPr>
          <w:rFonts w:hint="cs"/>
          <w:rtl w:val="true"/>
        </w:rPr>
        <w:t>بديهي است كه داراييهاي جاري و بدهيهايي كه جزئي از يك مجموعه واحد است، در</w:t>
      </w:r>
      <w:r>
        <w:rPr>
          <w:rFonts w:hint="eastAsia" w:cs="Times New Roman"/>
          <w:rtl w:val="true"/>
        </w:rPr>
        <w:t> </w:t>
      </w:r>
      <w:r>
        <w:rPr>
          <w:rFonts w:hint="cs"/>
          <w:rtl w:val="true"/>
        </w:rPr>
        <w:t>اندازه‌گيري مجدد بعدي نيز كماكان مشمول استانداردهاي حسابداري مربوط خواهد بود</w:t>
      </w:r>
      <w:r>
        <w:rPr>
          <w:rFonts w:hint="cs"/>
          <w:rtl w:val="true"/>
        </w:rPr>
        <w:t>.</w:t>
      </w:r>
    </w:p>
    <w:p>
      <w:pPr>
        <w:pStyle w:val="Normal"/>
        <w:keepNext w:val="true"/>
        <w:spacing w:before="240" w:after="120"/>
        <w:ind w:hanging="567" w:start="567" w:end="0"/>
        <w:jc w:val="start"/>
        <w:rPr>
          <w:rFonts w:cs="B Zar"/>
          <w:szCs w:val="24"/>
        </w:rPr>
      </w:pPr>
      <w:r>
        <w:rPr>
          <w:rFonts w:cs="B Zar"/>
          <w:szCs w:val="24"/>
          <w:rtl w:val="true"/>
        </w:rPr>
        <w:t>طبقه‌بندي داراييهاي غيرجاري که قصد واگذاري آنها وجود دارد</w:t>
      </w:r>
    </w:p>
    <w:p>
      <w:pPr>
        <w:pStyle w:val="Normal"/>
        <w:spacing w:before="0" w:after="120"/>
        <w:ind w:hanging="570" w:start="570" w:end="0"/>
        <w:jc w:val="start"/>
        <w:rPr>
          <w:rFonts w:cs="B Lotus"/>
        </w:rPr>
      </w:pPr>
      <w:r>
        <w:rPr>
          <w:rFonts w:cs="B Lotus"/>
        </w:rPr>
        <w:t>7</w:t>
      </w:r>
      <w:r>
        <w:rPr>
          <w:rFonts w:cs="B Lotus"/>
          <w:rtl w:val="true"/>
        </w:rPr>
        <w:t xml:space="preserve"> .</w:t>
        <w:tab/>
      </w:r>
      <w:r>
        <w:rPr>
          <w:rFonts w:cs="B Lotus"/>
          <w:rtl w:val="true"/>
        </w:rPr>
        <w:t>طبقه‌بندي داراييهاي غيرجاري به</w:t>
      </w:r>
      <w:r>
        <w:rPr>
          <w:rFonts w:cs="Times New Roman"/>
          <w:rtl w:val="true"/>
        </w:rPr>
        <w:t> </w:t>
      </w:r>
      <w:r>
        <w:rPr>
          <w:rFonts w:cs="B Lotus"/>
          <w:rtl w:val="true"/>
        </w:rPr>
        <w:t>عنوان نگهداري شده براي فروش به اين دليل انجام مي‌شود که مبلغ دفتري اين داراييها عمدتاً از</w:t>
      </w:r>
      <w:r>
        <w:rPr>
          <w:rFonts w:hint="cs" w:cs="Times New Roman"/>
          <w:rtl w:val="true"/>
        </w:rPr>
        <w:t> </w:t>
      </w:r>
      <w:r>
        <w:rPr>
          <w:rFonts w:cs="B Lotus"/>
          <w:rtl w:val="true"/>
        </w:rPr>
        <w:t>طريق فروش بازيافت مي‌شود</w:t>
      </w:r>
      <w:r>
        <w:rPr>
          <w:rFonts w:cs="B Lotus"/>
          <w:rtl w:val="true"/>
        </w:rPr>
        <w:t xml:space="preserve">. </w:t>
      </w:r>
      <w:r>
        <w:rPr>
          <w:rFonts w:cs="B Lotus"/>
          <w:rtl w:val="true"/>
        </w:rPr>
        <w:t>از اين رو داراييهاي غيرجاري که معيارهاي طبقه‌بندي به</w:t>
      </w:r>
      <w:r>
        <w:rPr>
          <w:rFonts w:cs="Times New Roman"/>
          <w:rtl w:val="true"/>
        </w:rPr>
        <w:t> </w:t>
      </w:r>
      <w:r>
        <w:rPr>
          <w:rFonts w:cs="B Lotus"/>
          <w:rtl w:val="true"/>
        </w:rPr>
        <w:t>عنوان نگهداري شده براي فروش را احراز</w:t>
      </w:r>
      <w:r>
        <w:rPr>
          <w:rFonts w:ascii="Times New Roman" w:hAnsi="Times New Roman" w:hint="cs" w:cs="Times New Roman"/>
          <w:rtl w:val="true"/>
        </w:rPr>
        <w:t> </w:t>
      </w:r>
      <w:r>
        <w:rPr>
          <w:rFonts w:cs="B Lotus"/>
          <w:rtl w:val="true"/>
        </w:rPr>
        <w:t>مي‌کنند و استفاده از آنها همچنان ادامه دارد، مشمول اين طبقه‌بندي قرار مي‌گيرند زيرا جريانهاي نقدي حاصل از استفاده از اين داراييها در مدت زمان باقيمانده تا فروش، نسبت به مبلغ فروش آنها ناچيز محسوب و مبلغ دفتري آنها عمدتاً از</w:t>
      </w:r>
      <w:r>
        <w:rPr>
          <w:rFonts w:hint="cs" w:cs="Times New Roman"/>
          <w:rtl w:val="true"/>
        </w:rPr>
        <w:t> </w:t>
      </w:r>
      <w:r>
        <w:rPr>
          <w:rFonts w:cs="B Lotus"/>
          <w:rtl w:val="true"/>
        </w:rPr>
        <w:t>طريق فروش بازيافت مي‌شود</w:t>
      </w:r>
      <w:r>
        <w:rPr>
          <w:rFonts w:cs="B Lotus"/>
          <w:rtl w:val="true"/>
        </w:rPr>
        <w:t>.</w:t>
      </w:r>
    </w:p>
    <w:p>
      <w:pPr>
        <w:pStyle w:val="Normal"/>
        <w:keepNext w:val="true"/>
        <w:spacing w:before="240" w:after="120"/>
        <w:ind w:hanging="567" w:start="567" w:end="0"/>
        <w:jc w:val="start"/>
        <w:rPr>
          <w:rFonts w:cs="B Zar"/>
          <w:szCs w:val="24"/>
        </w:rPr>
      </w:pPr>
      <w:r>
        <w:rPr>
          <w:rFonts w:cs="B Zar"/>
          <w:szCs w:val="24"/>
          <w:rtl w:val="true"/>
        </w:rPr>
        <w:t>اندازه‌گيري داراييهاي غيرجاري نگهداري شده براي فروش</w:t>
      </w:r>
    </w:p>
    <w:p>
      <w:pPr>
        <w:pStyle w:val="Normal"/>
        <w:spacing w:before="0" w:after="120"/>
        <w:ind w:hanging="570" w:start="570" w:end="0"/>
        <w:jc w:val="start"/>
        <w:rPr>
          <w:rFonts w:cs="B Lotus"/>
          <w:spacing w:val="2"/>
        </w:rPr>
      </w:pPr>
      <w:r>
        <w:rPr>
          <w:rFonts w:cs="B Lotus"/>
        </w:rPr>
        <w:t>8</w:t>
      </w:r>
      <w:r>
        <w:rPr>
          <w:rFonts w:cs="B Lotus"/>
          <w:rtl w:val="true"/>
        </w:rPr>
        <w:t xml:space="preserve"> .</w:t>
        <w:tab/>
      </w:r>
      <w:r>
        <w:rPr>
          <w:rFonts w:cs="B Lotus"/>
          <w:spacing w:val="2"/>
          <w:rtl w:val="true"/>
        </w:rPr>
        <w:t>طبق</w:t>
      </w:r>
      <w:r>
        <w:rPr>
          <w:rFonts w:cs="Times New Roman"/>
          <w:spacing w:val="2"/>
          <w:rtl w:val="true"/>
        </w:rPr>
        <w:t xml:space="preserve"> </w:t>
      </w:r>
      <w:r>
        <w:rPr>
          <w:rFonts w:cs="B Lotus"/>
          <w:spacing w:val="2"/>
          <w:rtl w:val="true"/>
        </w:rPr>
        <w:t xml:space="preserve">استاندارد، دارايي غيرجاري </w:t>
      </w:r>
      <w:r>
        <w:rPr>
          <w:rFonts w:cs="B Lotus"/>
          <w:spacing w:val="2"/>
          <w:rtl w:val="true"/>
        </w:rPr>
        <w:t>(</w:t>
      </w:r>
      <w:r>
        <w:rPr>
          <w:rFonts w:cs="B Lotus"/>
          <w:spacing w:val="2"/>
          <w:rtl w:val="true"/>
        </w:rPr>
        <w:t>یا مجموعه واحد</w:t>
      </w:r>
      <w:r>
        <w:rPr>
          <w:rFonts w:cs="B Lotus"/>
          <w:spacing w:val="2"/>
          <w:rtl w:val="true"/>
        </w:rPr>
        <w:t xml:space="preserve">) </w:t>
      </w:r>
      <w:r>
        <w:rPr>
          <w:rFonts w:cs="B Lotus"/>
          <w:spacing w:val="2"/>
          <w:rtl w:val="true"/>
        </w:rPr>
        <w:t>طبقه‌بندي شده به</w:t>
      </w:r>
      <w:r>
        <w:rPr>
          <w:rFonts w:cs="Times New Roman"/>
          <w:spacing w:val="2"/>
          <w:rtl w:val="true"/>
        </w:rPr>
        <w:t> </w:t>
      </w:r>
      <w:r>
        <w:rPr>
          <w:rFonts w:cs="B Lotus"/>
          <w:spacing w:val="2"/>
          <w:rtl w:val="true"/>
        </w:rPr>
        <w:t xml:space="preserve">عنوان نگهداري شده براي فروش به اقل مبلغ دفتري و خالص ارزش فروش اندازه‌گيري و </w:t>
      </w:r>
      <w:r>
        <w:rPr>
          <w:rFonts w:hint="cs" w:cs="B Lotus"/>
          <w:spacing w:val="2"/>
          <w:rtl w:val="true"/>
        </w:rPr>
        <w:t xml:space="preserve">احتساب </w:t>
      </w:r>
      <w:r>
        <w:rPr>
          <w:rFonts w:cs="B Lotus"/>
          <w:spacing w:val="2"/>
          <w:rtl w:val="true"/>
        </w:rPr>
        <w:t>استهلاک آن متوقف مي‌شود</w:t>
      </w:r>
      <w:r>
        <w:rPr>
          <w:rFonts w:cs="B Lotus"/>
          <w:spacing w:val="2"/>
          <w:rtl w:val="true"/>
        </w:rPr>
        <w:t xml:space="preserve">. </w:t>
      </w:r>
      <w:r>
        <w:rPr>
          <w:rFonts w:cs="B Lotus"/>
          <w:spacing w:val="2"/>
          <w:rtl w:val="true"/>
        </w:rPr>
        <w:t xml:space="preserve">همانگونه که در بند </w:t>
      </w:r>
      <w:r>
        <w:rPr>
          <w:rFonts w:cs="B Lotus"/>
          <w:spacing w:val="2"/>
        </w:rPr>
        <w:t>7</w:t>
      </w:r>
      <w:r>
        <w:rPr>
          <w:rFonts w:cs="B Lotus"/>
          <w:spacing w:val="2"/>
          <w:rtl w:val="true"/>
        </w:rPr>
        <w:t xml:space="preserve"> </w:t>
      </w:r>
      <w:r>
        <w:rPr>
          <w:rFonts w:cs="B Lotus"/>
          <w:spacing w:val="2"/>
          <w:rtl w:val="true"/>
        </w:rPr>
        <w:t>توضيح داده شد</w:t>
      </w:r>
      <w:r>
        <w:rPr>
          <w:rFonts w:hint="cs" w:cs="B Lotus"/>
          <w:spacing w:val="2"/>
          <w:rtl w:val="true"/>
        </w:rPr>
        <w:t>ه است</w:t>
      </w:r>
      <w:r>
        <w:rPr>
          <w:rFonts w:cs="B Lotus"/>
          <w:spacing w:val="2"/>
          <w:rtl w:val="true"/>
        </w:rPr>
        <w:t xml:space="preserve">، </w:t>
      </w:r>
      <w:r>
        <w:rPr>
          <w:rFonts w:hint="cs" w:cs="B Lotus"/>
          <w:spacing w:val="2"/>
          <w:rtl w:val="true"/>
        </w:rPr>
        <w:t xml:space="preserve">جريانهاي نقدي مدت زمان </w:t>
      </w:r>
      <w:r>
        <w:rPr>
          <w:rFonts w:cs="B Lotus"/>
          <w:spacing w:val="2"/>
          <w:rtl w:val="true"/>
        </w:rPr>
        <w:t xml:space="preserve">باقي‌مانده استفاده از يک دارايي که قصد فروش آن وجود دارد، نسبت </w:t>
      </w:r>
      <w:r>
        <w:rPr>
          <w:rFonts w:hint="cs" w:cs="B Lotus"/>
          <w:spacing w:val="2"/>
          <w:rtl w:val="true"/>
        </w:rPr>
        <w:t>به</w:t>
      </w:r>
      <w:r>
        <w:rPr>
          <w:rFonts w:hint="cs" w:cs="Times New Roman"/>
          <w:spacing w:val="2"/>
          <w:rtl w:val="true"/>
        </w:rPr>
        <w:t> </w:t>
      </w:r>
      <w:r>
        <w:rPr>
          <w:rFonts w:hint="cs" w:cs="B Lotus"/>
          <w:spacing w:val="2"/>
          <w:rtl w:val="true"/>
        </w:rPr>
        <w:t xml:space="preserve">مبلغ </w:t>
      </w:r>
      <w:r>
        <w:rPr>
          <w:rFonts w:cs="B Lotus"/>
          <w:spacing w:val="2"/>
          <w:rtl w:val="true"/>
        </w:rPr>
        <w:t>فروش آن ناچيز است</w:t>
      </w:r>
      <w:r>
        <w:rPr>
          <w:rFonts w:cs="B Lotus"/>
          <w:spacing w:val="2"/>
          <w:rtl w:val="true"/>
        </w:rPr>
        <w:t xml:space="preserve">. </w:t>
      </w:r>
      <w:r>
        <w:rPr>
          <w:rFonts w:cs="B Lotus"/>
          <w:spacing w:val="2"/>
          <w:rtl w:val="true"/>
        </w:rPr>
        <w:t xml:space="preserve">بنابراين، حسابداري اين دارايي </w:t>
      </w:r>
      <w:r>
        <w:rPr>
          <w:rFonts w:cs="B Lotus"/>
          <w:spacing w:val="2"/>
          <w:rtl w:val="true"/>
        </w:rPr>
        <w:t>(</w:t>
      </w:r>
      <w:r>
        <w:rPr>
          <w:rFonts w:cs="B Lotus"/>
          <w:spacing w:val="2"/>
          <w:rtl w:val="true"/>
        </w:rPr>
        <w:t>یا</w:t>
      </w:r>
      <w:r>
        <w:rPr>
          <w:rFonts w:cs="Times New Roman"/>
          <w:spacing w:val="2"/>
          <w:rtl w:val="true"/>
        </w:rPr>
        <w:t> </w:t>
      </w:r>
      <w:r>
        <w:rPr>
          <w:rFonts w:cs="B Lotus"/>
          <w:spacing w:val="2"/>
          <w:rtl w:val="true"/>
        </w:rPr>
        <w:t>مجموعه واحد</w:t>
      </w:r>
      <w:r>
        <w:rPr>
          <w:rFonts w:cs="B Lotus"/>
          <w:spacing w:val="2"/>
          <w:rtl w:val="true"/>
        </w:rPr>
        <w:t xml:space="preserve">) </w:t>
      </w:r>
      <w:r>
        <w:rPr>
          <w:rFonts w:cs="B Lotus"/>
          <w:spacing w:val="2"/>
          <w:rtl w:val="true"/>
        </w:rPr>
        <w:t>بايد بر مبناي فرايند ارزيابي، نه تخصيص، باشد</w:t>
      </w:r>
      <w:r>
        <w:rPr>
          <w:rFonts w:cs="B Lotus"/>
          <w:spacing w:val="2"/>
          <w:rtl w:val="true"/>
        </w:rPr>
        <w:t xml:space="preserve">. </w:t>
      </w:r>
      <w:r>
        <w:rPr>
          <w:rFonts w:cs="B Lotus"/>
          <w:spacing w:val="2"/>
          <w:rtl w:val="true"/>
        </w:rPr>
        <w:t>به علاوه، ادامه استهلاک دارايي مي‌تواند سبب کاهش مبلغ دفتري آن به کمتر از خالص ارزش فروش گردد</w:t>
      </w:r>
      <w:r>
        <w:rPr>
          <w:rFonts w:cs="B Lotus"/>
          <w:spacing w:val="2"/>
          <w:rtl w:val="true"/>
        </w:rPr>
        <w:t xml:space="preserve">. </w:t>
      </w:r>
      <w:r>
        <w:rPr>
          <w:rFonts w:cs="B Lotus"/>
          <w:spacing w:val="2"/>
          <w:rtl w:val="true"/>
        </w:rPr>
        <w:t>استدلال مخالف اين</w:t>
      </w:r>
      <w:r>
        <w:rPr>
          <w:rFonts w:ascii="Times New Roman" w:hAnsi="Times New Roman" w:hint="cs" w:cs="Times New Roman"/>
          <w:spacing w:val="2"/>
          <w:rtl w:val="true"/>
        </w:rPr>
        <w:t> </w:t>
      </w:r>
      <w:r>
        <w:rPr>
          <w:rFonts w:cs="B Lotus"/>
          <w:spacing w:val="2"/>
          <w:rtl w:val="true"/>
        </w:rPr>
        <w:t>است که هر چند دارايي به</w:t>
      </w:r>
      <w:r>
        <w:rPr>
          <w:rFonts w:cs="Times New Roman"/>
          <w:spacing w:val="2"/>
          <w:rtl w:val="true"/>
        </w:rPr>
        <w:t> </w:t>
      </w:r>
      <w:r>
        <w:rPr>
          <w:rFonts w:cs="B Lotus"/>
          <w:spacing w:val="2"/>
          <w:rtl w:val="true"/>
        </w:rPr>
        <w:t>عنوان نگهداري شده براي فروش طبقه‌بندي شده است، اما هنوز در عمليات مورد استفاده قرار مي‌گيرد و تا زماني که منافع استفاده از دارايي عايد واحد تجاري مي‌شود، بايد استهلاک آن ادامه يابد</w:t>
      </w:r>
      <w:r>
        <w:rPr>
          <w:rFonts w:cs="B Lotus"/>
          <w:spacing w:val="2"/>
          <w:rtl w:val="true"/>
        </w:rPr>
        <w:t xml:space="preserve">. </w:t>
      </w:r>
      <w:r>
        <w:rPr>
          <w:rFonts w:cs="B Lotus"/>
          <w:spacing w:val="2"/>
          <w:rtl w:val="true"/>
        </w:rPr>
        <w:t>از</w:t>
      </w:r>
      <w:r>
        <w:rPr>
          <w:rFonts w:cs="Times New Roman"/>
          <w:spacing w:val="2"/>
          <w:rtl w:val="true"/>
        </w:rPr>
        <w:t> </w:t>
      </w:r>
      <w:r>
        <w:rPr>
          <w:rFonts w:cs="B Lotus"/>
          <w:spacing w:val="2"/>
          <w:rtl w:val="true"/>
        </w:rPr>
        <w:t>سوی دیگر، طبق ساير استانداردهاي حسابداري، زيان کاهش ارزش به ميزان مازاد مبلغ دفتري نسبت به مبلغ بازيافتني خواهد بود، نه به ميزان مازاد مبلغ دفتري نسبت به خالص ارزش فروش</w:t>
      </w:r>
      <w:r>
        <w:rPr>
          <w:rFonts w:cs="B Lotus"/>
          <w:spacing w:val="2"/>
          <w:rtl w:val="true"/>
        </w:rPr>
        <w:t xml:space="preserve">. </w:t>
      </w:r>
      <w:r>
        <w:rPr>
          <w:rFonts w:cs="B Lotus"/>
          <w:spacing w:val="2"/>
          <w:rtl w:val="true"/>
        </w:rPr>
        <w:t xml:space="preserve">همچنين، در اندازه‌گيري بعدي، چنانچه ارزش اقتصادي بيشتر از خالص ارزش فروش باشد، مازاد ارزش اقتصادي دارايي </w:t>
      </w:r>
      <w:r>
        <w:rPr>
          <w:rFonts w:cs="B Lotus"/>
          <w:spacing w:val="2"/>
          <w:rtl w:val="true"/>
        </w:rPr>
        <w:t>(</w:t>
      </w:r>
      <w:r>
        <w:rPr>
          <w:rFonts w:cs="B Lotus"/>
          <w:spacing w:val="2"/>
          <w:rtl w:val="true"/>
        </w:rPr>
        <w:t>مبلغ دفتري جديد</w:t>
      </w:r>
      <w:r>
        <w:rPr>
          <w:rFonts w:cs="B Lotus"/>
          <w:spacing w:val="2"/>
          <w:rtl w:val="true"/>
        </w:rPr>
        <w:t xml:space="preserve">) </w:t>
      </w:r>
      <w:r>
        <w:rPr>
          <w:rFonts w:cs="B Lotus"/>
          <w:spacing w:val="2"/>
          <w:rtl w:val="true"/>
        </w:rPr>
        <w:t xml:space="preserve">نسبت به خالص ارزش فروش </w:t>
      </w:r>
      <w:r>
        <w:rPr>
          <w:rFonts w:cs="B Lotus"/>
          <w:spacing w:val="2"/>
          <w:rtl w:val="true"/>
        </w:rPr>
        <w:t>(</w:t>
      </w:r>
      <w:r>
        <w:rPr>
          <w:rFonts w:cs="B Lotus"/>
          <w:spacing w:val="2"/>
          <w:rtl w:val="true"/>
        </w:rPr>
        <w:t>ارزش باقي‌مانده</w:t>
      </w:r>
      <w:r>
        <w:rPr>
          <w:rFonts w:cs="B Lotus"/>
          <w:spacing w:val="2"/>
          <w:rtl w:val="true"/>
        </w:rPr>
        <w:t xml:space="preserve">) </w:t>
      </w:r>
      <w:r>
        <w:rPr>
          <w:rFonts w:cs="B Lotus"/>
          <w:spacing w:val="2"/>
          <w:rtl w:val="true"/>
        </w:rPr>
        <w:t>مستهلک خواهد شد</w:t>
      </w:r>
      <w:r>
        <w:rPr>
          <w:rFonts w:cs="B Lotus"/>
          <w:spacing w:val="2"/>
          <w:rtl w:val="true"/>
        </w:rPr>
        <w:t xml:space="preserve">. </w:t>
      </w:r>
      <w:r>
        <w:rPr>
          <w:rFonts w:cs="B Lotus"/>
          <w:spacing w:val="2"/>
          <w:rtl w:val="true"/>
        </w:rPr>
        <w:t>با</w:t>
      </w:r>
      <w:r>
        <w:rPr>
          <w:rFonts w:ascii="Times New Roman" w:hAnsi="Times New Roman" w:hint="cs" w:cs="Times New Roman"/>
          <w:spacing w:val="2"/>
          <w:rtl w:val="true"/>
        </w:rPr>
        <w:t> </w:t>
      </w:r>
      <w:r>
        <w:rPr>
          <w:rFonts w:hint="cs" w:cs="B Lotus"/>
          <w:spacing w:val="2"/>
          <w:rtl w:val="true"/>
        </w:rPr>
        <w:t>اين</w:t>
      </w:r>
      <w:r>
        <w:rPr>
          <w:rFonts w:ascii="Times New Roman" w:hAnsi="Times New Roman" w:hint="cs" w:cs="Times New Roman"/>
          <w:spacing w:val="2"/>
          <w:rtl w:val="true"/>
        </w:rPr>
        <w:t> </w:t>
      </w:r>
      <w:r>
        <w:rPr>
          <w:rFonts w:hint="cs" w:cs="B Lotus"/>
          <w:spacing w:val="2"/>
          <w:rtl w:val="true"/>
        </w:rPr>
        <w:t xml:space="preserve">وجود، ارزش اقتصادي داراييهاي غيرجاري نگهداري شده براي فروش تنها به اندازه خالص جريانهاي نقدي </w:t>
      </w:r>
      <w:r>
        <w:rPr>
          <w:rFonts w:cs="B Lotus"/>
          <w:spacing w:val="2"/>
          <w:rtl w:val="true"/>
        </w:rPr>
        <w:t>مورد انتظار پيش از فروش، با خالص ارزش فروش اختلاف خواهد داشت</w:t>
      </w:r>
      <w:r>
        <w:rPr>
          <w:rFonts w:cs="B Lotus"/>
          <w:spacing w:val="2"/>
          <w:rtl w:val="true"/>
        </w:rPr>
        <w:t xml:space="preserve">. </w:t>
      </w:r>
      <w:r>
        <w:rPr>
          <w:rFonts w:cs="B Lotus"/>
          <w:spacing w:val="2"/>
          <w:rtl w:val="true"/>
        </w:rPr>
        <w:t>اگر دوره فروش کوتاه باشد، مبلغ اين اختلاف معمولاً ناچيز خواهد بود</w:t>
      </w:r>
      <w:r>
        <w:rPr>
          <w:rFonts w:cs="B Lotus"/>
          <w:spacing w:val="2"/>
          <w:rtl w:val="true"/>
        </w:rPr>
        <w:t xml:space="preserve">. </w:t>
      </w:r>
      <w:r>
        <w:rPr>
          <w:rFonts w:cs="B Lotus"/>
          <w:spacing w:val="2"/>
          <w:rtl w:val="true"/>
        </w:rPr>
        <w:t>بنابراين، تفاوت زيان کاهش ارزش شناسايي شده و استهلاک بعدي طبق ساير استانداردهاي حسابداري در مقايسه با زيان کاهش ارزش و عدم استهلاک بعدي طبق اين استاندارد نيز ناچيز خواهد بود</w:t>
      </w:r>
      <w:r>
        <w:rPr>
          <w:rFonts w:cs="B Lotus"/>
          <w:spacing w:val="2"/>
          <w:rtl w:val="true"/>
        </w:rPr>
        <w:t>.</w:t>
      </w:r>
    </w:p>
    <w:p>
      <w:pPr>
        <w:pStyle w:val="Heading1"/>
        <w:ind w:end="0"/>
        <w:jc w:val="start"/>
        <w:rPr/>
      </w:pPr>
      <w:r>
        <w:rPr>
          <w:rtl w:val="true"/>
        </w:rPr>
        <w:t>حذف معافيت از تلفيق در مورد واحدهاي فرعي که منحصراً با قصد فروش مجدد خريداري و نگهداري شده‌اند</w:t>
      </w:r>
    </w:p>
    <w:p>
      <w:pPr>
        <w:pStyle w:val="1Lotus1"/>
        <w:ind w:end="0"/>
        <w:jc w:val="both"/>
        <w:rPr>
          <w:spacing w:val="2"/>
        </w:rPr>
      </w:pPr>
      <w:r>
        <w:rPr/>
        <w:t>9</w:t>
      </w:r>
      <w:r>
        <w:rPr>
          <w:rtl w:val="true"/>
        </w:rPr>
        <w:t xml:space="preserve"> .</w:t>
        <w:tab/>
      </w:r>
      <w:r>
        <w:rPr>
          <w:spacing w:val="2"/>
          <w:rtl w:val="true"/>
        </w:rPr>
        <w:t>استاندارد، معافيت از تلفيق واحدهاي فرعي که به</w:t>
      </w:r>
      <w:r>
        <w:rPr>
          <w:rFonts w:hint="cs" w:cs="Times New Roman"/>
          <w:spacing w:val="2"/>
          <w:rtl w:val="true"/>
        </w:rPr>
        <w:t> </w:t>
      </w:r>
      <w:r>
        <w:rPr>
          <w:spacing w:val="2"/>
          <w:rtl w:val="true"/>
        </w:rPr>
        <w:t>طور موقت نگهداري مي‌شوند را حذف مي‌کند</w:t>
      </w:r>
      <w:r>
        <w:rPr>
          <w:spacing w:val="2"/>
          <w:rtl w:val="true"/>
        </w:rPr>
        <w:t xml:space="preserve">. </w:t>
      </w:r>
      <w:r>
        <w:rPr>
          <w:spacing w:val="2"/>
          <w:rtl w:val="true"/>
        </w:rPr>
        <w:t>دليل اين امر، برخورد يکنواخت با تمام داراييهاي نگهداري شده براي فروش به جاي تلفيق برخي داراييها و عدم تلفيق برخي ديگر است</w:t>
      </w:r>
      <w:r>
        <w:rPr>
          <w:spacing w:val="2"/>
          <w:rtl w:val="true"/>
        </w:rPr>
        <w:t xml:space="preserve">. </w:t>
      </w:r>
      <w:r>
        <w:rPr>
          <w:spacing w:val="2"/>
          <w:rtl w:val="true"/>
        </w:rPr>
        <w:t>اگر واحدهاي فرعي که منحصراً به</w:t>
      </w:r>
      <w:r>
        <w:rPr>
          <w:rFonts w:cs="Times New Roman"/>
          <w:spacing w:val="2"/>
          <w:rtl w:val="true"/>
        </w:rPr>
        <w:t> </w:t>
      </w:r>
      <w:r>
        <w:rPr>
          <w:spacing w:val="2"/>
          <w:rtl w:val="true"/>
        </w:rPr>
        <w:t xml:space="preserve">منظور فروش مجدد خريداري و نگهداري مي‌شوند، مطابق با استاندارد حسابداري شماره </w:t>
      </w:r>
      <w:r>
        <w:rPr>
          <w:spacing w:val="2"/>
        </w:rPr>
        <w:t>18</w:t>
      </w:r>
      <w:r>
        <w:rPr>
          <w:spacing w:val="2"/>
          <w:rtl w:val="true"/>
        </w:rPr>
        <w:t xml:space="preserve"> </w:t>
      </w:r>
      <w:r>
        <w:rPr>
          <w:spacing w:val="2"/>
          <w:rtl w:val="true"/>
        </w:rPr>
        <w:t>با</w:t>
      </w:r>
      <w:r>
        <w:rPr>
          <w:rFonts w:hint="cs" w:cs="Times New Roman"/>
          <w:spacing w:val="2"/>
          <w:rtl w:val="true"/>
        </w:rPr>
        <w:t> </w:t>
      </w:r>
      <w:r>
        <w:rPr>
          <w:spacing w:val="2"/>
          <w:rtl w:val="true"/>
        </w:rPr>
        <w:t xml:space="preserve">عنوان </w:t>
      </w:r>
      <w:r>
        <w:rPr>
          <w:rStyle w:val="D-TrafficVasat"/>
          <w:spacing w:val="2"/>
          <w:rtl w:val="true"/>
        </w:rPr>
        <w:t>صورتهاي مالي تلفيقي و حسابداري سرمايه‌گذاري در</w:t>
      </w:r>
      <w:r>
        <w:rPr>
          <w:rStyle w:val="D-TrafficVasat"/>
          <w:rFonts w:hint="cs" w:cs="Times New Roman"/>
          <w:spacing w:val="2"/>
          <w:rtl w:val="true"/>
        </w:rPr>
        <w:t> </w:t>
      </w:r>
      <w:r>
        <w:rPr>
          <w:rStyle w:val="D-TrafficVasat"/>
          <w:spacing w:val="2"/>
          <w:rtl w:val="true"/>
        </w:rPr>
        <w:t>واحدهاي تجاري فرعي</w:t>
      </w:r>
      <w:r>
        <w:rPr>
          <w:rFonts w:cs="Traffic;Courier New"/>
          <w:spacing w:val="2"/>
          <w:sz w:val="20"/>
          <w:szCs w:val="22"/>
          <w:rtl w:val="true"/>
        </w:rPr>
        <w:t xml:space="preserve"> </w:t>
      </w:r>
      <w:r>
        <w:rPr>
          <w:spacing w:val="2"/>
          <w:rtl w:val="true"/>
        </w:rPr>
        <w:t>(</w:t>
      </w:r>
      <w:r>
        <w:rPr>
          <w:spacing w:val="2"/>
          <w:rtl w:val="true"/>
        </w:rPr>
        <w:t xml:space="preserve">تجديدنظر شده </w:t>
      </w:r>
      <w:r>
        <w:rPr>
          <w:spacing w:val="2"/>
        </w:rPr>
        <w:t>1384</w:t>
      </w:r>
      <w:r>
        <w:rPr>
          <w:spacing w:val="2"/>
          <w:rtl w:val="true"/>
        </w:rPr>
        <w:t xml:space="preserve">) </w:t>
      </w:r>
      <w:r>
        <w:rPr>
          <w:spacing w:val="2"/>
          <w:rtl w:val="true"/>
        </w:rPr>
        <w:t>از تلفيق معاف شوند، برخورد با داراييها و مجموعه‌هاي واحد درون چنين واحدهايي که معيارهاي طبقه‌بندي به</w:t>
      </w:r>
      <w:r>
        <w:rPr>
          <w:rFonts w:cs="Times New Roman"/>
          <w:spacing w:val="2"/>
          <w:rtl w:val="true"/>
        </w:rPr>
        <w:t> </w:t>
      </w:r>
      <w:r>
        <w:rPr>
          <w:spacing w:val="2"/>
          <w:rtl w:val="true"/>
        </w:rPr>
        <w:t>عنوان نگهداري شده براي فروش را احراز مي‌کنند با ساير داراييها و مجموعه‌هاي واحد، يکنواخت نخواهد بود</w:t>
      </w:r>
      <w:r>
        <w:rPr>
          <w:spacing w:val="2"/>
          <w:rtl w:val="true"/>
        </w:rPr>
        <w:t>.</w:t>
      </w:r>
    </w:p>
    <w:p>
      <w:pPr>
        <w:pStyle w:val="Heading1"/>
        <w:ind w:end="0"/>
        <w:jc w:val="start"/>
        <w:rPr>
          <w:spacing w:val="-4"/>
        </w:rPr>
      </w:pPr>
      <w:r>
        <w:rPr>
          <w:spacing w:val="-4"/>
          <w:rtl w:val="true"/>
        </w:rPr>
        <w:t>طبقه‌بندي واحدهاي فرعي اخيراً تحصيل شده نگهداري شده براي فروش در</w:t>
      </w:r>
      <w:r>
        <w:rPr>
          <w:rFonts w:hint="cs" w:cs="Times New Roman"/>
          <w:spacing w:val="-4"/>
          <w:rtl w:val="true"/>
        </w:rPr>
        <w:t> </w:t>
      </w:r>
      <w:r>
        <w:rPr>
          <w:spacing w:val="-4"/>
          <w:rtl w:val="true"/>
        </w:rPr>
        <w:t>صورت سود و زيان</w:t>
      </w:r>
    </w:p>
    <w:p>
      <w:pPr>
        <w:pStyle w:val="1LotusZirAlef1"/>
        <w:ind w:end="0"/>
        <w:jc w:val="both"/>
        <w:rPr/>
      </w:pPr>
      <w:r>
        <w:rPr/>
        <w:t>10</w:t>
      </w:r>
      <w:r>
        <w:rPr>
          <w:rtl w:val="true"/>
        </w:rPr>
        <w:t>.</w:t>
        <w:tab/>
      </w:r>
      <w:r>
        <w:rPr>
          <w:rtl w:val="true"/>
        </w:rPr>
        <w:t>واحدهاي فرعي اخیراً تحصيل‌شده‌اي که معيارهاي طبقه‌بندي به</w:t>
      </w:r>
      <w:r>
        <w:rPr>
          <w:rFonts w:cs="Times New Roman"/>
          <w:rtl w:val="true"/>
        </w:rPr>
        <w:t> </w:t>
      </w:r>
      <w:r>
        <w:rPr>
          <w:rtl w:val="true"/>
        </w:rPr>
        <w:t>عنوان نگهداري شده براي</w:t>
      </w:r>
      <w:r>
        <w:rPr>
          <w:rFonts w:hint="cs" w:cs="Times New Roman"/>
          <w:rtl w:val="true"/>
        </w:rPr>
        <w:t> </w:t>
      </w:r>
      <w:r>
        <w:rPr>
          <w:rtl w:val="true"/>
        </w:rPr>
        <w:t>فروش را کسب مي‌کنند، به</w:t>
      </w:r>
      <w:r>
        <w:rPr>
          <w:rFonts w:cs="Times New Roman"/>
          <w:rtl w:val="true"/>
        </w:rPr>
        <w:t> </w:t>
      </w:r>
      <w:r>
        <w:rPr>
          <w:rtl w:val="true"/>
        </w:rPr>
        <w:t xml:space="preserve">عنوان عمليات متوقف شده طبقه‌بندي مي‌شوند، زيرا واگذاري اين واحدها به يکي از دلايل </w:t>
      </w:r>
      <w:r>
        <w:rPr>
          <w:rFonts w:hint="cs"/>
          <w:rtl w:val="true"/>
        </w:rPr>
        <w:t>مندرج در صفحه بعد</w:t>
      </w:r>
      <w:r>
        <w:rPr>
          <w:rtl w:val="true"/>
        </w:rPr>
        <w:t xml:space="preserve"> انجام مي‌شود</w:t>
      </w:r>
      <w:r>
        <w:rPr>
          <w:rtl w:val="true"/>
        </w:rPr>
        <w:t>:</w:t>
      </w:r>
    </w:p>
    <w:p>
      <w:pPr>
        <w:pStyle w:val="1LotusAlef2"/>
        <w:ind w:end="0"/>
        <w:jc w:val="both"/>
        <w:rPr/>
      </w:pPr>
      <w:r>
        <w:rPr>
          <w:rtl w:val="true"/>
        </w:rPr>
        <w:t>الف</w:t>
      </w:r>
      <w:r>
        <w:rPr>
          <w:rtl w:val="true"/>
        </w:rPr>
        <w:t>.</w:t>
        <w:tab/>
      </w:r>
      <w:r>
        <w:rPr>
          <w:rtl w:val="true"/>
        </w:rPr>
        <w:t>واحد فرعي نسبت به واحد تجاري</w:t>
      </w:r>
      <w:r>
        <w:rPr>
          <w:rFonts w:hint="cs"/>
          <w:rtl w:val="true"/>
        </w:rPr>
        <w:t xml:space="preserve"> اصلي</w:t>
      </w:r>
      <w:r>
        <w:rPr>
          <w:rtl w:val="true"/>
        </w:rPr>
        <w:t xml:space="preserve">، فعالیت تجاري متفاوتي </w:t>
      </w:r>
      <w:r>
        <w:rPr>
          <w:rFonts w:hint="cs"/>
          <w:rtl w:val="true"/>
        </w:rPr>
        <w:t>دارد</w:t>
      </w:r>
      <w:r>
        <w:rPr>
          <w:rtl w:val="true"/>
        </w:rPr>
        <w:t xml:space="preserve"> و بنابراين واگذاري آن همانند واگذاري يک فعالیت عمده تجاري است</w:t>
      </w:r>
      <w:r>
        <w:rPr>
          <w:rtl w:val="true"/>
        </w:rPr>
        <w:t>.</w:t>
      </w:r>
    </w:p>
    <w:p>
      <w:pPr>
        <w:pStyle w:val="1LotusAlef2"/>
        <w:ind w:end="0"/>
        <w:jc w:val="both"/>
        <w:rPr>
          <w:rFonts w:hint="cs"/>
        </w:rPr>
      </w:pPr>
      <w:r>
        <w:rPr>
          <w:rtl w:val="true"/>
        </w:rPr>
        <w:t xml:space="preserve">ب </w:t>
      </w:r>
      <w:r>
        <w:rPr>
          <w:rtl w:val="true"/>
        </w:rPr>
        <w:t>.</w:t>
        <w:tab/>
      </w:r>
      <w:r>
        <w:rPr>
          <w:rtl w:val="true"/>
        </w:rPr>
        <w:t>نهادهاي نظارتي، واحد تجاري را ملزم به واگذاري واحد فرعي مي‌کنند، زيرا واحد</w:t>
      </w:r>
      <w:r>
        <w:rPr>
          <w:rFonts w:hint="cs" w:cs="Times New Roman"/>
          <w:rtl w:val="true"/>
        </w:rPr>
        <w:t> </w:t>
      </w:r>
      <w:r>
        <w:rPr>
          <w:rtl w:val="true"/>
        </w:rPr>
        <w:t>تجاري به غير از اين واحد فرعي، مالک حجم وسيعي از اين نوع خاص از عمليات در آن منطقه جغرافيايي خاص است</w:t>
      </w:r>
      <w:r>
        <w:rPr>
          <w:rtl w:val="true"/>
        </w:rPr>
        <w:t xml:space="preserve">. </w:t>
      </w:r>
      <w:r>
        <w:rPr>
          <w:rtl w:val="true"/>
        </w:rPr>
        <w:t>در چنين حالتي واحد فرعي بايد فعالیت عمده باشد</w:t>
      </w:r>
      <w:r>
        <w:rPr>
          <w:rtl w:val="true"/>
        </w:rPr>
        <w:t>.</w:t>
      </w:r>
    </w:p>
    <w:p>
      <w:pPr>
        <w:pStyle w:val="Heading1"/>
        <w:ind w:end="0"/>
        <w:jc w:val="start"/>
        <w:rPr>
          <w:spacing w:val="-2"/>
        </w:rPr>
      </w:pPr>
      <w:r>
        <w:rPr>
          <w:spacing w:val="-2"/>
          <w:rtl w:val="true"/>
        </w:rPr>
        <w:t>جايگزيني اصطلاح ”خالص ارزش فروش“ با اصطلاح ”ارزش منصفانه پس</w:t>
      </w:r>
      <w:r>
        <w:rPr>
          <w:rFonts w:cs="Times New Roman"/>
          <w:spacing w:val="-2"/>
          <w:rtl w:val="true"/>
        </w:rPr>
        <w:t> </w:t>
      </w:r>
      <w:r>
        <w:rPr>
          <w:spacing w:val="-2"/>
          <w:rtl w:val="true"/>
        </w:rPr>
        <w:t>از کسر مخارج فروش“</w:t>
      </w:r>
    </w:p>
    <w:p>
      <w:pPr>
        <w:pStyle w:val="1Lotus1"/>
        <w:ind w:end="0"/>
        <w:jc w:val="both"/>
        <w:rPr/>
      </w:pPr>
      <w:r>
        <w:rPr/>
        <w:t>11</w:t>
      </w:r>
      <w:r>
        <w:rPr>
          <w:rtl w:val="true"/>
        </w:rPr>
        <w:t>.</w:t>
        <w:tab/>
      </w:r>
      <w:r>
        <w:rPr>
          <w:rtl w:val="true"/>
        </w:rPr>
        <w:t>در استاندارد، از اصطلاح ”</w:t>
      </w:r>
      <w:r>
        <w:rPr>
          <w:rFonts w:cs="Times New Roman"/>
          <w:sz w:val="12"/>
          <w:szCs w:val="18"/>
          <w:rtl w:val="true"/>
        </w:rPr>
        <w:t> </w:t>
      </w:r>
      <w:r>
        <w:rPr>
          <w:rtl w:val="true"/>
        </w:rPr>
        <w:t>خالص ارزش فروش“ به جاي اصطلاح ”</w:t>
      </w:r>
      <w:r>
        <w:rPr>
          <w:rFonts w:cs="Times New Roman"/>
          <w:sz w:val="8"/>
          <w:szCs w:val="14"/>
          <w:rtl w:val="true"/>
        </w:rPr>
        <w:t> </w:t>
      </w:r>
      <w:r>
        <w:rPr>
          <w:rtl w:val="true"/>
        </w:rPr>
        <w:t>ارزش منصفانه پس</w:t>
      </w:r>
      <w:r>
        <w:rPr>
          <w:rFonts w:cs="Times New Roman"/>
          <w:rtl w:val="true"/>
        </w:rPr>
        <w:t> </w:t>
      </w:r>
      <w:r>
        <w:rPr>
          <w:rtl w:val="true"/>
        </w:rPr>
        <w:t>از کسر مخارج فروش“ استفاده شده است</w:t>
      </w:r>
      <w:r>
        <w:rPr>
          <w:rtl w:val="true"/>
        </w:rPr>
        <w:t xml:space="preserve">. </w:t>
      </w:r>
      <w:r>
        <w:rPr>
          <w:rtl w:val="true"/>
        </w:rPr>
        <w:t>با توجه به اينکه، داراييهاي غيرجاري نگهداري شده براي فروش، در آينده نزديک به فروش مي‌رسند استفاده از ارزشهاي فروش در مباني اندازه‌گيري آنها مناسبتر به نظر مي‌رسد</w:t>
      </w:r>
      <w:r>
        <w:rPr>
          <w:rtl w:val="true"/>
        </w:rPr>
        <w:t xml:space="preserve">. </w:t>
      </w:r>
      <w:r>
        <w:rPr>
          <w:rtl w:val="true"/>
        </w:rPr>
        <w:t>از سوي ديگر، اصطلاح ”خالص ارزش فروش“داراي مفهوم روشني است و نسبت به ”</w:t>
      </w:r>
      <w:r>
        <w:rPr>
          <w:rFonts w:cs="Times New Roman"/>
          <w:sz w:val="16"/>
          <w:szCs w:val="22"/>
          <w:rtl w:val="true"/>
        </w:rPr>
        <w:t> </w:t>
      </w:r>
      <w:r>
        <w:rPr>
          <w:rtl w:val="true"/>
        </w:rPr>
        <w:t>ارزش منصفانه پس</w:t>
      </w:r>
      <w:r>
        <w:rPr>
          <w:rFonts w:cs="Times New Roman"/>
          <w:rtl w:val="true"/>
        </w:rPr>
        <w:t> </w:t>
      </w:r>
      <w:r>
        <w:rPr>
          <w:rtl w:val="true"/>
        </w:rPr>
        <w:t>از کسر مخارج فروش“ ابهام کمتري دارد</w:t>
      </w:r>
      <w:r>
        <w:rPr>
          <w:rtl w:val="true"/>
        </w:rPr>
        <w:t xml:space="preserve">. </w:t>
      </w:r>
      <w:r>
        <w:rPr>
          <w:rtl w:val="true"/>
        </w:rPr>
        <w:t>بنابراين، عليرغم استفاده از اصطلاح ”</w:t>
      </w:r>
      <w:r>
        <w:rPr>
          <w:rFonts w:cs="Times New Roman"/>
          <w:sz w:val="14"/>
          <w:szCs w:val="20"/>
          <w:rtl w:val="true"/>
        </w:rPr>
        <w:t> </w:t>
      </w:r>
      <w:r>
        <w:rPr>
          <w:rtl w:val="true"/>
        </w:rPr>
        <w:t>ارزش منصفانه پس</w:t>
      </w:r>
      <w:r>
        <w:rPr>
          <w:rFonts w:cs="Times New Roman"/>
          <w:rtl w:val="true"/>
        </w:rPr>
        <w:t> </w:t>
      </w:r>
      <w:r>
        <w:rPr>
          <w:rtl w:val="true"/>
        </w:rPr>
        <w:t xml:space="preserve">از کسر مخارج فروش“ در استاندارد بين‌المللي گزارشگري مالي شماره </w:t>
      </w:r>
      <w:r>
        <w:rPr/>
        <w:t>5</w:t>
      </w:r>
      <w:r>
        <w:rPr>
          <w:rtl w:val="true"/>
        </w:rPr>
        <w:t>، کميته اصطلاح ”خالص</w:t>
      </w:r>
      <w:r>
        <w:rPr>
          <w:rFonts w:hint="eastAsia" w:cs="Times New Roman"/>
          <w:rtl w:val="true"/>
        </w:rPr>
        <w:t> </w:t>
      </w:r>
      <w:r>
        <w:rPr>
          <w:rtl w:val="true"/>
        </w:rPr>
        <w:t>ارزش فروش“ را جايگزين آن کرد</w:t>
      </w:r>
      <w:r>
        <w:rPr>
          <w:rtl w:val="true"/>
        </w:rPr>
        <w:t>.</w:t>
      </w:r>
    </w:p>
    <w:p>
      <w:pPr>
        <w:pStyle w:val="Normal"/>
        <w:keepNext w:val="true"/>
        <w:spacing w:before="200" w:after="80"/>
        <w:ind w:end="0"/>
        <w:jc w:val="start"/>
        <w:rPr>
          <w:rFonts w:cs="B Zar"/>
          <w:szCs w:val="24"/>
        </w:rPr>
      </w:pPr>
      <w:r>
        <w:rPr>
          <w:rStyle w:val="Heading1Char"/>
          <w:bCs/>
          <w:rtl w:val="true"/>
        </w:rPr>
        <w:t xml:space="preserve">طولاني‌تر شدن دوره مورد نياز براي تکميل فروش دارايي غيرجاري </w:t>
      </w:r>
      <w:r>
        <w:rPr>
          <w:rStyle w:val="Heading1Char"/>
          <w:bCs/>
          <w:rtl w:val="true"/>
        </w:rPr>
        <w:t>(</w:t>
      </w:r>
      <w:r>
        <w:rPr>
          <w:rStyle w:val="Heading1Char"/>
          <w:bCs/>
          <w:rtl w:val="true"/>
        </w:rPr>
        <w:t>یا مجموعه‌ واحد</w:t>
      </w:r>
      <w:r>
        <w:rPr>
          <w:rStyle w:val="Heading1Char"/>
          <w:bCs/>
          <w:rtl w:val="true"/>
        </w:rPr>
        <w:t xml:space="preserve">) </w:t>
      </w:r>
      <w:r>
        <w:rPr>
          <w:rStyle w:val="Heading1Char"/>
          <w:bCs/>
          <w:rtl w:val="true"/>
        </w:rPr>
        <w:t>طبقه‌بندي شده به</w:t>
      </w:r>
      <w:r>
        <w:rPr>
          <w:rStyle w:val="Heading1Char"/>
          <w:rFonts w:hint="cs" w:cs="Times New Roman"/>
          <w:bCs/>
          <w:rtl w:val="true"/>
        </w:rPr>
        <w:t> </w:t>
      </w:r>
      <w:r>
        <w:rPr>
          <w:rStyle w:val="Heading1Char"/>
          <w:bCs/>
          <w:rtl w:val="true"/>
        </w:rPr>
        <w:t xml:space="preserve">عنوان نگهداري شده براي فروش </w:t>
      </w:r>
      <w:r>
        <w:rPr>
          <w:rStyle w:val="Heading1Char"/>
          <w:bCs/>
          <w:rtl w:val="true"/>
        </w:rPr>
        <w:t>(</w:t>
      </w:r>
      <w:r>
        <w:rPr>
          <w:rStyle w:val="Heading1Char"/>
          <w:bCs/>
          <w:rtl w:val="true"/>
        </w:rPr>
        <w:t>پيوست استاندارد</w:t>
      </w:r>
      <w:r>
        <w:rPr>
          <w:rFonts w:cs="B Zar"/>
          <w:szCs w:val="24"/>
          <w:rtl w:val="true"/>
        </w:rPr>
        <w:t>)</w:t>
      </w:r>
    </w:p>
    <w:p>
      <w:pPr>
        <w:pStyle w:val="1Lotus1"/>
        <w:ind w:end="0"/>
        <w:jc w:val="both"/>
        <w:rPr>
          <w:rFonts w:hint="cs"/>
        </w:rPr>
      </w:pPr>
      <w:r>
        <w:rPr/>
        <w:t>12</w:t>
      </w:r>
      <w:r>
        <w:rPr>
          <w:rtl w:val="true"/>
        </w:rPr>
        <w:t>.</w:t>
        <w:tab/>
      </w:r>
      <w:r>
        <w:rPr>
          <w:rtl w:val="true"/>
        </w:rPr>
        <w:t xml:space="preserve">در اغلب موارد، دوره فروش داراييهاي غيرجاري </w:t>
      </w:r>
      <w:r>
        <w:rPr>
          <w:rtl w:val="true"/>
        </w:rPr>
        <w:t>(</w:t>
      </w:r>
      <w:r>
        <w:rPr>
          <w:rtl w:val="true"/>
        </w:rPr>
        <w:t>يا مجموعه‌هاي واحد</w:t>
      </w:r>
      <w:r>
        <w:rPr>
          <w:rtl w:val="true"/>
        </w:rPr>
        <w:t xml:space="preserve">) </w:t>
      </w:r>
      <w:r>
        <w:rPr>
          <w:rtl w:val="true"/>
        </w:rPr>
        <w:t>طبقه‌بندي شده به</w:t>
      </w:r>
      <w:r>
        <w:rPr>
          <w:rFonts w:cs="Times New Roman"/>
          <w:rtl w:val="true"/>
        </w:rPr>
        <w:t> </w:t>
      </w:r>
      <w:r>
        <w:rPr>
          <w:rtl w:val="true"/>
        </w:rPr>
        <w:t>عنوان نگهداري شده براي فروش، حداکثر طي يک سال تکميل مي‌شود</w:t>
      </w:r>
      <w:r>
        <w:rPr>
          <w:rtl w:val="true"/>
        </w:rPr>
        <w:t xml:space="preserve">. </w:t>
      </w:r>
      <w:r>
        <w:rPr>
          <w:rtl w:val="true"/>
        </w:rPr>
        <w:t>طولاني‌تر شدن دوره تکميل فروش اين اقلام از مدت يک سال، حالت خاص محسوب مي‌شود که شرايط</w:t>
      </w:r>
      <w:r>
        <w:rPr>
          <w:rFonts w:hint="cs" w:cs="Times New Roman"/>
          <w:rtl w:val="true"/>
        </w:rPr>
        <w:t> </w:t>
      </w:r>
      <w:r>
        <w:rPr>
          <w:rtl w:val="true"/>
        </w:rPr>
        <w:t xml:space="preserve">آن و نيز نحوه عمل در بند </w:t>
      </w:r>
      <w:r>
        <w:rPr/>
        <w:t>10</w:t>
      </w:r>
      <w:r>
        <w:rPr>
          <w:rtl w:val="true"/>
        </w:rPr>
        <w:t xml:space="preserve"> </w:t>
      </w:r>
      <w:r>
        <w:rPr>
          <w:rtl w:val="true"/>
        </w:rPr>
        <w:t>استاندارد مطرح شده است</w:t>
      </w:r>
      <w:r>
        <w:rPr>
          <w:rtl w:val="true"/>
        </w:rPr>
        <w:t xml:space="preserve">. </w:t>
      </w:r>
      <w:r>
        <w:rPr>
          <w:rtl w:val="true"/>
        </w:rPr>
        <w:t>بنابراين توضيحات اضافي مربوط به مصاديق و حالتهاي مختلف طولاني‌تر شدن دوره تکميل فروش در</w:t>
      </w:r>
      <w:r>
        <w:rPr>
          <w:rFonts w:hint="cs" w:cs="Times New Roman"/>
          <w:rtl w:val="true"/>
        </w:rPr>
        <w:t> </w:t>
      </w:r>
      <w:r>
        <w:rPr>
          <w:rtl w:val="true"/>
        </w:rPr>
        <w:t>پيوست استاندارد ارائه شده است تا ضمن جلوگيري از تعدد الزامات استاندارد، صرفاً</w:t>
      </w:r>
      <w:r>
        <w:rPr>
          <w:rFonts w:hint="cs" w:cs="Times New Roman"/>
          <w:rtl w:val="true"/>
        </w:rPr>
        <w:t> </w:t>
      </w:r>
      <w:r>
        <w:rPr>
          <w:rtl w:val="true"/>
        </w:rPr>
        <w:t>واحدهاي تجاري مشمول به آن مراجعه نمايند</w:t>
      </w:r>
    </w:p>
    <w:p>
      <w:pPr>
        <w:pStyle w:val="Heading1"/>
        <w:ind w:end="0"/>
        <w:jc w:val="start"/>
        <w:rPr>
          <w:rFonts w:hint="cs"/>
          <w:sz w:val="24"/>
          <w:szCs w:val="24"/>
        </w:rPr>
      </w:pPr>
      <w:r>
        <w:rPr>
          <w:rFonts w:hint="cs"/>
          <w:sz w:val="24"/>
          <w:szCs w:val="24"/>
          <w:rtl w:val="true"/>
        </w:rPr>
        <w:t>شناسايي زيانهاي كاهش ارزش و برگشت بعدي آن در</w:t>
      </w:r>
      <w:r>
        <w:rPr>
          <w:rFonts w:hint="cs" w:cs="Times New Roman"/>
          <w:sz w:val="24"/>
          <w:szCs w:val="24"/>
          <w:rtl w:val="true"/>
        </w:rPr>
        <w:t> </w:t>
      </w:r>
      <w:r>
        <w:rPr>
          <w:rFonts w:hint="cs"/>
          <w:sz w:val="24"/>
          <w:szCs w:val="24"/>
          <w:rtl w:val="true"/>
        </w:rPr>
        <w:t>مورد داراييهاي غيرجاري تجديد ارزيابي شده</w:t>
      </w:r>
    </w:p>
    <w:p>
      <w:pPr>
        <w:pStyle w:val="1Lotus1"/>
        <w:ind w:end="0"/>
        <w:jc w:val="both"/>
        <w:rPr>
          <w:rFonts w:hint="cs"/>
          <w:spacing w:val="-4"/>
        </w:rPr>
      </w:pPr>
      <w:r>
        <w:rPr>
          <w:rFonts w:hint="cs"/>
        </w:rPr>
        <w:t>13</w:t>
      </w:r>
      <w:r>
        <w:rPr>
          <w:rFonts w:hint="cs"/>
          <w:rtl w:val="true"/>
        </w:rPr>
        <w:t xml:space="preserve"> .</w:t>
      </w:r>
      <w:r>
        <w:rPr>
          <w:rtl w:val="true"/>
        </w:rPr>
        <w:tab/>
      </w:r>
      <w:r>
        <w:rPr>
          <w:rFonts w:hint="cs"/>
          <w:spacing w:val="-4"/>
          <w:rtl w:val="true"/>
        </w:rPr>
        <w:t>زيانهاي كاهش ارزش و برگشت بعدي آن در</w:t>
      </w:r>
      <w:r>
        <w:rPr>
          <w:rFonts w:hint="cs" w:cs="Times New Roman"/>
          <w:spacing w:val="-4"/>
          <w:rtl w:val="true"/>
        </w:rPr>
        <w:t> </w:t>
      </w:r>
      <w:r>
        <w:rPr>
          <w:rFonts w:hint="cs"/>
          <w:spacing w:val="-4"/>
          <w:rtl w:val="true"/>
        </w:rPr>
        <w:t>مورد داراييهاي غيرجاري مشمول استانداردهاي</w:t>
      </w:r>
      <w:r>
        <w:rPr>
          <w:rFonts w:hint="cs"/>
          <w:rtl w:val="true"/>
        </w:rPr>
        <w:t xml:space="preserve"> حسابداري شماره </w:t>
      </w:r>
      <w:r>
        <w:rPr>
          <w:rFonts w:hint="cs"/>
        </w:rPr>
        <w:t>11</w:t>
      </w:r>
      <w:r>
        <w:rPr>
          <w:rFonts w:hint="cs"/>
          <w:rtl w:val="true"/>
        </w:rPr>
        <w:t xml:space="preserve"> </w:t>
      </w:r>
      <w:r>
        <w:rPr>
          <w:rFonts w:hint="cs"/>
          <w:rtl w:val="true"/>
        </w:rPr>
        <w:t>با</w:t>
      </w:r>
      <w:r>
        <w:rPr>
          <w:rFonts w:hint="cs" w:cs="Times New Roman"/>
          <w:rtl w:val="true"/>
        </w:rPr>
        <w:t> </w:t>
      </w:r>
      <w:r>
        <w:rPr>
          <w:rFonts w:hint="cs"/>
          <w:rtl w:val="true"/>
        </w:rPr>
        <w:t xml:space="preserve">عنوان </w:t>
      </w:r>
      <w:r>
        <w:rPr>
          <w:rFonts w:hint="eastAsia"/>
          <w:rtl w:val="true"/>
        </w:rPr>
        <w:t>”</w:t>
      </w:r>
      <w:r>
        <w:rPr>
          <w:rFonts w:hint="cs"/>
          <w:rtl w:val="true"/>
        </w:rPr>
        <w:t> </w:t>
      </w:r>
      <w:r>
        <w:rPr>
          <w:rFonts w:hint="cs" w:cs="B Traffic"/>
          <w:szCs w:val="22"/>
          <w:rtl w:val="true"/>
        </w:rPr>
        <w:t>داراييهاي ثابت مشهود</w:t>
      </w:r>
      <w:r>
        <w:rPr>
          <w:rFonts w:hint="cs"/>
          <w:rtl w:val="true"/>
        </w:rPr>
        <w:t xml:space="preserve">“ و شماره </w:t>
      </w:r>
      <w:r>
        <w:rPr>
          <w:rFonts w:hint="cs"/>
        </w:rPr>
        <w:t>17</w:t>
      </w:r>
      <w:r>
        <w:rPr>
          <w:rFonts w:hint="cs"/>
          <w:rtl w:val="true"/>
        </w:rPr>
        <w:t xml:space="preserve"> </w:t>
      </w:r>
      <w:r>
        <w:rPr>
          <w:rFonts w:hint="cs"/>
          <w:rtl w:val="true"/>
        </w:rPr>
        <w:t>با</w:t>
      </w:r>
      <w:r>
        <w:rPr>
          <w:rFonts w:hint="cs" w:cs="Times New Roman"/>
          <w:rtl w:val="true"/>
        </w:rPr>
        <w:t> </w:t>
      </w:r>
      <w:r>
        <w:rPr>
          <w:rFonts w:hint="cs"/>
          <w:rtl w:val="true"/>
        </w:rPr>
        <w:t xml:space="preserve">عنوان </w:t>
      </w:r>
      <w:r>
        <w:rPr>
          <w:rFonts w:hint="eastAsia"/>
          <w:rtl w:val="true"/>
        </w:rPr>
        <w:t>”</w:t>
      </w:r>
      <w:r>
        <w:rPr>
          <w:rFonts w:hint="cs"/>
          <w:rtl w:val="true"/>
        </w:rPr>
        <w:t> </w:t>
      </w:r>
      <w:r>
        <w:rPr>
          <w:rFonts w:hint="cs" w:cs="B Traffic"/>
          <w:szCs w:val="22"/>
          <w:rtl w:val="true"/>
        </w:rPr>
        <w:t>داراييهاي</w:t>
      </w:r>
      <w:r>
        <w:rPr>
          <w:rFonts w:hint="eastAsia" w:cs="Times New Roman"/>
          <w:szCs w:val="22"/>
          <w:rtl w:val="true"/>
        </w:rPr>
        <w:t> </w:t>
      </w:r>
      <w:r>
        <w:rPr>
          <w:rFonts w:hint="cs" w:cs="B Traffic"/>
          <w:szCs w:val="22"/>
          <w:rtl w:val="true"/>
        </w:rPr>
        <w:t>نامشهود</w:t>
      </w:r>
      <w:r>
        <w:rPr>
          <w:rFonts w:hint="cs"/>
          <w:rtl w:val="true"/>
        </w:rPr>
        <w:t>“ كه پيش از طبقه</w:t>
      </w:r>
      <w:r>
        <w:rPr>
          <w:rFonts w:hint="cs" w:cs="Times New Roman"/>
          <w:rtl w:val="true"/>
        </w:rPr>
        <w:t> </w:t>
      </w:r>
      <w:r>
        <w:rPr>
          <w:rFonts w:hint="cs"/>
          <w:rtl w:val="true"/>
        </w:rPr>
        <w:t>بندي به</w:t>
      </w:r>
      <w:r>
        <w:rPr>
          <w:rFonts w:hint="cs" w:cs="Times New Roman"/>
          <w:rtl w:val="true"/>
        </w:rPr>
        <w:t> </w:t>
      </w:r>
      <w:r>
        <w:rPr>
          <w:rFonts w:hint="cs"/>
          <w:rtl w:val="true"/>
        </w:rPr>
        <w:t>عنوان نگهداري شده براي فروش، به مبالغ تجديد ارزيابي اندازه‌گيري شده‌اند، همانند داراييهاي غيرجاري تجديد ارزيابي نشده، شناسايي مي‌شود</w:t>
      </w:r>
      <w:r>
        <w:rPr>
          <w:rFonts w:hint="cs"/>
          <w:rtl w:val="true"/>
        </w:rPr>
        <w:t xml:space="preserve">. </w:t>
      </w:r>
      <w:r>
        <w:rPr>
          <w:rFonts w:hint="cs"/>
          <w:rtl w:val="true"/>
        </w:rPr>
        <w:t xml:space="preserve">اين روش موجب برخورد يكنواخت با داراييهاي غيرجاري مشمول دامنه كاربرد الزامات </w:t>
      </w:r>
      <w:r>
        <w:rPr>
          <w:rFonts w:hint="cs"/>
          <w:spacing w:val="-4"/>
          <w:rtl w:val="true"/>
        </w:rPr>
        <w:t>اندازه‌گيري اين استاندارد و نيز تسهيل نحوه عمل حسابداري مي‌شود</w:t>
      </w:r>
      <w:r>
        <w:rPr>
          <w:rFonts w:hint="cs"/>
          <w:spacing w:val="-4"/>
          <w:rtl w:val="true"/>
        </w:rPr>
        <w:t>.</w:t>
      </w:r>
    </w:p>
    <w:p>
      <w:pPr>
        <w:pStyle w:val="Heading1"/>
        <w:ind w:end="0"/>
        <w:jc w:val="start"/>
        <w:rPr>
          <w:rFonts w:hint="cs"/>
        </w:rPr>
      </w:pPr>
      <w:r>
        <w:rPr>
          <w:rFonts w:hint="cs"/>
          <w:rtl w:val="true"/>
        </w:rPr>
        <w:t>تغيير طبقه</w:t>
      </w:r>
      <w:r>
        <w:rPr>
          <w:rFonts w:hint="cs" w:cs="Times New Roman"/>
          <w:rtl w:val="true"/>
        </w:rPr>
        <w:t> </w:t>
      </w:r>
      <w:r>
        <w:rPr>
          <w:rFonts w:hint="cs"/>
          <w:rtl w:val="true"/>
        </w:rPr>
        <w:t>بندي اقلام صورت سود و زيان</w:t>
      </w:r>
    </w:p>
    <w:p>
      <w:pPr>
        <w:pStyle w:val="1Lotus1"/>
        <w:ind w:end="0"/>
        <w:jc w:val="both"/>
        <w:rPr>
          <w:rFonts w:hint="cs"/>
        </w:rPr>
      </w:pPr>
      <w:r>
        <w:rPr>
          <w:rFonts w:hint="cs"/>
        </w:rPr>
        <w:t>14</w:t>
      </w:r>
      <w:r>
        <w:rPr>
          <w:rFonts w:hint="cs"/>
          <w:rtl w:val="true"/>
        </w:rPr>
        <w:t xml:space="preserve"> .</w:t>
      </w:r>
      <w:r>
        <w:rPr>
          <w:rtl w:val="true"/>
        </w:rPr>
        <w:tab/>
      </w:r>
      <w:r>
        <w:rPr>
          <w:rFonts w:hint="cs"/>
          <w:rtl w:val="true"/>
        </w:rPr>
        <w:t xml:space="preserve">در استاندارد حسابداري شماره </w:t>
      </w:r>
      <w:r>
        <w:rPr>
          <w:rFonts w:hint="cs"/>
        </w:rPr>
        <w:t>6</w:t>
      </w:r>
      <w:r>
        <w:rPr>
          <w:rFonts w:hint="cs"/>
          <w:rtl w:val="true"/>
        </w:rPr>
        <w:t xml:space="preserve"> </w:t>
      </w:r>
      <w:r>
        <w:rPr>
          <w:rFonts w:hint="cs"/>
          <w:rtl w:val="true"/>
        </w:rPr>
        <w:t>با</w:t>
      </w:r>
      <w:r>
        <w:rPr>
          <w:rFonts w:hint="cs" w:cs="Times New Roman"/>
          <w:rtl w:val="true"/>
        </w:rPr>
        <w:t> </w:t>
      </w:r>
      <w:r>
        <w:rPr>
          <w:rFonts w:hint="cs"/>
          <w:rtl w:val="true"/>
        </w:rPr>
        <w:t xml:space="preserve">عنوان </w:t>
      </w:r>
      <w:r>
        <w:rPr>
          <w:rFonts w:hint="eastAsia"/>
          <w:rtl w:val="true"/>
        </w:rPr>
        <w:t>”</w:t>
      </w:r>
      <w:r>
        <w:rPr>
          <w:rFonts w:hint="cs"/>
          <w:rtl w:val="true"/>
        </w:rPr>
        <w:t> </w:t>
      </w:r>
      <w:r>
        <w:rPr>
          <w:rFonts w:hint="cs" w:cs="B Traffic"/>
          <w:szCs w:val="22"/>
          <w:rtl w:val="true"/>
        </w:rPr>
        <w:t>گزارش عملكرد مالي</w:t>
      </w:r>
      <w:r>
        <w:rPr>
          <w:rFonts w:hint="cs"/>
          <w:rtl w:val="true"/>
        </w:rPr>
        <w:t>“، نتايج عمليات به دو</w:t>
      </w:r>
      <w:r>
        <w:rPr>
          <w:rFonts w:hint="eastAsia" w:cs="Times New Roman"/>
          <w:rtl w:val="true"/>
        </w:rPr>
        <w:t> </w:t>
      </w:r>
      <w:r>
        <w:rPr>
          <w:rFonts w:hint="cs"/>
          <w:rtl w:val="true"/>
        </w:rPr>
        <w:t>طبقه فعاليتهاي عادي و اقلام غيرمترقبه تفكيك مي‌شد</w:t>
      </w:r>
      <w:r>
        <w:rPr>
          <w:rFonts w:hint="cs"/>
          <w:rtl w:val="true"/>
        </w:rPr>
        <w:t xml:space="preserve">. </w:t>
      </w:r>
      <w:r>
        <w:rPr>
          <w:rFonts w:hint="cs"/>
          <w:rtl w:val="true"/>
        </w:rPr>
        <w:t>در استاندارد مزبور نتايج عمليات متوقف شده به</w:t>
      </w:r>
      <w:r>
        <w:rPr>
          <w:rFonts w:hint="cs" w:cs="Times New Roman"/>
          <w:rtl w:val="true"/>
        </w:rPr>
        <w:t> </w:t>
      </w:r>
      <w:r>
        <w:rPr>
          <w:rFonts w:hint="cs"/>
          <w:rtl w:val="true"/>
        </w:rPr>
        <w:t>عنوان بخشي از فعاليتهاي عادي منعكس مي‌گرديد</w:t>
      </w:r>
      <w:r>
        <w:rPr>
          <w:rFonts w:hint="cs"/>
          <w:rtl w:val="true"/>
        </w:rPr>
        <w:t xml:space="preserve">. </w:t>
      </w:r>
      <w:r>
        <w:rPr>
          <w:rFonts w:hint="cs"/>
          <w:rtl w:val="true"/>
        </w:rPr>
        <w:t>با</w:t>
      </w:r>
      <w:r>
        <w:rPr>
          <w:rFonts w:hint="cs" w:cs="Times New Roman"/>
          <w:rtl w:val="true"/>
        </w:rPr>
        <w:t> </w:t>
      </w:r>
      <w:r>
        <w:rPr>
          <w:rFonts w:hint="cs"/>
          <w:rtl w:val="true"/>
        </w:rPr>
        <w:t>توجه به نگرش كمك به استفاده‌كنندگان صورتهاي مالي جهت پيش‌بيني بهتر نتايج عمليات، طبقه‌بندي نتايج عمليات به دو گروه عمليات در حال تداوم و عمليات متوقف شده مناسب‌تر است</w:t>
      </w:r>
      <w:r>
        <w:rPr>
          <w:rFonts w:hint="cs"/>
          <w:rtl w:val="true"/>
        </w:rPr>
        <w:t xml:space="preserve">. </w:t>
      </w:r>
      <w:r>
        <w:rPr>
          <w:rFonts w:hint="cs"/>
          <w:rtl w:val="true"/>
        </w:rPr>
        <w:t>با</w:t>
      </w:r>
      <w:r>
        <w:rPr>
          <w:rFonts w:hint="cs" w:cs="Times New Roman"/>
          <w:rtl w:val="true"/>
        </w:rPr>
        <w:t> </w:t>
      </w:r>
      <w:r>
        <w:rPr>
          <w:rFonts w:hint="cs"/>
          <w:rtl w:val="true"/>
        </w:rPr>
        <w:t>توجه به اين تغيير طبقه</w:t>
      </w:r>
      <w:r>
        <w:rPr>
          <w:rFonts w:hint="cs" w:cs="Times New Roman"/>
          <w:rtl w:val="true"/>
        </w:rPr>
        <w:t> </w:t>
      </w:r>
      <w:r>
        <w:rPr>
          <w:rFonts w:hint="cs"/>
          <w:rtl w:val="true"/>
        </w:rPr>
        <w:t>بندي، سرفصل اقلام غير مترقبه در</w:t>
      </w:r>
      <w:r>
        <w:rPr>
          <w:rFonts w:hint="cs" w:cs="Times New Roman"/>
          <w:rtl w:val="true"/>
        </w:rPr>
        <w:t> </w:t>
      </w:r>
      <w:r>
        <w:rPr>
          <w:rFonts w:hint="cs"/>
          <w:rtl w:val="true"/>
        </w:rPr>
        <w:t>صورت سود</w:t>
      </w:r>
      <w:r>
        <w:rPr>
          <w:rFonts w:hint="eastAsia" w:cs="Times New Roman"/>
          <w:rtl w:val="true"/>
        </w:rPr>
        <w:t> </w:t>
      </w:r>
      <w:r>
        <w:rPr>
          <w:rFonts w:hint="cs"/>
          <w:rtl w:val="true"/>
        </w:rPr>
        <w:t>و زيان حذف مي‌شود و درنتيجه، آثار رويدادهايي از قبيل بلاياي طبيعي كه قبلاً تحت سرفصل اقلام غيرمترقبه طبقه‌بندي مي‌شد، به</w:t>
      </w:r>
      <w:r>
        <w:rPr>
          <w:rFonts w:hint="cs" w:cs="Times New Roman"/>
          <w:rtl w:val="true"/>
        </w:rPr>
        <w:t> </w:t>
      </w:r>
      <w:r>
        <w:rPr>
          <w:rFonts w:hint="cs"/>
          <w:rtl w:val="true"/>
        </w:rPr>
        <w:t>عنوان اقلام استثنايي منعكس مي‌شود</w:t>
      </w:r>
      <w:r>
        <w:rPr>
          <w:rtl w:val="true"/>
        </w:rPr>
        <w:t>.</w:t>
      </w:r>
    </w:p>
    <w:p>
      <w:pPr>
        <w:pStyle w:val="Normal"/>
        <w:spacing w:before="0" w:after="120"/>
        <w:ind w:end="0"/>
        <w:jc w:val="center"/>
        <w:rPr>
          <w:rFonts w:cs="B Lotus" w:hint="cs"/>
        </w:rPr>
      </w:pPr>
      <w:r>
        <w:rPr>
          <w:rFonts w:cs="B Lotus" w:hint="cs"/>
          <w:rtl w:val="true"/>
        </w:rPr>
      </w:r>
    </w:p>
    <w:sectPr>
      <w:headerReference w:type="default" r:id="rId26"/>
      <w:headerReference w:type="first" r:id="rId27"/>
      <w:footerReference w:type="default" r:id="rId28"/>
      <w:footerReference w:type="first" r:id="rId29"/>
      <w:type w:val="nextPage"/>
      <w:pgSz w:w="12240" w:h="15840"/>
      <w:pgMar w:left="1701" w:right="1701" w:gutter="0" w:header="1418" w:top="3119" w:footer="1134" w:bottom="1701"/>
      <w:pgNumType w:fmt="decimal"/>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G Times">
    <w:altName w:val="Times New Roman"/>
    <w:charset w:val="00"/>
    <w:family w:val="roman"/>
    <w:pitch w:val="variable"/>
  </w:font>
  <w:font w:name="B Zar">
    <w:charset w:val="b2"/>
    <w:family w:val="auto"/>
    <w:pitch w:val="variable"/>
  </w:font>
  <w:font w:name="Courier New">
    <w:charset w:val="00"/>
    <w:family w:val="modern"/>
    <w:pitch w:val="default"/>
  </w:font>
  <w:font w:name="Wingdings">
    <w:charset w:val="02"/>
    <w:family w:val="auto"/>
    <w:pitch w:val="variable"/>
  </w:font>
  <w:font w:name="Times nes roman">
    <w:altName w:val="Times New Roman"/>
    <w:charset w:val="00"/>
    <w:family w:val="roman"/>
    <w:pitch w:val="default"/>
  </w:font>
  <w:font w:name="Times">
    <w:altName w:val="Times New Roman"/>
    <w:charset w:val="00"/>
    <w:family w:val="roman"/>
    <w:pitch w:val="variable"/>
  </w:font>
  <w:font w:name="TIMEZ">
    <w:altName w:val="Times"/>
    <w:charset w:val="00"/>
    <w:family w:val="roman"/>
    <w:pitch w:val="default"/>
  </w:font>
  <w:font w:name="Tahoma">
    <w:charset w:val="00"/>
    <w:family w:val="swiss"/>
    <w:pitch w:val="variable"/>
  </w:font>
  <w:font w:name="B Lotus">
    <w:charset w:val="b2"/>
    <w:family w:val="auto"/>
    <w:pitch w:val="variable"/>
  </w:font>
  <w:font w:name="Adobe Gothic Std B">
    <w:charset w:val="8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start"/>
      <w:rPr>
        <w:rFonts w:hint="cs"/>
      </w:rPr>
    </w:pPr>
    <w:r>
      <w:rPr>
        <w:rFonts w:hint="cs"/>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start"/>
      <w:rPr>
        <w:rFonts w:hint="cs"/>
      </w:rPr>
    </w:pPr>
    <w:r>
      <w:rPr>
        <w:rFonts w:hint="cs"/>
        <w:rtl w:val="true"/>
      </w:rPr>
    </w:r>
    <w:r>
      <mc:AlternateContent>
        <mc:Choice Requires="wps">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257810" cy="281940"/>
              <wp:effectExtent l="0" t="0" r="0" b="0"/>
              <wp:wrapSquare wrapText="bothSides"/>
              <wp:docPr id="1" name="Frame1"/>
              <a:graphic xmlns:a="http://schemas.openxmlformats.org/drawingml/2006/main">
                <a:graphicData uri="http://schemas.microsoft.com/office/word/2010/wordprocessingShape">
                  <wps:wsp>
                    <wps:cNvSpPr txBox="1"/>
                    <wps:spPr>
                      <a:xfrm>
                        <a:off x="0" y="0"/>
                        <a:ext cx="257810" cy="281940"/>
                      </a:xfrm>
                      <a:prstGeom prst="rect"/>
                      <a:solidFill>
                        <a:srgbClr val="FFFFFF">
                          <a:alpha val="0"/>
                        </a:srgbClr>
                      </a:solidFill>
                    </wps:spPr>
                    <wps:txbx>
                      <w:txbxContent>
                        <w:p>
                          <w:pPr>
                            <w:pStyle w:val="Footer"/>
                            <w:ind w:end="0"/>
                            <w:jc w:val="start"/>
                            <w:rPr>
                              <w:rStyle w:val="PageNumber"/>
                              <w:rFonts w:cs="B Nazanin"/>
                              <w:sz w:val="28"/>
                            </w:rPr>
                          </w:pPr>
                          <w:r>
                            <w:rPr>
                              <w:rStyle w:val="PageNumber"/>
                              <w:rFonts w:cs="B Nazanin"/>
                              <w:sz w:val="28"/>
                              <w:rtl w:val="true"/>
                            </w:rPr>
                            <w:fldChar w:fldCharType="begin"/>
                          </w:r>
                          <w:r>
                            <w:rPr>
                              <w:rStyle w:val="PageNumber"/>
                              <w:rFonts w:cs="B Nazanin"/>
                              <w:sz w:val="28"/>
                              <w:rtl w:val="true"/>
                            </w:rPr>
                            <w:instrText xml:space="preserve"> PAGE </w:instrText>
                          </w:r>
                          <w:r>
                            <w:rPr>
                              <w:rStyle w:val="PageNumber"/>
                              <w:rFonts w:cs="B Nazanin"/>
                              <w:sz w:val="28"/>
                              <w:rtl w:val="true"/>
                            </w:rPr>
                            <w:fldChar w:fldCharType="separate"/>
                          </w:r>
                          <w:r>
                            <w:rPr>
                              <w:rStyle w:val="PageNumber"/>
                              <w:rFonts w:cs="B Nazanin"/>
                              <w:sz w:val="28"/>
                              <w:rtl w:val="true"/>
                            </w:rPr>
                            <w:t>705</w:t>
                          </w:r>
                          <w:r>
                            <w:rPr>
                              <w:rStyle w:val="PageNumber"/>
                              <w:rFonts w:cs="B Nazanin"/>
                              <w:sz w:val="28"/>
                              <w:rtl w:val="true"/>
                            </w:rPr>
                            <w:fldChar w:fldCharType="end"/>
                          </w:r>
                        </w:p>
                      </w:txbxContent>
                    </wps:txbx>
                    <wps:bodyPr anchor="t" lIns="0" tIns="0" rIns="0" bIns="0">
                      <a:noAutofit/>
                    </wps:bodyPr>
                  </wps:wsp>
                </a:graphicData>
              </a:graphic>
            </wp:anchor>
          </w:drawing>
        </mc:Choice>
        <mc:Fallback>
          <w:pict>
            <v:rect fillcolor="#FFFFFF" style="position:absolute;rotation:-0;width:20.3pt;height:22.2pt;mso-wrap-distance-left:0pt;mso-wrap-distance-right:0pt;mso-wrap-distance-top:0pt;mso-wrap-distance-bottom:0pt;margin-top:0.05pt;mso-position-vertical-relative:text;margin-left:202.45pt;mso-position-horizontal:center;mso-position-horizontal-relative:text">
              <v:fill opacity="0f"/>
              <v:textbox inset="0in,0in,0in,0in">
                <w:txbxContent>
                  <w:p>
                    <w:pPr>
                      <w:pStyle w:val="Footer"/>
                      <w:ind w:end="0"/>
                      <w:jc w:val="start"/>
                      <w:rPr>
                        <w:rStyle w:val="PageNumber"/>
                        <w:rFonts w:cs="B Nazanin"/>
                        <w:sz w:val="28"/>
                      </w:rPr>
                    </w:pPr>
                    <w:r>
                      <w:rPr>
                        <w:rStyle w:val="PageNumber"/>
                        <w:rFonts w:cs="B Nazanin"/>
                        <w:sz w:val="28"/>
                        <w:rtl w:val="true"/>
                      </w:rPr>
                      <w:fldChar w:fldCharType="begin"/>
                    </w:r>
                    <w:r>
                      <w:rPr>
                        <w:rStyle w:val="PageNumber"/>
                        <w:rFonts w:cs="B Nazanin"/>
                        <w:sz w:val="28"/>
                        <w:rtl w:val="true"/>
                      </w:rPr>
                      <w:instrText xml:space="preserve"> PAGE </w:instrText>
                    </w:r>
                    <w:r>
                      <w:rPr>
                        <w:rStyle w:val="PageNumber"/>
                        <w:rFonts w:cs="B Nazanin"/>
                        <w:sz w:val="28"/>
                        <w:rtl w:val="true"/>
                      </w:rPr>
                      <w:fldChar w:fldCharType="separate"/>
                    </w:r>
                    <w:r>
                      <w:rPr>
                        <w:rStyle w:val="PageNumber"/>
                        <w:rFonts w:cs="B Nazanin"/>
                        <w:sz w:val="28"/>
                        <w:rtl w:val="true"/>
                      </w:rPr>
                      <w:t>705</w:t>
                    </w:r>
                    <w:r>
                      <w:rPr>
                        <w:rStyle w:val="PageNumber"/>
                        <w:rFonts w:cs="B Nazanin"/>
                        <w:sz w:val="28"/>
                        <w:rtl w:val="true"/>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hint="cs"/>
      </w:rPr>
    </w:pPr>
    <w:r>
      <w:rPr>
        <w:rFonts w:hint="cs"/>
        <w:rtl w:val="true"/>
      </w:rPr>
    </w:r>
    <w:r>
      <mc:AlternateContent>
        <mc:Choice Requires="wps">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255270" cy="281940"/>
              <wp:effectExtent l="0" t="0" r="0" b="0"/>
              <wp:wrapSquare wrapText="bothSides"/>
              <wp:docPr id="2" name="Frame4"/>
              <a:graphic xmlns:a="http://schemas.openxmlformats.org/drawingml/2006/main">
                <a:graphicData uri="http://schemas.microsoft.com/office/word/2010/wordprocessingShape">
                  <wps:wsp>
                    <wps:cNvSpPr txBox="1"/>
                    <wps:spPr>
                      <a:xfrm>
                        <a:off x="0" y="0"/>
                        <a:ext cx="255270" cy="281940"/>
                      </a:xfrm>
                      <a:prstGeom prst="rect"/>
                      <a:solidFill>
                        <a:srgbClr val="FFFFFF">
                          <a:alpha val="0"/>
                        </a:srgbClr>
                      </a:solidFill>
                    </wps:spPr>
                    <wps:txbx>
                      <w:txbxContent>
                        <w:p>
                          <w:pPr>
                            <w:pStyle w:val="Footer"/>
                            <w:ind w:end="0"/>
                            <w:jc w:val="start"/>
                            <w:rPr>
                              <w:rStyle w:val="PageNumber"/>
                              <w:rFonts w:cs="B Nazanin"/>
                              <w:sz w:val="28"/>
                            </w:rPr>
                          </w:pPr>
                          <w:r>
                            <w:rPr>
                              <w:rStyle w:val="PageNumber"/>
                              <w:rFonts w:cs="B Nazanin"/>
                              <w:sz w:val="28"/>
                              <w:rtl w:val="true"/>
                            </w:rPr>
                            <w:fldChar w:fldCharType="begin"/>
                          </w:r>
                          <w:r>
                            <w:rPr>
                              <w:rStyle w:val="PageNumber"/>
                              <w:rFonts w:cs="B Nazanin"/>
                              <w:sz w:val="28"/>
                              <w:rtl w:val="true"/>
                            </w:rPr>
                            <w:instrText xml:space="preserve"> PAGE </w:instrText>
                          </w:r>
                          <w:r>
                            <w:rPr>
                              <w:rStyle w:val="PageNumber"/>
                              <w:rFonts w:cs="B Nazanin"/>
                              <w:sz w:val="28"/>
                              <w:rtl w:val="true"/>
                            </w:rPr>
                            <w:fldChar w:fldCharType="separate"/>
                          </w:r>
                          <w:r>
                            <w:rPr>
                              <w:rStyle w:val="PageNumber"/>
                              <w:rFonts w:cs="B Nazanin"/>
                              <w:sz w:val="28"/>
                              <w:rtl w:val="true"/>
                            </w:rPr>
                            <w:t>715</w:t>
                          </w:r>
                          <w:r>
                            <w:rPr>
                              <w:rStyle w:val="PageNumber"/>
                              <w:rFonts w:cs="B Nazanin"/>
                              <w:sz w:val="28"/>
                              <w:rtl w:val="true"/>
                            </w:rPr>
                            <w:fldChar w:fldCharType="end"/>
                          </w:r>
                        </w:p>
                      </w:txbxContent>
                    </wps:txbx>
                    <wps:bodyPr anchor="t" lIns="0" tIns="0" rIns="0" bIns="0">
                      <a:noAutofit/>
                    </wps:bodyPr>
                  </wps:wsp>
                </a:graphicData>
              </a:graphic>
            </wp:anchor>
          </w:drawing>
        </mc:Choice>
        <mc:Fallback>
          <w:pict>
            <v:rect fillcolor="#FFFFFF" style="position:absolute;rotation:-0;width:20.1pt;height:22.2pt;mso-wrap-distance-left:0pt;mso-wrap-distance-right:0pt;mso-wrap-distance-top:0pt;mso-wrap-distance-bottom:0pt;margin-top:0.05pt;mso-position-vertical-relative:text;margin-left:202.55pt;mso-position-horizontal:center;mso-position-horizontal-relative:text">
              <v:fill opacity="0f"/>
              <v:textbox inset="0in,0in,0in,0in">
                <w:txbxContent>
                  <w:p>
                    <w:pPr>
                      <w:pStyle w:val="Footer"/>
                      <w:ind w:end="0"/>
                      <w:jc w:val="start"/>
                      <w:rPr>
                        <w:rStyle w:val="PageNumber"/>
                        <w:rFonts w:cs="B Nazanin"/>
                        <w:sz w:val="28"/>
                      </w:rPr>
                    </w:pPr>
                    <w:r>
                      <w:rPr>
                        <w:rStyle w:val="PageNumber"/>
                        <w:rFonts w:cs="B Nazanin"/>
                        <w:sz w:val="28"/>
                        <w:rtl w:val="true"/>
                      </w:rPr>
                      <w:fldChar w:fldCharType="begin"/>
                    </w:r>
                    <w:r>
                      <w:rPr>
                        <w:rStyle w:val="PageNumber"/>
                        <w:rFonts w:cs="B Nazanin"/>
                        <w:sz w:val="28"/>
                        <w:rtl w:val="true"/>
                      </w:rPr>
                      <w:instrText xml:space="preserve"> PAGE </w:instrText>
                    </w:r>
                    <w:r>
                      <w:rPr>
                        <w:rStyle w:val="PageNumber"/>
                        <w:rFonts w:cs="B Nazanin"/>
                        <w:sz w:val="28"/>
                        <w:rtl w:val="true"/>
                      </w:rPr>
                      <w:fldChar w:fldCharType="separate"/>
                    </w:r>
                    <w:r>
                      <w:rPr>
                        <w:rStyle w:val="PageNumber"/>
                        <w:rFonts w:cs="B Nazanin"/>
                        <w:sz w:val="28"/>
                        <w:rtl w:val="true"/>
                      </w:rPr>
                      <w:t>715</w:t>
                    </w:r>
                    <w:r>
                      <w:rPr>
                        <w:rStyle w:val="PageNumber"/>
                        <w:rFonts w:cs="B Nazanin"/>
                        <w:sz w:val="28"/>
                        <w:rtl w:val="true"/>
                      </w:rPr>
                      <w:fldChar w:fldCharType="end"/>
                    </w:r>
                  </w:p>
                </w:txbxContent>
              </v:textbox>
              <w10:wrap type="squar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hint="cs"/>
      </w:rPr>
    </w:pPr>
    <w:r>
      <w:rPr>
        <w:rFonts w:hint="cs"/>
        <w:rtl w:val="true"/>
      </w:rPr>
    </w:r>
    <w:r>
      <mc:AlternateContent>
        <mc:Choice Requires="wps">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247015" cy="281940"/>
              <wp:effectExtent l="0" t="0" r="0" b="0"/>
              <wp:wrapSquare wrapText="bothSides"/>
              <wp:docPr id="3" name="Frame5"/>
              <a:graphic xmlns:a="http://schemas.openxmlformats.org/drawingml/2006/main">
                <a:graphicData uri="http://schemas.microsoft.com/office/word/2010/wordprocessingShape">
                  <wps:wsp>
                    <wps:cNvSpPr txBox="1"/>
                    <wps:spPr>
                      <a:xfrm>
                        <a:off x="0" y="0"/>
                        <a:ext cx="247015" cy="281940"/>
                      </a:xfrm>
                      <a:prstGeom prst="rect"/>
                      <a:solidFill>
                        <a:srgbClr val="FFFFFF">
                          <a:alpha val="0"/>
                        </a:srgbClr>
                      </a:solidFill>
                    </wps:spPr>
                    <wps:txbx>
                      <w:txbxContent>
                        <w:p>
                          <w:pPr>
                            <w:pStyle w:val="Footer"/>
                            <w:ind w:end="0"/>
                            <w:jc w:val="start"/>
                            <w:rPr>
                              <w:rStyle w:val="PageNumber"/>
                              <w:rFonts w:cs="B Nazanin"/>
                              <w:sz w:val="28"/>
                            </w:rPr>
                          </w:pPr>
                          <w:r>
                            <w:rPr>
                              <w:rStyle w:val="PageNumber"/>
                              <w:rFonts w:cs="B Nazanin"/>
                              <w:sz w:val="28"/>
                              <w:rtl w:val="true"/>
                            </w:rPr>
                            <w:fldChar w:fldCharType="begin"/>
                          </w:r>
                          <w:r>
                            <w:rPr>
                              <w:rStyle w:val="PageNumber"/>
                              <w:rFonts w:cs="B Nazanin"/>
                              <w:sz w:val="28"/>
                              <w:rtl w:val="true"/>
                            </w:rPr>
                            <w:instrText xml:space="preserve"> PAGE </w:instrText>
                          </w:r>
                          <w:r>
                            <w:rPr>
                              <w:rStyle w:val="PageNumber"/>
                              <w:rFonts w:cs="B Nazanin"/>
                              <w:sz w:val="28"/>
                              <w:rtl w:val="true"/>
                            </w:rPr>
                            <w:fldChar w:fldCharType="separate"/>
                          </w:r>
                          <w:r>
                            <w:rPr>
                              <w:rStyle w:val="PageNumber"/>
                              <w:rFonts w:cs="B Nazanin"/>
                              <w:sz w:val="28"/>
                              <w:rtl w:val="true"/>
                            </w:rPr>
                            <w:t>716</w:t>
                          </w:r>
                          <w:r>
                            <w:rPr>
                              <w:rStyle w:val="PageNumber"/>
                              <w:rFonts w:cs="B Nazanin"/>
                              <w:sz w:val="28"/>
                              <w:rtl w:val="true"/>
                            </w:rPr>
                            <w:fldChar w:fldCharType="end"/>
                          </w:r>
                        </w:p>
                      </w:txbxContent>
                    </wps:txbx>
                    <wps:bodyPr anchor="t" lIns="0" tIns="0" rIns="0" bIns="0">
                      <a:noAutofit/>
                    </wps:bodyPr>
                  </wps:wsp>
                </a:graphicData>
              </a:graphic>
            </wp:anchor>
          </w:drawing>
        </mc:Choice>
        <mc:Fallback>
          <w:pict>
            <v:rect fillcolor="#FFFFFF" style="position:absolute;rotation:-0;width:19.45pt;height:22.2pt;mso-wrap-distance-left:0pt;mso-wrap-distance-right:0pt;mso-wrap-distance-top:0pt;mso-wrap-distance-bottom:0pt;margin-top:0.05pt;mso-position-vertical-relative:text;margin-left:202.9pt;mso-position-horizontal:center;mso-position-horizontal-relative:text">
              <v:fill opacity="0f"/>
              <v:textbox inset="0in,0in,0in,0in">
                <w:txbxContent>
                  <w:p>
                    <w:pPr>
                      <w:pStyle w:val="Footer"/>
                      <w:ind w:end="0"/>
                      <w:jc w:val="start"/>
                      <w:rPr>
                        <w:rStyle w:val="PageNumber"/>
                        <w:rFonts w:cs="B Nazanin"/>
                        <w:sz w:val="28"/>
                      </w:rPr>
                    </w:pPr>
                    <w:r>
                      <w:rPr>
                        <w:rStyle w:val="PageNumber"/>
                        <w:rFonts w:cs="B Nazanin"/>
                        <w:sz w:val="28"/>
                        <w:rtl w:val="true"/>
                      </w:rPr>
                      <w:fldChar w:fldCharType="begin"/>
                    </w:r>
                    <w:r>
                      <w:rPr>
                        <w:rStyle w:val="PageNumber"/>
                        <w:rFonts w:cs="B Nazanin"/>
                        <w:sz w:val="28"/>
                        <w:rtl w:val="true"/>
                      </w:rPr>
                      <w:instrText xml:space="preserve"> PAGE </w:instrText>
                    </w:r>
                    <w:r>
                      <w:rPr>
                        <w:rStyle w:val="PageNumber"/>
                        <w:rFonts w:cs="B Nazanin"/>
                        <w:sz w:val="28"/>
                        <w:rtl w:val="true"/>
                      </w:rPr>
                      <w:fldChar w:fldCharType="separate"/>
                    </w:r>
                    <w:r>
                      <w:rPr>
                        <w:rStyle w:val="PageNumber"/>
                        <w:rFonts w:cs="B Nazanin"/>
                        <w:sz w:val="28"/>
                        <w:rtl w:val="true"/>
                      </w:rPr>
                      <w:t>716</w:t>
                    </w:r>
                    <w:r>
                      <w:rPr>
                        <w:rStyle w:val="PageNumber"/>
                        <w:rFonts w:cs="B Nazanin"/>
                        <w:sz w:val="28"/>
                        <w:rtl w:val="true"/>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hint="cs"/>
      </w:rPr>
    </w:pPr>
    <w:r>
      <w:rPr>
        <w:rFonts w:hint="cs"/>
        <w:rtl w:val="true"/>
      </w:rPr>
    </w:r>
    <w:r>
      <mc:AlternateContent>
        <mc:Choice Requires="wps">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284480" cy="281940"/>
              <wp:effectExtent l="0" t="0" r="0" b="0"/>
              <wp:wrapSquare wrapText="bothSides"/>
              <wp:docPr id="4" name="Frame6"/>
              <a:graphic xmlns:a="http://schemas.openxmlformats.org/drawingml/2006/main">
                <a:graphicData uri="http://schemas.microsoft.com/office/word/2010/wordprocessingShape">
                  <wps:wsp>
                    <wps:cNvSpPr txBox="1"/>
                    <wps:spPr>
                      <a:xfrm>
                        <a:off x="0" y="0"/>
                        <a:ext cx="284480" cy="281940"/>
                      </a:xfrm>
                      <a:prstGeom prst="rect"/>
                      <a:solidFill>
                        <a:srgbClr val="FFFFFF">
                          <a:alpha val="0"/>
                        </a:srgbClr>
                      </a:solidFill>
                    </wps:spPr>
                    <wps:txbx>
                      <w:txbxContent>
                        <w:p>
                          <w:pPr>
                            <w:pStyle w:val="Footer"/>
                            <w:ind w:end="0"/>
                            <w:jc w:val="start"/>
                            <w:rPr>
                              <w:rStyle w:val="PageNumber"/>
                              <w:rFonts w:cs="B Nazanin"/>
                              <w:sz w:val="28"/>
                            </w:rPr>
                          </w:pPr>
                          <w:r>
                            <w:rPr>
                              <w:rStyle w:val="PageNumber"/>
                              <w:rFonts w:cs="B Nazanin"/>
                              <w:sz w:val="28"/>
                              <w:rtl w:val="true"/>
                            </w:rPr>
                            <w:fldChar w:fldCharType="begin"/>
                          </w:r>
                          <w:r>
                            <w:rPr>
                              <w:rStyle w:val="PageNumber"/>
                              <w:rFonts w:cs="B Nazanin"/>
                              <w:sz w:val="28"/>
                              <w:rtl w:val="true"/>
                            </w:rPr>
                            <w:instrText xml:space="preserve"> PAGE </w:instrText>
                          </w:r>
                          <w:r>
                            <w:rPr>
                              <w:rStyle w:val="PageNumber"/>
                              <w:rFonts w:cs="B Nazanin"/>
                              <w:sz w:val="28"/>
                              <w:rtl w:val="true"/>
                            </w:rPr>
                            <w:fldChar w:fldCharType="separate"/>
                          </w:r>
                          <w:r>
                            <w:rPr>
                              <w:rStyle w:val="PageNumber"/>
                              <w:rFonts w:cs="B Nazanin"/>
                              <w:sz w:val="28"/>
                              <w:rtl w:val="true"/>
                            </w:rPr>
                            <w:t>723</w:t>
                          </w:r>
                          <w:r>
                            <w:rPr>
                              <w:rStyle w:val="PageNumber"/>
                              <w:rFonts w:cs="B Nazanin"/>
                              <w:sz w:val="28"/>
                              <w:rtl w:val="true"/>
                            </w:rPr>
                            <w:fldChar w:fldCharType="end"/>
                          </w:r>
                        </w:p>
                      </w:txbxContent>
                    </wps:txbx>
                    <wps:bodyPr anchor="t" lIns="0" tIns="0" rIns="0" bIns="0">
                      <a:noAutofit/>
                    </wps:bodyPr>
                  </wps:wsp>
                </a:graphicData>
              </a:graphic>
            </wp:anchor>
          </w:drawing>
        </mc:Choice>
        <mc:Fallback>
          <w:pict>
            <v:rect fillcolor="#FFFFFF" style="position:absolute;rotation:-0;width:22.4pt;height:22.2pt;mso-wrap-distance-left:0pt;mso-wrap-distance-right:0pt;mso-wrap-distance-top:0pt;mso-wrap-distance-bottom:0pt;margin-top:0.05pt;mso-position-vertical-relative:text;margin-left:201.4pt;mso-position-horizontal:center;mso-position-horizontal-relative:text">
              <v:fill opacity="0f"/>
              <v:textbox inset="0in,0in,0in,0in">
                <w:txbxContent>
                  <w:p>
                    <w:pPr>
                      <w:pStyle w:val="Footer"/>
                      <w:ind w:end="0"/>
                      <w:jc w:val="start"/>
                      <w:rPr>
                        <w:rStyle w:val="PageNumber"/>
                        <w:rFonts w:cs="B Nazanin"/>
                        <w:sz w:val="28"/>
                      </w:rPr>
                    </w:pPr>
                    <w:r>
                      <w:rPr>
                        <w:rStyle w:val="PageNumber"/>
                        <w:rFonts w:cs="B Nazanin"/>
                        <w:sz w:val="28"/>
                        <w:rtl w:val="true"/>
                      </w:rPr>
                      <w:fldChar w:fldCharType="begin"/>
                    </w:r>
                    <w:r>
                      <w:rPr>
                        <w:rStyle w:val="PageNumber"/>
                        <w:rFonts w:cs="B Nazanin"/>
                        <w:sz w:val="28"/>
                        <w:rtl w:val="true"/>
                      </w:rPr>
                      <w:instrText xml:space="preserve"> PAGE </w:instrText>
                    </w:r>
                    <w:r>
                      <w:rPr>
                        <w:rStyle w:val="PageNumber"/>
                        <w:rFonts w:cs="B Nazanin"/>
                        <w:sz w:val="28"/>
                        <w:rtl w:val="true"/>
                      </w:rPr>
                      <w:fldChar w:fldCharType="separate"/>
                    </w:r>
                    <w:r>
                      <w:rPr>
                        <w:rStyle w:val="PageNumber"/>
                        <w:rFonts w:cs="B Nazanin"/>
                        <w:sz w:val="28"/>
                        <w:rtl w:val="true"/>
                      </w:rPr>
                      <w:t>723</w:t>
                    </w:r>
                    <w:r>
                      <w:rPr>
                        <w:rStyle w:val="PageNumber"/>
                        <w:rFonts w:cs="B Nazanin"/>
                        <w:sz w:val="28"/>
                        <w:rtl w:val="true"/>
                      </w:rPr>
                      <w:fldChar w:fldCharType="end"/>
                    </w:r>
                  </w:p>
                </w:txbxContent>
              </v:textbox>
              <w10:wrap type="squar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rFonts w:hint="cs"/>
      </w:rPr>
    </w:pPr>
    <w:r>
      <w:rPr>
        <w:rFonts w:hint="cs"/>
        <w:rtl w:val="true"/>
      </w:rPr>
    </w:r>
    <w:r>
      <mc:AlternateContent>
        <mc:Choice Requires="wps">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285750" cy="281940"/>
              <wp:effectExtent l="0" t="0" r="0" b="0"/>
              <wp:wrapSquare wrapText="bothSides"/>
              <wp:docPr id="5" name="Frame7"/>
              <a:graphic xmlns:a="http://schemas.openxmlformats.org/drawingml/2006/main">
                <a:graphicData uri="http://schemas.microsoft.com/office/word/2010/wordprocessingShape">
                  <wps:wsp>
                    <wps:cNvSpPr txBox="1"/>
                    <wps:spPr>
                      <a:xfrm>
                        <a:off x="0" y="0"/>
                        <a:ext cx="285750" cy="281940"/>
                      </a:xfrm>
                      <a:prstGeom prst="rect"/>
                      <a:solidFill>
                        <a:srgbClr val="FFFFFF">
                          <a:alpha val="0"/>
                        </a:srgbClr>
                      </a:solidFill>
                    </wps:spPr>
                    <wps:txbx>
                      <w:txbxContent>
                        <w:p>
                          <w:pPr>
                            <w:pStyle w:val="Footer"/>
                            <w:ind w:end="0"/>
                            <w:jc w:val="start"/>
                            <w:rPr>
                              <w:rStyle w:val="PageNumber"/>
                              <w:rFonts w:cs="B Nazanin"/>
                              <w:sz w:val="28"/>
                            </w:rPr>
                          </w:pPr>
                          <w:r>
                            <w:rPr>
                              <w:rStyle w:val="PageNumber"/>
                              <w:rFonts w:cs="B Nazanin"/>
                              <w:sz w:val="28"/>
                              <w:rtl w:val="true"/>
                            </w:rPr>
                            <w:fldChar w:fldCharType="begin"/>
                          </w:r>
                          <w:r>
                            <w:rPr>
                              <w:rStyle w:val="PageNumber"/>
                              <w:rFonts w:cs="B Nazanin"/>
                              <w:sz w:val="28"/>
                              <w:rtl w:val="true"/>
                            </w:rPr>
                            <w:instrText xml:space="preserve"> PAGE </w:instrText>
                          </w:r>
                          <w:r>
                            <w:rPr>
                              <w:rStyle w:val="PageNumber"/>
                              <w:rFonts w:cs="B Nazanin"/>
                              <w:sz w:val="28"/>
                              <w:rtl w:val="true"/>
                            </w:rPr>
                            <w:fldChar w:fldCharType="separate"/>
                          </w:r>
                          <w:r>
                            <w:rPr>
                              <w:rStyle w:val="PageNumber"/>
                              <w:rFonts w:cs="B Nazanin"/>
                              <w:sz w:val="28"/>
                              <w:rtl w:val="true"/>
                            </w:rPr>
                            <w:t>728</w:t>
                          </w:r>
                          <w:r>
                            <w:rPr>
                              <w:rStyle w:val="PageNumber"/>
                              <w:rFonts w:cs="B Nazanin"/>
                              <w:sz w:val="28"/>
                              <w:rtl w:val="true"/>
                            </w:rPr>
                            <w:fldChar w:fldCharType="end"/>
                          </w:r>
                        </w:p>
                      </w:txbxContent>
                    </wps:txbx>
                    <wps:bodyPr anchor="t" lIns="0" tIns="0" rIns="0" bIns="0">
                      <a:noAutofit/>
                    </wps:bodyPr>
                  </wps:wsp>
                </a:graphicData>
              </a:graphic>
            </wp:anchor>
          </w:drawing>
        </mc:Choice>
        <mc:Fallback>
          <w:pict>
            <v:rect fillcolor="#FFFFFF" style="position:absolute;rotation:-0;width:22.5pt;height:22.2pt;mso-wrap-distance-left:0pt;mso-wrap-distance-right:0pt;mso-wrap-distance-top:0pt;mso-wrap-distance-bottom:0pt;margin-top:0.05pt;mso-position-vertical-relative:text;margin-left:201.35pt;mso-position-horizontal:center;mso-position-horizontal-relative:text">
              <v:fill opacity="0f"/>
              <v:textbox inset="0in,0in,0in,0in">
                <w:txbxContent>
                  <w:p>
                    <w:pPr>
                      <w:pStyle w:val="Footer"/>
                      <w:ind w:end="0"/>
                      <w:jc w:val="start"/>
                      <w:rPr>
                        <w:rStyle w:val="PageNumber"/>
                        <w:rFonts w:cs="B Nazanin"/>
                        <w:sz w:val="28"/>
                      </w:rPr>
                    </w:pPr>
                    <w:r>
                      <w:rPr>
                        <w:rStyle w:val="PageNumber"/>
                        <w:rFonts w:cs="B Nazanin"/>
                        <w:sz w:val="28"/>
                        <w:rtl w:val="true"/>
                      </w:rPr>
                      <w:fldChar w:fldCharType="begin"/>
                    </w:r>
                    <w:r>
                      <w:rPr>
                        <w:rStyle w:val="PageNumber"/>
                        <w:rFonts w:cs="B Nazanin"/>
                        <w:sz w:val="28"/>
                        <w:rtl w:val="true"/>
                      </w:rPr>
                      <w:instrText xml:space="preserve"> PAGE </w:instrText>
                    </w:r>
                    <w:r>
                      <w:rPr>
                        <w:rStyle w:val="PageNumber"/>
                        <w:rFonts w:cs="B Nazanin"/>
                        <w:sz w:val="28"/>
                        <w:rtl w:val="true"/>
                      </w:rPr>
                      <w:fldChar w:fldCharType="separate"/>
                    </w:r>
                    <w:r>
                      <w:rPr>
                        <w:rStyle w:val="PageNumber"/>
                        <w:rFonts w:cs="B Nazanin"/>
                        <w:sz w:val="28"/>
                        <w:rtl w:val="true"/>
                      </w:rPr>
                      <w:t>728</w:t>
                    </w:r>
                    <w:r>
                      <w:rPr>
                        <w:rStyle w:val="PageNumber"/>
                        <w:rFonts w:cs="B Nazanin"/>
                        <w:sz w:val="28"/>
                        <w:rtl w:val="true"/>
                      </w:rPr>
                      <w:fldChar w:fldCharType="end"/>
                    </w:r>
                  </w:p>
                </w:txbxContent>
              </v:textbox>
              <w10:wrap type="squar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294005" cy="281940"/>
              <wp:effectExtent l="0" t="0" r="0" b="0"/>
              <wp:wrapSquare wrapText="bothSides"/>
              <wp:docPr id="6" name="Frame8"/>
              <a:graphic xmlns:a="http://schemas.openxmlformats.org/drawingml/2006/main">
                <a:graphicData uri="http://schemas.microsoft.com/office/word/2010/wordprocessingShape">
                  <wps:wsp>
                    <wps:cNvSpPr txBox="1"/>
                    <wps:spPr>
                      <a:xfrm>
                        <a:off x="0" y="0"/>
                        <a:ext cx="294005" cy="281940"/>
                      </a:xfrm>
                      <a:prstGeom prst="rect"/>
                      <a:solidFill>
                        <a:srgbClr val="FFFFFF">
                          <a:alpha val="0"/>
                        </a:srgbClr>
                      </a:solidFill>
                    </wps:spPr>
                    <wps:txbx>
                      <w:txbxContent>
                        <w:p>
                          <w:pPr>
                            <w:pStyle w:val="Footer"/>
                            <w:ind w:end="0"/>
                            <w:jc w:val="start"/>
                            <w:rPr>
                              <w:rStyle w:val="PageNumber"/>
                              <w:rFonts w:cs="B Nazanin"/>
                              <w:sz w:val="28"/>
                            </w:rPr>
                          </w:pPr>
                          <w:r>
                            <w:rPr>
                              <w:rStyle w:val="PageNumber"/>
                              <w:rFonts w:cs="B Nazanin"/>
                              <w:sz w:val="28"/>
                              <w:rtl w:val="true"/>
                            </w:rPr>
                            <w:fldChar w:fldCharType="begin"/>
                          </w:r>
                          <w:r>
                            <w:rPr>
                              <w:rStyle w:val="PageNumber"/>
                              <w:rFonts w:cs="B Nazanin"/>
                              <w:sz w:val="28"/>
                              <w:rtl w:val="true"/>
                            </w:rPr>
                            <w:instrText xml:space="preserve"> PAGE </w:instrText>
                          </w:r>
                          <w:r>
                            <w:rPr>
                              <w:rStyle w:val="PageNumber"/>
                              <w:rFonts w:cs="B Nazanin"/>
                              <w:sz w:val="28"/>
                              <w:rtl w:val="true"/>
                            </w:rPr>
                            <w:fldChar w:fldCharType="separate"/>
                          </w:r>
                          <w:r>
                            <w:rPr>
                              <w:rStyle w:val="PageNumber"/>
                              <w:rFonts w:cs="B Nazanin"/>
                              <w:sz w:val="28"/>
                              <w:rtl w:val="true"/>
                            </w:rPr>
                            <w:t>735</w:t>
                          </w:r>
                          <w:r>
                            <w:rPr>
                              <w:rStyle w:val="PageNumber"/>
                              <w:rFonts w:cs="B Nazanin"/>
                              <w:sz w:val="28"/>
                              <w:rtl w:val="true"/>
                            </w:rPr>
                            <w:fldChar w:fldCharType="end"/>
                          </w:r>
                        </w:p>
                      </w:txbxContent>
                    </wps:txbx>
                    <wps:bodyPr anchor="t" lIns="0" tIns="0" rIns="0" bIns="0">
                      <a:noAutofit/>
                    </wps:bodyPr>
                  </wps:wsp>
                </a:graphicData>
              </a:graphic>
            </wp:anchor>
          </w:drawing>
        </mc:Choice>
        <mc:Fallback>
          <w:pict>
            <v:rect fillcolor="#FFFFFF" style="position:absolute;rotation:-0;width:23.15pt;height:22.2pt;mso-wrap-distance-left:0pt;mso-wrap-distance-right:0pt;mso-wrap-distance-top:0pt;mso-wrap-distance-bottom:0pt;margin-top:0.05pt;mso-position-vertical-relative:text;margin-left:201.05pt;mso-position-horizontal:center;mso-position-horizontal-relative:text">
              <v:fill opacity="0f"/>
              <v:textbox inset="0in,0in,0in,0in">
                <w:txbxContent>
                  <w:p>
                    <w:pPr>
                      <w:pStyle w:val="Footer"/>
                      <w:ind w:end="0"/>
                      <w:jc w:val="start"/>
                      <w:rPr>
                        <w:rStyle w:val="PageNumber"/>
                        <w:rFonts w:cs="B Nazanin"/>
                        <w:sz w:val="28"/>
                      </w:rPr>
                    </w:pPr>
                    <w:r>
                      <w:rPr>
                        <w:rStyle w:val="PageNumber"/>
                        <w:rFonts w:cs="B Nazanin"/>
                        <w:sz w:val="28"/>
                        <w:rtl w:val="true"/>
                      </w:rPr>
                      <w:fldChar w:fldCharType="begin"/>
                    </w:r>
                    <w:r>
                      <w:rPr>
                        <w:rStyle w:val="PageNumber"/>
                        <w:rFonts w:cs="B Nazanin"/>
                        <w:sz w:val="28"/>
                        <w:rtl w:val="true"/>
                      </w:rPr>
                      <w:instrText xml:space="preserve"> PAGE </w:instrText>
                    </w:r>
                    <w:r>
                      <w:rPr>
                        <w:rStyle w:val="PageNumber"/>
                        <w:rFonts w:cs="B Nazanin"/>
                        <w:sz w:val="28"/>
                        <w:rtl w:val="true"/>
                      </w:rPr>
                      <w:fldChar w:fldCharType="separate"/>
                    </w:r>
                    <w:r>
                      <w:rPr>
                        <w:rStyle w:val="PageNumber"/>
                        <w:rFonts w:cs="B Nazanin"/>
                        <w:sz w:val="28"/>
                        <w:rtl w:val="true"/>
                      </w:rPr>
                      <w:t>735</w:t>
                    </w:r>
                    <w:r>
                      <w:rPr>
                        <w:rStyle w:val="PageNumber"/>
                        <w:rFonts w:cs="B Nazanin"/>
                        <w:sz w:val="28"/>
                        <w:rtl w:val="true"/>
                      </w:rPr>
                      <w:fldChar w:fldCharType="end"/>
                    </w:r>
                  </w:p>
                </w:txbxContent>
              </v:textbox>
              <w10:wrap type="squar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284480" cy="281940"/>
              <wp:effectExtent l="0" t="0" r="0" b="0"/>
              <wp:wrapSquare wrapText="bothSides"/>
              <wp:docPr id="7" name="Frame9"/>
              <a:graphic xmlns:a="http://schemas.openxmlformats.org/drawingml/2006/main">
                <a:graphicData uri="http://schemas.microsoft.com/office/word/2010/wordprocessingShape">
                  <wps:wsp>
                    <wps:cNvSpPr txBox="1"/>
                    <wps:spPr>
                      <a:xfrm>
                        <a:off x="0" y="0"/>
                        <a:ext cx="284480" cy="281940"/>
                      </a:xfrm>
                      <a:prstGeom prst="rect"/>
                      <a:solidFill>
                        <a:srgbClr val="FFFFFF">
                          <a:alpha val="0"/>
                        </a:srgbClr>
                      </a:solidFill>
                    </wps:spPr>
                    <wps:txbx>
                      <w:txbxContent>
                        <w:p>
                          <w:pPr>
                            <w:pStyle w:val="Footer"/>
                            <w:ind w:end="0"/>
                            <w:jc w:val="start"/>
                            <w:rPr>
                              <w:rStyle w:val="PageNumber"/>
                              <w:rFonts w:cs="B Nazanin"/>
                              <w:sz w:val="28"/>
                            </w:rPr>
                          </w:pPr>
                          <w:r>
                            <w:rPr>
                              <w:rStyle w:val="PageNumber"/>
                              <w:rFonts w:cs="B Nazanin"/>
                              <w:sz w:val="28"/>
                              <w:rtl w:val="true"/>
                            </w:rPr>
                            <w:fldChar w:fldCharType="begin"/>
                          </w:r>
                          <w:r>
                            <w:rPr>
                              <w:rStyle w:val="PageNumber"/>
                              <w:rFonts w:cs="B Nazanin"/>
                              <w:sz w:val="28"/>
                              <w:rtl w:val="true"/>
                            </w:rPr>
                            <w:instrText xml:space="preserve"> PAGE </w:instrText>
                          </w:r>
                          <w:r>
                            <w:rPr>
                              <w:rStyle w:val="PageNumber"/>
                              <w:rFonts w:cs="B Nazanin"/>
                              <w:sz w:val="28"/>
                              <w:rtl w:val="true"/>
                            </w:rPr>
                            <w:fldChar w:fldCharType="separate"/>
                          </w:r>
                          <w:r>
                            <w:rPr>
                              <w:rStyle w:val="PageNumber"/>
                              <w:rFonts w:cs="B Nazanin"/>
                              <w:sz w:val="28"/>
                              <w:rtl w:val="true"/>
                            </w:rPr>
                            <w:t>739</w:t>
                          </w:r>
                          <w:r>
                            <w:rPr>
                              <w:rStyle w:val="PageNumber"/>
                              <w:rFonts w:cs="B Nazanin"/>
                              <w:sz w:val="28"/>
                              <w:rtl w:val="true"/>
                            </w:rPr>
                            <w:fldChar w:fldCharType="end"/>
                          </w:r>
                        </w:p>
                      </w:txbxContent>
                    </wps:txbx>
                    <wps:bodyPr anchor="t" lIns="0" tIns="0" rIns="0" bIns="0">
                      <a:noAutofit/>
                    </wps:bodyPr>
                  </wps:wsp>
                </a:graphicData>
              </a:graphic>
            </wp:anchor>
          </w:drawing>
        </mc:Choice>
        <mc:Fallback>
          <w:pict>
            <v:rect fillcolor="#FFFFFF" style="position:absolute;rotation:-0;width:22.4pt;height:22.2pt;mso-wrap-distance-left:0pt;mso-wrap-distance-right:0pt;mso-wrap-distance-top:0pt;mso-wrap-distance-bottom:0pt;margin-top:0.05pt;mso-position-vertical-relative:text;margin-left:201.4pt;mso-position-horizontal:center;mso-position-horizontal-relative:text">
              <v:fill opacity="0f"/>
              <v:textbox inset="0in,0in,0in,0in">
                <w:txbxContent>
                  <w:p>
                    <w:pPr>
                      <w:pStyle w:val="Footer"/>
                      <w:ind w:end="0"/>
                      <w:jc w:val="start"/>
                      <w:rPr>
                        <w:rStyle w:val="PageNumber"/>
                        <w:rFonts w:cs="B Nazanin"/>
                        <w:sz w:val="28"/>
                      </w:rPr>
                    </w:pPr>
                    <w:r>
                      <w:rPr>
                        <w:rStyle w:val="PageNumber"/>
                        <w:rFonts w:cs="B Nazanin"/>
                        <w:sz w:val="28"/>
                        <w:rtl w:val="true"/>
                      </w:rPr>
                      <w:fldChar w:fldCharType="begin"/>
                    </w:r>
                    <w:r>
                      <w:rPr>
                        <w:rStyle w:val="PageNumber"/>
                        <w:rFonts w:cs="B Nazanin"/>
                        <w:sz w:val="28"/>
                        <w:rtl w:val="true"/>
                      </w:rPr>
                      <w:instrText xml:space="preserve"> PAGE </w:instrText>
                    </w:r>
                    <w:r>
                      <w:rPr>
                        <w:rStyle w:val="PageNumber"/>
                        <w:rFonts w:cs="B Nazanin"/>
                        <w:sz w:val="28"/>
                        <w:rtl w:val="true"/>
                      </w:rPr>
                      <w:fldChar w:fldCharType="separate"/>
                    </w:r>
                    <w:r>
                      <w:rPr>
                        <w:rStyle w:val="PageNumber"/>
                        <w:rFonts w:cs="B Nazanin"/>
                        <w:sz w:val="28"/>
                        <w:rtl w:val="true"/>
                      </w:rPr>
                      <w:t>739</w:t>
                    </w:r>
                    <w:r>
                      <w:rPr>
                        <w:rStyle w:val="PageNumber"/>
                        <w:rFonts w:cs="B Nazanin"/>
                        <w:sz w:val="28"/>
                        <w:rtl w:val="true"/>
                      </w:rPr>
                      <w:fldChar w:fldCharType="end"/>
                    </w:r>
                  </w:p>
                </w:txbxContent>
              </v:textbox>
              <w10:wrap type="squar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287655" cy="281940"/>
              <wp:effectExtent l="0" t="0" r="0" b="0"/>
              <wp:wrapSquare wrapText="bothSides"/>
              <wp:docPr id="8" name="Frame10"/>
              <a:graphic xmlns:a="http://schemas.openxmlformats.org/drawingml/2006/main">
                <a:graphicData uri="http://schemas.microsoft.com/office/word/2010/wordprocessingShape">
                  <wps:wsp>
                    <wps:cNvSpPr txBox="1"/>
                    <wps:spPr>
                      <a:xfrm>
                        <a:off x="0" y="0"/>
                        <a:ext cx="287655" cy="281940"/>
                      </a:xfrm>
                      <a:prstGeom prst="rect"/>
                      <a:solidFill>
                        <a:srgbClr val="FFFFFF">
                          <a:alpha val="0"/>
                        </a:srgbClr>
                      </a:solidFill>
                    </wps:spPr>
                    <wps:txbx>
                      <w:txbxContent>
                        <w:p>
                          <w:pPr>
                            <w:pStyle w:val="Footer"/>
                            <w:ind w:end="0"/>
                            <w:jc w:val="start"/>
                            <w:rPr>
                              <w:rStyle w:val="PageNumber"/>
                              <w:rFonts w:cs="B Nazanin"/>
                              <w:sz w:val="28"/>
                            </w:rPr>
                          </w:pPr>
                          <w:r>
                            <w:rPr>
                              <w:rStyle w:val="PageNumber"/>
                              <w:rFonts w:cs="B Nazanin"/>
                              <w:sz w:val="28"/>
                              <w:rtl w:val="true"/>
                            </w:rPr>
                            <w:fldChar w:fldCharType="begin"/>
                          </w:r>
                          <w:r>
                            <w:rPr>
                              <w:rStyle w:val="PageNumber"/>
                              <w:rFonts w:cs="B Nazanin"/>
                              <w:sz w:val="28"/>
                              <w:rtl w:val="true"/>
                            </w:rPr>
                            <w:instrText xml:space="preserve"> PAGE </w:instrText>
                          </w:r>
                          <w:r>
                            <w:rPr>
                              <w:rStyle w:val="PageNumber"/>
                              <w:rFonts w:cs="B Nazanin"/>
                              <w:sz w:val="28"/>
                              <w:rtl w:val="true"/>
                            </w:rPr>
                            <w:fldChar w:fldCharType="separate"/>
                          </w:r>
                          <w:r>
                            <w:rPr>
                              <w:rStyle w:val="PageNumber"/>
                              <w:rFonts w:cs="B Nazanin"/>
                              <w:sz w:val="28"/>
                              <w:rtl w:val="true"/>
                            </w:rPr>
                            <w:t>743</w:t>
                          </w:r>
                          <w:r>
                            <w:rPr>
                              <w:rStyle w:val="PageNumber"/>
                              <w:rFonts w:cs="B Nazanin"/>
                              <w:sz w:val="28"/>
                              <w:rtl w:val="true"/>
                            </w:rPr>
                            <w:fldChar w:fldCharType="end"/>
                          </w:r>
                        </w:p>
                      </w:txbxContent>
                    </wps:txbx>
                    <wps:bodyPr anchor="t" lIns="0" tIns="0" rIns="0" bIns="0">
                      <a:noAutofit/>
                    </wps:bodyPr>
                  </wps:wsp>
                </a:graphicData>
              </a:graphic>
            </wp:anchor>
          </w:drawing>
        </mc:Choice>
        <mc:Fallback>
          <w:pict>
            <v:rect fillcolor="#FFFFFF" style="position:absolute;rotation:-0;width:22.65pt;height:22.2pt;mso-wrap-distance-left:0pt;mso-wrap-distance-right:0pt;mso-wrap-distance-top:0pt;mso-wrap-distance-bottom:0pt;margin-top:0.05pt;mso-position-vertical-relative:text;margin-left:209.65pt;mso-position-horizontal:center;mso-position-horizontal-relative:text">
              <v:fill opacity="0f"/>
              <v:textbox inset="0in,0in,0in,0in">
                <w:txbxContent>
                  <w:p>
                    <w:pPr>
                      <w:pStyle w:val="Footer"/>
                      <w:ind w:end="0"/>
                      <w:jc w:val="start"/>
                      <w:rPr>
                        <w:rStyle w:val="PageNumber"/>
                        <w:rFonts w:cs="B Nazanin"/>
                        <w:sz w:val="28"/>
                      </w:rPr>
                    </w:pPr>
                    <w:r>
                      <w:rPr>
                        <w:rStyle w:val="PageNumber"/>
                        <w:rFonts w:cs="B Nazanin"/>
                        <w:sz w:val="28"/>
                        <w:rtl w:val="true"/>
                      </w:rPr>
                      <w:fldChar w:fldCharType="begin"/>
                    </w:r>
                    <w:r>
                      <w:rPr>
                        <w:rStyle w:val="PageNumber"/>
                        <w:rFonts w:cs="B Nazanin"/>
                        <w:sz w:val="28"/>
                        <w:rtl w:val="true"/>
                      </w:rPr>
                      <w:instrText xml:space="preserve"> PAGE </w:instrText>
                    </w:r>
                    <w:r>
                      <w:rPr>
                        <w:rStyle w:val="PageNumber"/>
                        <w:rFonts w:cs="B Nazanin"/>
                        <w:sz w:val="28"/>
                        <w:rtl w:val="true"/>
                      </w:rPr>
                      <w:fldChar w:fldCharType="separate"/>
                    </w:r>
                    <w:r>
                      <w:rPr>
                        <w:rStyle w:val="PageNumber"/>
                        <w:rFonts w:cs="B Nazanin"/>
                        <w:sz w:val="28"/>
                        <w:rtl w:val="true"/>
                      </w:rPr>
                      <w:t>743</w:t>
                    </w:r>
                    <w:r>
                      <w:rPr>
                        <w:rStyle w:val="PageNumber"/>
                        <w:rFonts w:cs="B Nazanin"/>
                        <w:sz w:val="28"/>
                        <w:rtl w:val="true"/>
                      </w:rPr>
                      <w:fldChar w:fldCharType="end"/>
                    </w:r>
                  </w:p>
                </w:txbxContent>
              </v:textbox>
              <w10:wrap type="squar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rFonts w:hint="cs"/>
        <w:sz w:val="24"/>
        <w:szCs w:val="22"/>
      </w:rPr>
    </w:pPr>
    <w:r>
      <w:rPr>
        <w:rFonts w:hint="cs"/>
        <w:sz w:val="24"/>
        <w:szCs w:val="22"/>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ind w:end="0"/>
      <w:jc w:val="center"/>
      <w:rPr>
        <w:rFonts w:cs="B Titr"/>
        <w:b/>
        <w:szCs w:val="24"/>
      </w:rPr>
    </w:pPr>
    <w:r>
      <w:rPr>
        <w:rFonts w:cs="B Titr"/>
        <w:b/>
        <w:b/>
        <w:szCs w:val="24"/>
        <w:rtl w:val="true"/>
      </w:rPr>
      <w:t xml:space="preserve">استاندارد حسابداري شماره </w:t>
    </w:r>
    <w:r>
      <w:rPr>
        <w:rFonts w:cs="B Titr"/>
        <w:b/>
        <w:szCs w:val="24"/>
      </w:rPr>
      <w:t>31</w:t>
    </w:r>
  </w:p>
  <w:p>
    <w:pPr>
      <w:pStyle w:val="Header"/>
      <w:spacing w:before="0" w:after="60"/>
      <w:ind w:end="0"/>
      <w:jc w:val="center"/>
      <w:rPr>
        <w:rFonts w:cs="B Titr"/>
        <w:b/>
        <w:szCs w:val="24"/>
      </w:rPr>
    </w:pPr>
    <w:r>
      <w:rPr>
        <w:rFonts w:cs="B Titr"/>
        <w:b/>
        <w:b/>
        <w:szCs w:val="24"/>
        <w:rtl w:val="true"/>
      </w:rPr>
      <w:t>داراييهاي غيرجاري نگهداري شده براي فروش و عمليات متوقف شده</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center"/>
      <w:rPr>
        <w:rFonts w:cs="B Titr" w:hint="cs"/>
        <w:b/>
        <w:szCs w:val="24"/>
      </w:rPr>
    </w:pPr>
    <w:r>
      <w:rPr>
        <w:rFonts w:hint="cs" w:cs="B Titr"/>
        <w:b/>
        <w:b/>
        <w:szCs w:val="24"/>
        <w:rtl w:val="true"/>
      </w:rPr>
      <w:t>استاندارد حسابداري</w:t>
    </w:r>
    <w:r>
      <w:rPr>
        <w:rFonts w:hint="eastAsia" w:cs="B Titr"/>
        <w:b/>
        <w:b/>
        <w:szCs w:val="24"/>
        <w:rtl w:val="true"/>
      </w:rPr>
      <w:t xml:space="preserve"> شماره </w:t>
    </w:r>
    <w:r>
      <w:rPr>
        <w:rFonts w:cs="B Titr" w:hint="cs"/>
        <w:b/>
        <w:szCs w:val="24"/>
      </w:rPr>
      <w:t>31</w:t>
    </w:r>
  </w:p>
  <w:p>
    <w:pPr>
      <w:pStyle w:val="Header"/>
      <w:ind w:end="0"/>
      <w:jc w:val="center"/>
      <w:rPr>
        <w:rFonts w:cs="B Titr" w:hint="cs"/>
        <w:b/>
        <w:szCs w:val="24"/>
      </w:rPr>
    </w:pPr>
    <w:r>
      <w:rPr>
        <w:rFonts w:hint="eastAsia" w:cs="B Titr"/>
        <w:b/>
        <w:b/>
        <w:szCs w:val="24"/>
        <w:rtl w:val="true"/>
      </w:rPr>
      <w:t>داراييهاي غيرجاري نگهداري شده براي فروش و عمليات متوقف شده</w:t>
    </w:r>
  </w:p>
  <w:p>
    <w:pPr>
      <w:pStyle w:val="Header"/>
      <w:ind w:end="0"/>
      <w:jc w:val="center"/>
      <w:rPr>
        <w:rFonts w:cs="B Zar" w:hint="cs"/>
        <w:b/>
        <w:szCs w:val="24"/>
      </w:rPr>
    </w:pPr>
    <w:r>
      <w:rPr>
        <w:rFonts w:cs="B Zar"/>
        <w:b/>
        <w:b/>
        <w:szCs w:val="24"/>
        <w:rtl w:val="true"/>
      </w:rPr>
      <w:t xml:space="preserve">پيوست شماره </w:t>
    </w:r>
    <w:r>
      <w:rPr>
        <w:rFonts w:cs="B Zar"/>
        <w:b/>
        <w:szCs w:val="24"/>
      </w:rPr>
      <w:t>1</w:t>
    </w:r>
    <w:r>
      <w:rPr>
        <w:rFonts w:cs="B Zar" w:hint="cs"/>
        <w:b/>
        <w:szCs w:val="24"/>
        <w:rtl w:val="true"/>
      </w:rPr>
      <w:t xml:space="preserve"> (</w:t>
    </w:r>
    <w:r>
      <w:rPr>
        <w:rFonts w:hint="cs" w:cs="B Zar"/>
        <w:b/>
        <w:b/>
        <w:szCs w:val="24"/>
        <w:rtl w:val="true"/>
      </w:rPr>
      <w:t>ادامه</w:t>
    </w:r>
    <w:r>
      <w:rPr>
        <w:rFonts w:cs="B Zar" w:hint="cs"/>
        <w:b/>
        <w:szCs w:val="24"/>
        <w:rtl w:val="true"/>
      </w:rPr>
      <w:t>)</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rePageOne"/>
      <w:ind w:end="0"/>
      <w:jc w:val="center"/>
      <w:rPr>
        <w:rFonts w:hint="cs"/>
        <w:sz w:val="26"/>
        <w:szCs w:val="24"/>
      </w:rPr>
    </w:pPr>
    <w:r>
      <w:rPr>
        <w:rFonts w:hint="cs"/>
        <w:sz w:val="26"/>
        <w:szCs w:val="24"/>
        <w:rtl w:val="true"/>
      </w:rPr>
      <w:t xml:space="preserve">استاندارد حسابداري </w:t>
    </w:r>
    <w:r>
      <w:rPr>
        <w:rFonts w:hint="eastAsia"/>
        <w:sz w:val="26"/>
        <w:szCs w:val="24"/>
        <w:rtl w:val="true"/>
      </w:rPr>
      <w:t xml:space="preserve">شماره </w:t>
    </w:r>
    <w:r>
      <w:rPr>
        <w:rFonts w:hint="cs"/>
        <w:sz w:val="26"/>
        <w:szCs w:val="24"/>
      </w:rPr>
      <w:t>31</w:t>
    </w:r>
  </w:p>
  <w:p>
    <w:pPr>
      <w:pStyle w:val="TitrePageOne"/>
      <w:spacing w:before="0" w:after="60"/>
      <w:ind w:end="0"/>
      <w:jc w:val="center"/>
      <w:rPr>
        <w:sz w:val="26"/>
        <w:szCs w:val="24"/>
      </w:rPr>
    </w:pPr>
    <w:r>
      <w:rPr>
        <w:rFonts w:hint="cs"/>
        <w:sz w:val="26"/>
        <w:szCs w:val="24"/>
        <w:rtl w:val="true"/>
      </w:rPr>
      <w:t>داراييهاي غيرجاري نگهداري شده براي فروش و عمليات متوقف شده</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rePageOne"/>
      <w:ind w:end="0"/>
      <w:jc w:val="center"/>
      <w:rPr>
        <w:sz w:val="24"/>
        <w:szCs w:val="24"/>
      </w:rPr>
    </w:pPr>
    <w:r>
      <w:rPr>
        <w:sz w:val="24"/>
        <w:szCs w:val="24"/>
        <w:rtl w:val="true"/>
      </w:rPr>
      <w:t xml:space="preserve">استاندارد حسابداري شماره </w:t>
    </w:r>
    <w:r>
      <w:rPr>
        <w:sz w:val="24"/>
        <w:szCs w:val="24"/>
      </w:rPr>
      <w:t>31</w:t>
    </w:r>
  </w:p>
  <w:p>
    <w:pPr>
      <w:pStyle w:val="TitrePageOne"/>
      <w:spacing w:before="0" w:after="60"/>
      <w:ind w:end="0"/>
      <w:jc w:val="center"/>
      <w:rPr>
        <w:sz w:val="24"/>
        <w:szCs w:val="24"/>
      </w:rPr>
    </w:pPr>
    <w:r>
      <w:rPr>
        <w:sz w:val="24"/>
        <w:szCs w:val="24"/>
        <w:rtl w:val="true"/>
      </w:rPr>
      <w:t>داراييهاي غيرجاري نگهداري شده براي فروش و عمليات متوقف شده</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ind w:end="0"/>
      <w:jc w:val="center"/>
      <w:rPr>
        <w:rFonts w:cs="B Titr"/>
        <w:sz w:val="24"/>
        <w:szCs w:val="24"/>
      </w:rPr>
    </w:pPr>
    <w:r>
      <w:rPr>
        <w:rFonts w:cs="B Titr"/>
        <w:sz w:val="24"/>
        <w:szCs w:val="24"/>
        <w:rtl w:val="true"/>
      </w:rPr>
      <w:t xml:space="preserve">استاندارد حسابداری شماره </w:t>
    </w:r>
    <w:r>
      <w:rPr>
        <w:rFonts w:cs="B Titr"/>
        <w:sz w:val="24"/>
        <w:szCs w:val="24"/>
      </w:rPr>
      <w:t>31</w:t>
    </w:r>
  </w:p>
  <w:p>
    <w:pPr>
      <w:pStyle w:val="Header"/>
      <w:spacing w:before="0" w:after="60"/>
      <w:ind w:end="0"/>
      <w:jc w:val="center"/>
      <w:rPr>
        <w:rFonts w:cs="B Titr"/>
        <w:sz w:val="24"/>
        <w:szCs w:val="24"/>
      </w:rPr>
    </w:pPr>
    <w:r>
      <w:rPr>
        <w:rFonts w:cs="B Titr"/>
        <w:sz w:val="24"/>
        <w:szCs w:val="24"/>
        <w:rtl w:val="true"/>
      </w:rPr>
      <w:t>داراييهاي غيرجاري نگهداري شده براي فروش و عمليات متوقف شده</w:t>
    </w:r>
  </w:p>
  <w:p>
    <w:pPr>
      <w:pStyle w:val="Header"/>
      <w:spacing w:before="0" w:after="60"/>
      <w:ind w:end="0"/>
      <w:jc w:val="center"/>
      <w:rPr>
        <w:rFonts w:cs="B Zar" w:hint="cs"/>
        <w:sz w:val="24"/>
        <w:szCs w:val="24"/>
      </w:rPr>
    </w:pPr>
    <w:r>
      <w:rPr>
        <w:rFonts w:cs="B Zar"/>
        <w:sz w:val="24"/>
        <w:szCs w:val="24"/>
        <w:rtl w:val="true"/>
      </w:rPr>
      <w:t xml:space="preserve">پیوست شماره </w:t>
    </w:r>
    <w:r>
      <w:rPr>
        <w:rFonts w:cs="B Zar" w:hint="cs"/>
        <w:sz w:val="24"/>
        <w:szCs w:val="24"/>
      </w:rPr>
      <w:t>2</w:t>
    </w:r>
    <w:r>
      <w:rPr>
        <w:rFonts w:cs="B Zar"/>
        <w:sz w:val="24"/>
        <w:szCs w:val="24"/>
        <w:rtl w:val="true"/>
      </w:rPr>
      <w:t xml:space="preserve"> </w:t>
    </w:r>
    <w:r>
      <w:rPr>
        <w:rFonts w:cs="B Zar" w:hint="cs"/>
        <w:sz w:val="24"/>
        <w:szCs w:val="24"/>
        <w:rtl w:val="true"/>
      </w:rPr>
      <w:t>(</w:t>
    </w:r>
    <w:r>
      <w:rPr>
        <w:rFonts w:hint="cs" w:cs="B Zar"/>
        <w:sz w:val="24"/>
        <w:szCs w:val="24"/>
        <w:rtl w:val="true"/>
      </w:rPr>
      <w:t>ادامه</w:t>
    </w:r>
    <w:r>
      <w:rPr>
        <w:rFonts w:cs="B Zar" w:hint="cs"/>
        <w:sz w:val="24"/>
        <w:szCs w:val="24"/>
        <w:rtl w:val="true"/>
      </w:rPr>
      <w:t>)</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rePageOne"/>
      <w:ind w:end="0"/>
      <w:jc w:val="center"/>
      <w:rPr>
        <w:sz w:val="24"/>
        <w:szCs w:val="24"/>
      </w:rPr>
    </w:pPr>
    <w:r>
      <w:rPr>
        <w:sz w:val="24"/>
        <w:szCs w:val="24"/>
        <w:rtl w:val="true"/>
      </w:rPr>
      <w:t xml:space="preserve">استاندارد حسابداری شماره </w:t>
    </w:r>
    <w:r>
      <w:rPr>
        <w:sz w:val="24"/>
        <w:szCs w:val="24"/>
      </w:rPr>
      <w:t>31</w:t>
    </w:r>
  </w:p>
  <w:p>
    <w:pPr>
      <w:pStyle w:val="TitrePageOne"/>
      <w:spacing w:before="0" w:after="60"/>
      <w:ind w:end="0"/>
      <w:jc w:val="center"/>
      <w:rPr>
        <w:sz w:val="24"/>
        <w:szCs w:val="24"/>
      </w:rPr>
    </w:pPr>
    <w:r>
      <w:rPr>
        <w:sz w:val="24"/>
        <w:szCs w:val="24"/>
        <w:rtl w:val="true"/>
      </w:rPr>
      <w:t>داراييهاي غيرجاري نگهداري شده براي فروش و عمليات متوقف شده</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rePageOne"/>
      <w:ind w:end="0"/>
      <w:jc w:val="center"/>
      <w:rPr>
        <w:sz w:val="24"/>
        <w:szCs w:val="24"/>
      </w:rPr>
    </w:pPr>
    <w:r>
      <w:rPr>
        <w:sz w:val="24"/>
        <w:szCs w:val="24"/>
        <w:rtl w:val="true"/>
      </w:rPr>
      <w:t xml:space="preserve">استاندارد حسابداری شماره </w:t>
    </w:r>
    <w:r>
      <w:rPr>
        <w:sz w:val="24"/>
        <w:szCs w:val="24"/>
      </w:rPr>
      <w:t>31</w:t>
    </w:r>
  </w:p>
  <w:p>
    <w:pPr>
      <w:pStyle w:val="TitrePageOne"/>
      <w:ind w:end="0"/>
      <w:jc w:val="center"/>
      <w:rPr>
        <w:sz w:val="24"/>
        <w:szCs w:val="24"/>
      </w:rPr>
    </w:pPr>
    <w:r>
      <w:rPr>
        <w:sz w:val="24"/>
        <w:szCs w:val="24"/>
        <w:rtl w:val="true"/>
      </w:rPr>
      <w:t>داراييهاي غيرجاري نگهداري شده براي فروش و عمليات متوقف شده</w:t>
    </w:r>
  </w:p>
  <w:p>
    <w:pPr>
      <w:pStyle w:val="Header"/>
      <w:spacing w:before="0" w:after="60"/>
      <w:ind w:end="0"/>
      <w:jc w:val="center"/>
      <w:rPr>
        <w:rFonts w:cs="B Zar" w:hint="cs"/>
        <w:sz w:val="24"/>
        <w:szCs w:val="24"/>
      </w:rPr>
    </w:pPr>
    <w:r>
      <w:rPr>
        <w:rFonts w:cs="B Zar"/>
        <w:sz w:val="24"/>
        <w:szCs w:val="24"/>
        <w:rtl w:val="true"/>
      </w:rPr>
      <w:t xml:space="preserve">پیوست شماره </w:t>
    </w:r>
    <w:r>
      <w:rPr>
        <w:rFonts w:cs="B Zar" w:hint="cs"/>
        <w:sz w:val="24"/>
        <w:szCs w:val="24"/>
      </w:rPr>
      <w:t>3</w:t>
    </w:r>
    <w:r>
      <w:rPr>
        <w:rFonts w:cs="B Zar"/>
        <w:sz w:val="24"/>
        <w:szCs w:val="24"/>
        <w:rtl w:val="true"/>
      </w:rPr>
      <w:t xml:space="preserve"> </w:t>
    </w:r>
    <w:r>
      <w:rPr>
        <w:rFonts w:cs="B Zar" w:hint="cs"/>
        <w:sz w:val="24"/>
        <w:szCs w:val="24"/>
        <w:rtl w:val="true"/>
      </w:rPr>
      <w:t>(</w:t>
    </w:r>
    <w:r>
      <w:rPr>
        <w:rFonts w:hint="cs" w:cs="B Zar"/>
        <w:sz w:val="24"/>
        <w:szCs w:val="24"/>
        <w:rtl w:val="true"/>
      </w:rPr>
      <w:t>ادامه</w:t>
    </w:r>
    <w:r>
      <w:rPr>
        <w:rFonts w:cs="B Zar" w:hint="cs"/>
        <w:sz w:val="24"/>
        <w:szCs w:val="24"/>
        <w:rtl w:val="true"/>
      </w:rPr>
      <w:t>)</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1492"/>
        </w:tabs>
        <w:ind w:start="1492" w:hanging="360"/>
      </w:pPr>
    </w:lvl>
  </w:abstractNum>
  <w:abstractNum w:abstractNumId="3">
    <w:lvl w:ilvl="0">
      <w:start w:val="1"/>
      <w:numFmt w:val="decimal"/>
      <w:lvlText w:val="%1."/>
      <w:lvlJc w:val="start"/>
      <w:pPr>
        <w:tabs>
          <w:tab w:val="num" w:pos="1209"/>
        </w:tabs>
        <w:ind w:start="1209" w:hanging="360"/>
      </w:pPr>
    </w:lvl>
  </w:abstractNum>
  <w:abstractNum w:abstractNumId="4">
    <w:lvl w:ilvl="0">
      <w:start w:val="1"/>
      <w:numFmt w:val="decimal"/>
      <w:lvlText w:val="%1."/>
      <w:lvlJc w:val="start"/>
      <w:pPr>
        <w:tabs>
          <w:tab w:val="num" w:pos="926"/>
        </w:tabs>
        <w:ind w:start="926" w:hanging="360"/>
      </w:pPr>
    </w:lvl>
  </w:abstractNum>
  <w:abstractNum w:abstractNumId="5">
    <w:lvl w:ilvl="0">
      <w:start w:val="1"/>
      <w:numFmt w:val="decimal"/>
      <w:lvlText w:val="%1."/>
      <w:lvlJc w:val="start"/>
      <w:pPr>
        <w:tabs>
          <w:tab w:val="num" w:pos="643"/>
        </w:tabs>
        <w:ind w:start="643" w:hanging="360"/>
      </w:pPr>
    </w:lvl>
  </w:abstractNum>
  <w:abstractNum w:abstractNumId="6">
    <w:lvl w:ilvl="0">
      <w:start w:val="1"/>
      <w:numFmt w:val="bullet"/>
      <w:lvlText w:val=""/>
      <w:lvlJc w:val="start"/>
      <w:pPr>
        <w:tabs>
          <w:tab w:val="num" w:pos="1492"/>
        </w:tabs>
        <w:ind w:start="1492" w:hanging="360"/>
      </w:pPr>
      <w:rPr>
        <w:rFonts w:ascii="Symbol" w:hAnsi="Symbol" w:cs="Symbol" w:hint="default"/>
      </w:rPr>
    </w:lvl>
  </w:abstractNum>
  <w:abstractNum w:abstractNumId="7">
    <w:lvl w:ilvl="0">
      <w:start w:val="1"/>
      <w:numFmt w:val="bullet"/>
      <w:lvlText w:val=""/>
      <w:lvlJc w:val="start"/>
      <w:pPr>
        <w:tabs>
          <w:tab w:val="num" w:pos="1209"/>
        </w:tabs>
        <w:ind w:start="1209" w:hanging="360"/>
      </w:pPr>
      <w:rPr>
        <w:rFonts w:ascii="Symbol" w:hAnsi="Symbol" w:cs="Symbol" w:hint="default"/>
      </w:rPr>
    </w:lvl>
  </w:abstractNum>
  <w:abstractNum w:abstractNumId="8">
    <w:lvl w:ilvl="0">
      <w:start w:val="1"/>
      <w:numFmt w:val="bullet"/>
      <w:lvlText w:val=""/>
      <w:lvlJc w:val="start"/>
      <w:pPr>
        <w:tabs>
          <w:tab w:val="num" w:pos="926"/>
        </w:tabs>
        <w:ind w:start="926" w:hanging="360"/>
      </w:pPr>
      <w:rPr>
        <w:rFonts w:ascii="Symbol" w:hAnsi="Symbol" w:cs="Symbol" w:hint="default"/>
      </w:rPr>
    </w:lvl>
  </w:abstractNum>
  <w:abstractNum w:abstractNumId="9">
    <w:lvl w:ilvl="0">
      <w:start w:val="1"/>
      <w:numFmt w:val="bullet"/>
      <w:lvlText w:val=""/>
      <w:lvlJc w:val="start"/>
      <w:pPr>
        <w:tabs>
          <w:tab w:val="num" w:pos="643"/>
        </w:tabs>
        <w:ind w:start="643" w:hanging="360"/>
      </w:pPr>
      <w:rPr>
        <w:rFonts w:ascii="Symbol" w:hAnsi="Symbol" w:cs="Symbol" w:hint="default"/>
      </w:rPr>
    </w:lvl>
  </w:abstractNum>
  <w:abstractNum w:abstractNumId="10">
    <w:lvl w:ilvl="0">
      <w:start w:val="1"/>
      <w:numFmt w:val="decimal"/>
      <w:lvlText w:val="%1."/>
      <w:lvlJc w:val="start"/>
      <w:pPr>
        <w:tabs>
          <w:tab w:val="num" w:pos="360"/>
        </w:tabs>
        <w:ind w:start="360" w:hanging="360"/>
      </w:pPr>
    </w:lvl>
  </w:abstractNum>
  <w:abstractNum w:abstractNumId="11">
    <w:lvl w:ilvl="0">
      <w:start w:val="1"/>
      <w:numFmt w:val="bullet"/>
      <w:lvlText w:val=""/>
      <w:lvlJc w:val="start"/>
      <w:pPr>
        <w:tabs>
          <w:tab w:val="num" w:pos="360"/>
        </w:tabs>
        <w:ind w:start="360" w:hanging="360"/>
      </w:pPr>
      <w:rPr>
        <w:rFonts w:ascii="Symbol" w:hAnsi="Symbol" w:cs="Symbol" w:hint="default"/>
      </w:rPr>
    </w:lvl>
  </w:abstractNum>
  <w:abstractNum w:abstractNumId="12">
    <w:lvl w:ilvl="0">
      <w:start w:val="1"/>
      <w:numFmt w:val="bullet"/>
      <w:lvlText w:val=""/>
      <w:lvlJc w:val="start"/>
      <w:pPr>
        <w:tabs>
          <w:tab w:val="num" w:pos="927"/>
        </w:tabs>
        <w:ind w:start="907" w:hanging="340"/>
      </w:pPr>
      <w:rPr>
        <w:rFonts w:ascii="Symbol" w:hAnsi="Symbol" w:cs="Symbol" w:hint="default"/>
        <w:sz w:val="20"/>
        <w:szCs w:val="20"/>
      </w:rPr>
    </w:lvl>
  </w:abstractNum>
  <w:abstractNum w:abstractNumId="13">
    <w:lvl w:ilvl="0">
      <w:start w:val="1"/>
      <w:numFmt w:val="bullet"/>
      <w:lvlText w:val=""/>
      <w:lvlJc w:val="start"/>
      <w:pPr>
        <w:tabs>
          <w:tab w:val="num" w:pos="927"/>
        </w:tabs>
        <w:ind w:start="907" w:hanging="340"/>
      </w:pPr>
      <w:rPr>
        <w:rFonts w:ascii="Symbol" w:hAnsi="Symbol" w:cs="Symbol" w:hint="default"/>
      </w:rPr>
    </w:lvl>
  </w:abstractNum>
  <w:abstractNum w:abstractNumId="14">
    <w:lvl w:ilvl="0">
      <w:start w:val="1"/>
      <w:numFmt w:val="bullet"/>
      <w:lvlText w:val=""/>
      <w:lvlJc w:val="start"/>
      <w:pPr>
        <w:tabs>
          <w:tab w:val="num" w:pos="284"/>
        </w:tabs>
        <w:ind w:start="284" w:hanging="284"/>
      </w:pPr>
      <w:rPr>
        <w:rFonts w:ascii="Symbol" w:hAnsi="Symbol" w:cs="Symbol" w:hint="default"/>
        <w:b/>
        <w:bCs/>
        <w:i w:val="false"/>
        <w:iCs w:val="false"/>
        <w:sz w:val="24"/>
        <w:szCs w:val="28"/>
      </w:rPr>
    </w:lvl>
  </w:abstractNum>
  <w:abstractNum w:abstractNumId="15">
    <w:lvl w:ilvl="0">
      <w:start w:val="1"/>
      <w:numFmt w:val="bullet"/>
      <w:lvlText w:val=""/>
      <w:lvlJc w:val="start"/>
      <w:pPr>
        <w:tabs>
          <w:tab w:val="num" w:pos="644"/>
        </w:tabs>
        <w:ind w:start="644" w:hanging="360"/>
      </w:pPr>
      <w:rPr>
        <w:rFonts w:ascii="Symbol" w:hAnsi="Symbol" w:cs="Symbol" w:hint="default"/>
        <w:b/>
        <w:bCs/>
        <w:i w:val="false"/>
        <w:iCs w:val="false"/>
        <w:sz w:val="24"/>
        <w:szCs w:val="24"/>
      </w:rPr>
    </w:lvl>
  </w:abstractNum>
  <w:abstractNum w:abstractNumId="16">
    <w:lvl w:ilvl="0">
      <w:start w:val="1"/>
      <w:numFmt w:val="bullet"/>
      <w:lvlText w:val=""/>
      <w:lvlJc w:val="start"/>
      <w:pPr>
        <w:tabs>
          <w:tab w:val="num" w:pos="927"/>
        </w:tabs>
        <w:ind w:start="907" w:hanging="340"/>
      </w:pPr>
      <w:rPr>
        <w:rFonts w:ascii="Symbol" w:hAnsi="Symbol" w:cs="Symbol" w:hint="default"/>
        <w:sz w:val="20"/>
        <w:szCs w:val="20"/>
      </w:rPr>
    </w:lvl>
  </w:abstractNum>
  <w:abstractNum w:abstractNumId="17">
    <w:lvl w:ilvl="0">
      <w:start w:val="1"/>
      <w:numFmt w:val="bullet"/>
      <w:lvlText w:val=""/>
      <w:lvlJc w:val="start"/>
      <w:pPr>
        <w:tabs>
          <w:tab w:val="num" w:pos="851"/>
        </w:tabs>
        <w:ind w:start="851" w:hanging="284"/>
      </w:pPr>
      <w:rPr>
        <w:rFonts w:ascii="Symbol" w:hAnsi="Symbol" w:cs="Symbol" w:hint="default"/>
        <w:b/>
        <w:bCs w:val="false"/>
        <w:sz w:val="24"/>
      </w:rPr>
    </w:lvl>
  </w:abstractNum>
  <w:abstractNum w:abstractNumId="18">
    <w:lvl w:ilvl="0">
      <w:start w:val="1"/>
      <w:numFmt w:val="bullet"/>
      <w:lvlText w:val=""/>
      <w:lvlJc w:val="start"/>
      <w:pPr>
        <w:tabs>
          <w:tab w:val="num" w:pos="1494"/>
        </w:tabs>
        <w:ind w:start="1474" w:hanging="340"/>
      </w:pPr>
      <w:rPr>
        <w:rFonts w:ascii="Symbol" w:hAnsi="Symbol" w:cs="Symbol" w:hint="default"/>
        <w:sz w:val="20"/>
        <w:szCs w:val="20"/>
      </w:rPr>
    </w:lvl>
  </w:abstractNum>
  <w:abstractNum w:abstractNumId="19">
    <w:lvl w:ilvl="0">
      <w:start w:val="1"/>
      <w:numFmt w:val="bullet"/>
      <w:lvlText w:val=""/>
      <w:lvlJc w:val="start"/>
      <w:pPr>
        <w:tabs>
          <w:tab w:val="num" w:pos="964"/>
        </w:tabs>
        <w:ind w:start="964" w:hanging="397"/>
      </w:pPr>
      <w:rPr>
        <w:rFonts w:ascii="Symbol" w:hAnsi="Symbol" w:cs="Symbol" w:hint="default"/>
        <w:color w:val="000000"/>
      </w:rPr>
    </w:lvl>
  </w:abstractNum>
  <w:abstractNum w:abstractNumId="20">
    <w:lvl w:ilvl="0">
      <w:start w:val="1"/>
      <w:numFmt w:val="bullet"/>
      <w:lvlText w:val=""/>
      <w:lvlJc w:val="start"/>
      <w:pPr>
        <w:tabs>
          <w:tab w:val="num" w:pos="851"/>
        </w:tabs>
        <w:ind w:start="851" w:hanging="284"/>
      </w:pPr>
      <w:rPr>
        <w:rFonts w:ascii="Symbol" w:hAnsi="Symbol" w:cs="Symbol" w:hint="default"/>
        <w:b w:val="false"/>
        <w:bCs/>
        <w:i w:val="false"/>
        <w:iCs w:val="false"/>
        <w:sz w:val="24"/>
        <w:szCs w:val="28"/>
      </w:rPr>
    </w:lvl>
  </w:abstractNum>
  <w:abstractNum w:abstractNumId="21">
    <w:lvl w:ilvl="0">
      <w:start w:val="1"/>
      <w:numFmt w:val="bullet"/>
      <w:lvlText w:val="-"/>
      <w:lvlJc w:val="start"/>
      <w:pPr>
        <w:tabs>
          <w:tab w:val="num" w:pos="644"/>
        </w:tabs>
        <w:ind w:start="644" w:hanging="360"/>
      </w:pPr>
      <w:rPr>
        <w:rFonts w:ascii="Courier New" w:hAnsi="Courier New" w:cs="Courier New" w:hint="default"/>
        <w:b/>
        <w:bCs/>
        <w:i w:val="false"/>
        <w:iCs w:val="false"/>
        <w:sz w:val="20"/>
        <w:szCs w:val="24"/>
      </w:rPr>
    </w:lvl>
  </w:abstractNum>
  <w:abstractNum w:abstractNumId="22">
    <w:lvl w:ilvl="0">
      <w:start w:val="1"/>
      <w:numFmt w:val="bullet"/>
      <w:lvlText w:val=""/>
      <w:lvlJc w:val="start"/>
      <w:pPr>
        <w:tabs>
          <w:tab w:val="num" w:pos="360"/>
        </w:tabs>
        <w:ind w:start="284" w:hanging="284"/>
      </w:pPr>
      <w:rPr>
        <w:rFonts w:ascii="Symbol" w:hAnsi="Symbol" w:cs="Symbol" w:hint="default"/>
        <w:bCs w:val="false"/>
        <w:iCs w:val="false"/>
        <w:sz w:val="22"/>
        <w:szCs w:val="22"/>
      </w:rPr>
    </w:lvl>
  </w:abstractNum>
  <w:abstractNum w:abstractNumId="23">
    <w:lvl w:ilvl="0">
      <w:start w:val="1"/>
      <w:numFmt w:val="bullet"/>
      <w:lvlText w:val=""/>
      <w:lvlJc w:val="start"/>
      <w:pPr>
        <w:tabs>
          <w:tab w:val="num" w:pos="927"/>
        </w:tabs>
        <w:ind w:start="794" w:hanging="227"/>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pPr>
      <w:widowControl/>
      <w:bidi w:val="1"/>
      <w:ind w:hanging="0" w:start="0" w:end="0"/>
      <w:jc w:val="start"/>
    </w:pPr>
    <w:rPr>
      <w:rFonts w:ascii="CG Times;Times New Roman" w:hAnsi="CG Times;Times New Roman" w:eastAsia="Times New Roman" w:cs="Lotus;Courier New"/>
      <w:bCs/>
      <w:color w:val="000000"/>
      <w:sz w:val="22"/>
      <w:szCs w:val="28"/>
      <w:lang w:bidi="fa-IR" w:val="en-US" w:eastAsia="zh-CN"/>
    </w:rPr>
  </w:style>
  <w:style w:type="paragraph" w:styleId="Heading1">
    <w:name w:val="heading 1"/>
    <w:basedOn w:val="Normal"/>
    <w:next w:val="Normal"/>
    <w:pPr>
      <w:keepNext w:val="true"/>
      <w:numPr>
        <w:ilvl w:val="0"/>
        <w:numId w:val="1"/>
      </w:numPr>
      <w:spacing w:before="240" w:after="60"/>
      <w:ind w:hanging="0" w:start="0" w:end="0"/>
      <w:jc w:val="start"/>
      <w:outlineLvl w:val="0"/>
    </w:pPr>
    <w:rPr>
      <w:rFonts w:ascii="Arial" w:hAnsi="Arial" w:cs="B Zar"/>
      <w:sz w:val="28"/>
      <w:szCs w:val="26"/>
    </w:rPr>
  </w:style>
  <w:style w:type="paragraph" w:styleId="Heading2">
    <w:name w:val="heading 2"/>
    <w:basedOn w:val="Normal"/>
    <w:next w:val="Normal"/>
    <w:pPr>
      <w:keepNext w:val="true"/>
      <w:numPr>
        <w:ilvl w:val="1"/>
        <w:numId w:val="1"/>
      </w:numPr>
      <w:spacing w:before="0" w:after="80"/>
      <w:ind w:hanging="0" w:start="0" w:end="0"/>
      <w:jc w:val="both"/>
      <w:outlineLvl w:val="1"/>
    </w:pPr>
    <w:rPr>
      <w:rFonts w:ascii="B Zar" w:hAnsi="B Zar" w:cs="B Zar"/>
      <w:b/>
      <w:sz w:val="26"/>
      <w:szCs w:val="26"/>
    </w:rPr>
  </w:style>
  <w:style w:type="paragraph" w:styleId="Heading3">
    <w:name w:val="heading 3"/>
    <w:basedOn w:val="Normal"/>
    <w:next w:val="Normal"/>
    <w:pPr>
      <w:keepNext w:val="true"/>
      <w:numPr>
        <w:ilvl w:val="2"/>
        <w:numId w:val="1"/>
      </w:numPr>
      <w:ind w:hanging="567" w:start="567" w:end="0"/>
      <w:jc w:val="both"/>
      <w:outlineLvl w:val="2"/>
    </w:pPr>
    <w:rPr>
      <w:rFonts w:ascii="Arial" w:hAnsi="Arial" w:cs="Nazanin;Courier New"/>
      <w:b/>
      <w:bCs w:val="false"/>
      <w:sz w:val="28"/>
      <w:u w:val="single"/>
    </w:rPr>
  </w:style>
  <w:style w:type="paragraph" w:styleId="Heading4">
    <w:name w:val="heading 4"/>
    <w:basedOn w:val="Normal"/>
    <w:next w:val="Normal"/>
    <w:pPr>
      <w:keepNext w:val="true"/>
      <w:numPr>
        <w:ilvl w:val="3"/>
        <w:numId w:val="1"/>
      </w:numPr>
      <w:spacing w:before="0" w:after="200"/>
      <w:ind w:hanging="567" w:start="1247" w:end="0"/>
      <w:jc w:val="both"/>
      <w:outlineLvl w:val="3"/>
    </w:pPr>
    <w:rPr>
      <w:rFonts w:ascii="Arial" w:hAnsi="Arial" w:cs="Nazanin;Courier New"/>
      <w:sz w:val="28"/>
    </w:rPr>
  </w:style>
  <w:style w:type="paragraph" w:styleId="Heading5">
    <w:name w:val="heading 5"/>
    <w:basedOn w:val="Normal"/>
    <w:next w:val="Normal"/>
    <w:pPr>
      <w:keepNext w:val="true"/>
      <w:numPr>
        <w:ilvl w:val="4"/>
        <w:numId w:val="1"/>
      </w:numPr>
      <w:ind w:hanging="0" w:start="0" w:end="0"/>
      <w:jc w:val="both"/>
      <w:outlineLvl w:val="4"/>
    </w:pPr>
    <w:rPr>
      <w:rFonts w:ascii="Arial" w:hAnsi="Arial" w:cs="Nazanin;Courier New"/>
      <w:b/>
      <w:bCs w:val="false"/>
    </w:rPr>
  </w:style>
  <w:style w:type="paragraph" w:styleId="Heading6">
    <w:name w:val="heading 6"/>
    <w:basedOn w:val="Normal"/>
    <w:next w:val="Normal"/>
    <w:pPr>
      <w:keepNext w:val="true"/>
      <w:numPr>
        <w:ilvl w:val="5"/>
        <w:numId w:val="1"/>
      </w:numPr>
      <w:ind w:hanging="0" w:start="0" w:end="0"/>
      <w:jc w:val="both"/>
      <w:outlineLvl w:val="5"/>
    </w:pPr>
    <w:rPr>
      <w:rFonts w:ascii="Arial" w:hAnsi="Arial" w:cs="Nazanin;Courier New"/>
      <w:b/>
      <w:bCs w:val="false"/>
    </w:rPr>
  </w:style>
  <w:style w:type="paragraph" w:styleId="Heading7">
    <w:name w:val="heading 7"/>
    <w:basedOn w:val="Normal"/>
    <w:next w:val="Normal"/>
    <w:pPr>
      <w:keepNext w:val="true"/>
      <w:numPr>
        <w:ilvl w:val="6"/>
        <w:numId w:val="1"/>
      </w:numPr>
      <w:ind w:hanging="0" w:start="0" w:end="0"/>
      <w:jc w:val="both"/>
      <w:outlineLvl w:val="6"/>
    </w:pPr>
    <w:rPr>
      <w:rFonts w:ascii="Arial" w:hAnsi="Arial" w:cs="Nazanin;Courier New"/>
      <w:b/>
      <w:bCs w:val="false"/>
    </w:rPr>
  </w:style>
  <w:style w:type="paragraph" w:styleId="Heading8">
    <w:name w:val="heading 8"/>
    <w:basedOn w:val="Normal"/>
    <w:next w:val="Normal"/>
    <w:pPr>
      <w:keepNext w:val="true"/>
      <w:numPr>
        <w:ilvl w:val="7"/>
        <w:numId w:val="1"/>
      </w:numPr>
      <w:ind w:hanging="0" w:start="0" w:end="0"/>
      <w:jc w:val="both"/>
      <w:outlineLvl w:val="7"/>
    </w:pPr>
    <w:rPr>
      <w:rFonts w:ascii="Arial" w:hAnsi="Arial" w:cs="Nazanin;Courier New"/>
      <w:b/>
      <w:bCs w:val="false"/>
    </w:rPr>
  </w:style>
  <w:style w:type="paragraph" w:styleId="Heading9">
    <w:name w:val="heading 9"/>
    <w:basedOn w:val="Normal"/>
    <w:next w:val="Normal"/>
    <w:pPr>
      <w:keepNext w:val="true"/>
      <w:numPr>
        <w:ilvl w:val="8"/>
        <w:numId w:val="1"/>
      </w:numPr>
      <w:ind w:hanging="0" w:start="0" w:end="0"/>
      <w:jc w:val="both"/>
      <w:outlineLvl w:val="8"/>
    </w:pPr>
    <w:rPr>
      <w:rFonts w:ascii="Arial" w:hAnsi="Arial" w:cs="Nazanin;Courier New"/>
      <w:b/>
      <w:bCs w:val="false"/>
    </w:rPr>
  </w:style>
  <w:style w:type="character" w:styleId="WW8Num5z0">
    <w:name w:val="WW8Num5z0"/>
    <w:rPr>
      <w:rFonts w:ascii="Symbol" w:hAnsi="Symbol" w:cs="Symbol"/>
    </w:rPr>
  </w:style>
  <w:style w:type="character" w:styleId="WW8Num6z0">
    <w:name w:val="WW8Num6z0"/>
    <w:rPr>
      <w:rFonts w:ascii="Symbol" w:hAnsi="Symbol" w:cs="Symbol"/>
    </w:rPr>
  </w:style>
  <w:style w:type="character" w:styleId="WW8Num7z0">
    <w:name w:val="WW8Num7z0"/>
    <w:rPr>
      <w:rFonts w:ascii="Symbol" w:hAnsi="Symbol" w:cs="Symbol"/>
    </w:rPr>
  </w:style>
  <w:style w:type="character" w:styleId="WW8Num8z0">
    <w:name w:val="WW8Num8z0"/>
    <w:rPr>
      <w:rFonts w:ascii="Symbol" w:hAnsi="Symbol" w:cs="Symbol"/>
    </w:rPr>
  </w:style>
  <w:style w:type="character" w:styleId="WW8Num10z0">
    <w:name w:val="WW8Num10z0"/>
    <w:rPr>
      <w:rFonts w:ascii="Symbol" w:hAnsi="Symbol" w:cs="Symbol"/>
    </w:rPr>
  </w:style>
  <w:style w:type="character" w:styleId="WW8Num11z0">
    <w:name w:val="WW8Num11z0"/>
    <w:rPr>
      <w:rFonts w:ascii="Symbol" w:hAnsi="Symbol" w:cs="Symbol"/>
      <w:sz w:val="20"/>
      <w:szCs w:val="20"/>
    </w:rPr>
  </w:style>
  <w:style w:type="character" w:styleId="WW8Num11z1">
    <w:name w:val="WW8Num11z1"/>
    <w:rPr>
      <w:rFonts w:ascii="Courier New" w:hAnsi="Courier New" w:cs="Courier New"/>
    </w:rPr>
  </w:style>
  <w:style w:type="character" w:styleId="WW8Num11z2">
    <w:name w:val="WW8Num11z2"/>
    <w:rPr>
      <w:rFonts w:ascii="Wingdings" w:hAnsi="Wingdings" w:cs="Wingdings"/>
    </w:rPr>
  </w:style>
  <w:style w:type="character" w:styleId="WW8Num11z3">
    <w:name w:val="WW8Num11z3"/>
    <w:rPr>
      <w:rFonts w:ascii="Symbol" w:hAnsi="Symbol" w:cs="Symbol"/>
    </w:rPr>
  </w:style>
  <w:style w:type="character" w:styleId="WW8Num12z0">
    <w:name w:val="WW8Num12z0"/>
    <w:rPr>
      <w:rFonts w:ascii="Symbol" w:hAnsi="Symbol" w:cs="Symbol"/>
    </w:rPr>
  </w:style>
  <w:style w:type="character" w:styleId="WW8Num12z1">
    <w:name w:val="WW8Num12z1"/>
    <w:rPr>
      <w:rFonts w:ascii="Symbol" w:hAnsi="Symbol" w:cs="B Lotus"/>
      <w:b w:val="false"/>
      <w:bCs/>
      <w:i w:val="false"/>
      <w:iCs w:val="false"/>
      <w:sz w:val="24"/>
      <w:szCs w:val="28"/>
    </w:rPr>
  </w:style>
  <w:style w:type="character" w:styleId="WW8Num12z2">
    <w:name w:val="WW8Num12z2"/>
    <w:rPr>
      <w:rFonts w:ascii="Wingdings" w:hAnsi="Wingdings" w:cs="Wingdings"/>
    </w:rPr>
  </w:style>
  <w:style w:type="character" w:styleId="WW8Num12z4">
    <w:name w:val="WW8Num12z4"/>
    <w:rPr>
      <w:rFonts w:ascii="Courier New" w:hAnsi="Courier New" w:cs="Courier New"/>
    </w:rPr>
  </w:style>
  <w:style w:type="character" w:styleId="WW8Num13z0">
    <w:name w:val="WW8Num13z0"/>
    <w:rPr>
      <w:rFonts w:ascii="Symbol" w:hAnsi="Symbol" w:cs="Symbol"/>
      <w:b/>
      <w:bCs/>
      <w:i w:val="false"/>
      <w:iCs w:val="false"/>
      <w:sz w:val="24"/>
      <w:szCs w:val="28"/>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3z3">
    <w:name w:val="WW8Num13z3"/>
    <w:rPr>
      <w:rFonts w:ascii="Symbol" w:hAnsi="Symbol" w:cs="Symbol"/>
    </w:rPr>
  </w:style>
  <w:style w:type="character" w:styleId="WW8Num14z0">
    <w:name w:val="WW8Num14z0"/>
    <w:rPr>
      <w:rFonts w:ascii="Symbol" w:hAnsi="Symbol" w:cs="Symbol"/>
      <w:b/>
      <w:bCs/>
      <w:i w:val="false"/>
      <w:iCs w:val="false"/>
      <w:sz w:val="24"/>
      <w:szCs w:val="24"/>
    </w:rPr>
  </w:style>
  <w:style w:type="character" w:styleId="WW8Num14z1">
    <w:name w:val="WW8Num14z1"/>
    <w:rPr>
      <w:rFonts w:ascii="Courier New" w:hAnsi="Courier New" w:cs="Courier New"/>
      <w:b/>
      <w:bCs/>
      <w:i w:val="false"/>
      <w:iCs w:val="false"/>
      <w:sz w:val="20"/>
      <w:szCs w:val="24"/>
    </w:rPr>
  </w:style>
  <w:style w:type="character" w:styleId="WW8Num14z2">
    <w:name w:val="WW8Num14z2"/>
    <w:rPr>
      <w:rFonts w:ascii="Wingdings" w:hAnsi="Wingdings" w:cs="Wingdings"/>
    </w:rPr>
  </w:style>
  <w:style w:type="character" w:styleId="WW8Num14z3">
    <w:name w:val="WW8Num14z3"/>
    <w:rPr>
      <w:rFonts w:ascii="Symbol" w:hAnsi="Symbol" w:cs="Symbol"/>
    </w:rPr>
  </w:style>
  <w:style w:type="character" w:styleId="WW8Num14z4">
    <w:name w:val="WW8Num14z4"/>
    <w:rPr>
      <w:rFonts w:ascii="Courier New" w:hAnsi="Courier New" w:cs="Courier New"/>
    </w:rPr>
  </w:style>
  <w:style w:type="character" w:styleId="WW8Num15z0">
    <w:name w:val="WW8Num15z0"/>
    <w:rPr>
      <w:rFonts w:ascii="Symbol" w:hAnsi="Symbol" w:cs="Symbol"/>
      <w:sz w:val="20"/>
      <w:szCs w:val="20"/>
    </w:rPr>
  </w:style>
  <w:style w:type="character" w:styleId="WW8Num15z1">
    <w:name w:val="WW8Num15z1"/>
    <w:rPr>
      <w:rFonts w:ascii="Courier New" w:hAnsi="Courier New" w:cs="Courier New"/>
    </w:rPr>
  </w:style>
  <w:style w:type="character" w:styleId="WW8Num15z2">
    <w:name w:val="WW8Num15z2"/>
    <w:rPr>
      <w:rFonts w:ascii="Wingdings" w:hAnsi="Wingdings" w:cs="Wingdings"/>
    </w:rPr>
  </w:style>
  <w:style w:type="character" w:styleId="WW8Num15z3">
    <w:name w:val="WW8Num15z3"/>
    <w:rPr>
      <w:rFonts w:ascii="Symbol" w:hAnsi="Symbol" w:cs="Symbol"/>
    </w:rPr>
  </w:style>
  <w:style w:type="character" w:styleId="WW8Num16z0">
    <w:name w:val="WW8Num16z0"/>
    <w:rPr>
      <w:rFonts w:ascii="Symbol" w:hAnsi="Symbol" w:cs="B;B Nazanin"/>
      <w:b/>
      <w:bCs w:val="false"/>
      <w:sz w:val="24"/>
    </w:rPr>
  </w:style>
  <w:style w:type="character" w:styleId="WW8Num16z1">
    <w:name w:val="WW8Num16z1"/>
    <w:rPr>
      <w:rFonts w:ascii="Courier New" w:hAnsi="Courier New" w:cs="Courier New"/>
    </w:rPr>
  </w:style>
  <w:style w:type="character" w:styleId="WW8Num16z2">
    <w:name w:val="WW8Num16z2"/>
    <w:rPr>
      <w:rFonts w:ascii="Wingdings" w:hAnsi="Wingdings" w:cs="Wingdings"/>
    </w:rPr>
  </w:style>
  <w:style w:type="character" w:styleId="WW8Num16z3">
    <w:name w:val="WW8Num16z3"/>
    <w:rPr>
      <w:rFonts w:ascii="Symbol" w:hAnsi="Symbol" w:cs="Symbol"/>
    </w:rPr>
  </w:style>
  <w:style w:type="character" w:styleId="WW8Num17z0">
    <w:name w:val="WW8Num17z0"/>
    <w:rPr>
      <w:rFonts w:ascii="Symbol" w:hAnsi="Symbol" w:cs="Symbol"/>
      <w:sz w:val="20"/>
      <w:szCs w:val="20"/>
    </w:rPr>
  </w:style>
  <w:style w:type="character" w:styleId="WW8Num17z1">
    <w:name w:val="WW8Num17z1"/>
    <w:rPr>
      <w:rFonts w:ascii="Courier New" w:hAnsi="Courier New" w:cs="Courier New"/>
    </w:rPr>
  </w:style>
  <w:style w:type="character" w:styleId="WW8Num17z2">
    <w:name w:val="WW8Num17z2"/>
    <w:rPr>
      <w:rFonts w:ascii="Wingdings" w:hAnsi="Wingdings" w:cs="Wingdings"/>
    </w:rPr>
  </w:style>
  <w:style w:type="character" w:styleId="WW8Num17z3">
    <w:name w:val="WW8Num17z3"/>
    <w:rPr>
      <w:rFonts w:ascii="Symbol" w:hAnsi="Symbol" w:cs="Symbol"/>
    </w:rPr>
  </w:style>
  <w:style w:type="character" w:styleId="WW8Num18z0">
    <w:name w:val="WW8Num18z0"/>
    <w:rPr>
      <w:rFonts w:ascii="Symbol" w:hAnsi="Symbol" w:cs="Symbol"/>
      <w:color w:val="000000"/>
    </w:rPr>
  </w:style>
  <w:style w:type="character" w:styleId="WW8Num18z1">
    <w:name w:val="WW8Num18z1"/>
    <w:rPr>
      <w:rFonts w:ascii="Courier New" w:hAnsi="Courier New" w:cs="Courier New"/>
    </w:rPr>
  </w:style>
  <w:style w:type="character" w:styleId="WW8Num18z2">
    <w:name w:val="WW8Num18z2"/>
    <w:rPr>
      <w:rFonts w:ascii="Wingdings" w:hAnsi="Wingdings" w:cs="Wingdings"/>
    </w:rPr>
  </w:style>
  <w:style w:type="character" w:styleId="WW8Num18z3">
    <w:name w:val="WW8Num18z3"/>
    <w:rPr>
      <w:rFonts w:ascii="Symbol" w:hAnsi="Symbol" w:cs="Symbol"/>
    </w:rPr>
  </w:style>
  <w:style w:type="character" w:styleId="WW8Num20z0">
    <w:name w:val="WW8Num20z0"/>
    <w:rPr>
      <w:rFonts w:hint="cs"/>
    </w:rPr>
  </w:style>
  <w:style w:type="character" w:styleId="WW8Num21z0">
    <w:name w:val="WW8Num21z0"/>
    <w:rPr>
      <w:rFonts w:ascii="Symbol" w:hAnsi="Symbol" w:cs="B Lotus"/>
      <w:b w:val="false"/>
      <w:bCs/>
      <w:i w:val="false"/>
      <w:iCs w:val="false"/>
      <w:sz w:val="24"/>
      <w:szCs w:val="28"/>
    </w:rPr>
  </w:style>
  <w:style w:type="character" w:styleId="WW8Num21z1">
    <w:name w:val="WW8Num21z1"/>
    <w:rPr>
      <w:rFonts w:ascii="Courier New" w:hAnsi="Courier New" w:cs="Courier New"/>
    </w:rPr>
  </w:style>
  <w:style w:type="character" w:styleId="WW8Num21z2">
    <w:name w:val="WW8Num21z2"/>
    <w:rPr>
      <w:rFonts w:ascii="Wingdings" w:hAnsi="Wingdings" w:cs="Wingdings"/>
    </w:rPr>
  </w:style>
  <w:style w:type="character" w:styleId="WW8Num21z3">
    <w:name w:val="WW8Num21z3"/>
    <w:rPr>
      <w:rFonts w:ascii="Symbol" w:hAnsi="Symbol" w:cs="Symbol"/>
    </w:rPr>
  </w:style>
  <w:style w:type="character" w:styleId="WW8Num22z0">
    <w:name w:val="WW8Num22z0"/>
    <w:rPr>
      <w:rFonts w:ascii="Courier New" w:hAnsi="Courier New" w:cs="Courier New"/>
      <w:b/>
      <w:bCs/>
      <w:i w:val="false"/>
      <w:iCs w:val="false"/>
      <w:sz w:val="20"/>
      <w:szCs w:val="24"/>
    </w:rPr>
  </w:style>
  <w:style w:type="character" w:styleId="WW8Num22z2">
    <w:name w:val="WW8Num22z2"/>
    <w:rPr>
      <w:rFonts w:ascii="Wingdings" w:hAnsi="Wingdings" w:cs="Wingdings"/>
    </w:rPr>
  </w:style>
  <w:style w:type="character" w:styleId="WW8Num22z3">
    <w:name w:val="WW8Num22z3"/>
    <w:rPr>
      <w:rFonts w:ascii="Symbol" w:hAnsi="Symbol" w:cs="Symbol"/>
    </w:rPr>
  </w:style>
  <w:style w:type="character" w:styleId="WW8Num22z4">
    <w:name w:val="WW8Num22z4"/>
    <w:rPr>
      <w:rFonts w:ascii="Courier New" w:hAnsi="Courier New" w:cs="Courier New"/>
    </w:rPr>
  </w:style>
  <w:style w:type="character" w:styleId="WW8Num23z0">
    <w:name w:val="WW8Num23z0"/>
    <w:rPr>
      <w:rFonts w:ascii="Symbol" w:hAnsi="Symbol" w:cs="Symbol"/>
      <w:bCs w:val="false"/>
      <w:iCs w:val="false"/>
      <w:sz w:val="22"/>
      <w:szCs w:val="22"/>
    </w:rPr>
  </w:style>
  <w:style w:type="character" w:styleId="WW8Num23z1">
    <w:name w:val="WW8Num23z1"/>
    <w:rPr>
      <w:rFonts w:ascii="Courier New" w:hAnsi="Courier New" w:cs="Courier New"/>
    </w:rPr>
  </w:style>
  <w:style w:type="character" w:styleId="WW8Num23z2">
    <w:name w:val="WW8Num23z2"/>
    <w:rPr>
      <w:rFonts w:ascii="Wingdings" w:hAnsi="Wingdings" w:cs="Wingdings"/>
    </w:rPr>
  </w:style>
  <w:style w:type="character" w:styleId="WW8Num23z3">
    <w:name w:val="WW8Num23z3"/>
    <w:rPr>
      <w:rFonts w:ascii="Symbol" w:hAnsi="Symbol" w:cs="Symbol"/>
    </w:rPr>
  </w:style>
  <w:style w:type="character" w:styleId="WW8Num24z0">
    <w:name w:val="WW8Num24z0"/>
    <w:rPr>
      <w:rFonts w:ascii="Symbol" w:hAnsi="Symbol" w:cs="Symbol"/>
    </w:rPr>
  </w:style>
  <w:style w:type="character" w:styleId="WW8Num24z1">
    <w:name w:val="WW8Num24z1"/>
    <w:rPr>
      <w:rFonts w:ascii="Courier New" w:hAnsi="Courier New" w:cs="Courier New"/>
    </w:rPr>
  </w:style>
  <w:style w:type="character" w:styleId="WW8Num24z2">
    <w:name w:val="WW8Num24z2"/>
    <w:rPr>
      <w:rFonts w:ascii="Wingdings" w:hAnsi="Wingdings" w:cs="Wingdings"/>
    </w:rPr>
  </w:style>
  <w:style w:type="character" w:styleId="DefaultParagraphFont">
    <w:name w:val="Default Paragraph Font"/>
    <w:rPr/>
  </w:style>
  <w:style w:type="character" w:styleId="CommentReference">
    <w:name w:val="Comment Reference"/>
    <w:rPr>
      <w:sz w:val="16"/>
      <w:szCs w:val="16"/>
    </w:rPr>
  </w:style>
  <w:style w:type="character" w:styleId="FollowedHyperlink">
    <w:name w:val="FollowedHyperlink"/>
    <w:rPr>
      <w:color w:val="800080"/>
      <w:u w:val="single"/>
    </w:rPr>
  </w:style>
  <w:style w:type="character" w:styleId="FootnoteCharacters">
    <w:name w:val="Footnote Characters"/>
    <w:rPr>
      <w:vertAlign w:val="superscript"/>
    </w:rPr>
  </w:style>
  <w:style w:type="character" w:styleId="HTMLTypewriter">
    <w:name w:val="HTML Typewriter"/>
    <w:rPr>
      <w:rFonts w:ascii="Courier New" w:hAnsi="Courier New" w:cs="Courier New"/>
      <w:sz w:val="20"/>
      <w:szCs w:val="20"/>
    </w:rPr>
  </w:style>
  <w:style w:type="character" w:styleId="Hyperlink">
    <w:name w:val="Hyperlink"/>
    <w:rPr>
      <w:color w:val="0000FF"/>
      <w:u w:val="single"/>
    </w:rPr>
  </w:style>
  <w:style w:type="character" w:styleId="PageNumber">
    <w:name w:val="page number"/>
    <w:basedOn w:val="DefaultParagraphFont"/>
    <w:rPr/>
  </w:style>
  <w:style w:type="character" w:styleId="Emphasis">
    <w:name w:val="Emphasis"/>
    <w:rPr>
      <w:rFonts w:ascii="CG Times;Times New Roman" w:hAnsi="CG Times;Times New Roman" w:cs="Lotus;Courier New"/>
      <w:bCs/>
      <w:szCs w:val="28"/>
    </w:rPr>
  </w:style>
  <w:style w:type="character" w:styleId="EndnoteCharacters">
    <w:name w:val="Endnote Characters"/>
    <w:rPr>
      <w:rFonts w:ascii="CG Times;Times New Roman" w:hAnsi="CG Times;Times New Roman" w:cs="Lotus;Courier New"/>
      <w:bCs/>
      <w:szCs w:val="28"/>
      <w:vertAlign w:val="superscript"/>
    </w:rPr>
  </w:style>
  <w:style w:type="character" w:styleId="HTMLAcronym">
    <w:name w:val="HTML Acronym"/>
    <w:rPr>
      <w:rFonts w:ascii="CG Times;Times New Roman" w:hAnsi="CG Times;Times New Roman" w:cs="Lotus;Courier New"/>
      <w:bCs/>
      <w:szCs w:val="28"/>
    </w:rPr>
  </w:style>
  <w:style w:type="character" w:styleId="HTMLCite">
    <w:name w:val="HTML Cite"/>
    <w:rPr>
      <w:rFonts w:ascii="CG Times;Times New Roman" w:hAnsi="CG Times;Times New Roman" w:cs="Lotus;Courier New"/>
      <w:bCs/>
      <w:szCs w:val="24"/>
    </w:rPr>
  </w:style>
  <w:style w:type="character" w:styleId="HTMLCode">
    <w:name w:val="HTML Code"/>
    <w:rPr>
      <w:rFonts w:ascii="CG Times;Times New Roman" w:hAnsi="CG Times;Times New Roman" w:cs="Lotus;Courier New"/>
      <w:bCs/>
      <w:sz w:val="20"/>
      <w:szCs w:val="24"/>
    </w:rPr>
  </w:style>
  <w:style w:type="character" w:styleId="HTMLDefinition">
    <w:name w:val="HTML Definition"/>
    <w:rPr>
      <w:rFonts w:ascii="CG Times;Times New Roman" w:hAnsi="CG Times;Times New Roman" w:cs="Lotus;Courier New"/>
      <w:bCs/>
      <w:szCs w:val="24"/>
    </w:rPr>
  </w:style>
  <w:style w:type="character" w:styleId="HTMLKeyboard">
    <w:name w:val="HTML Keyboard"/>
    <w:rPr>
      <w:rFonts w:ascii="CG Times;Times New Roman" w:hAnsi="CG Times;Times New Roman" w:cs="Lotus;Courier New"/>
      <w:bCs/>
      <w:sz w:val="20"/>
      <w:szCs w:val="24"/>
    </w:rPr>
  </w:style>
  <w:style w:type="character" w:styleId="HTMLSample">
    <w:name w:val="HTML Sample"/>
    <w:rPr>
      <w:rFonts w:ascii="CG Times;Times New Roman" w:hAnsi="CG Times;Times New Roman" w:cs="Lotus;Courier New"/>
      <w:bCs/>
      <w:szCs w:val="28"/>
    </w:rPr>
  </w:style>
  <w:style w:type="character" w:styleId="HTMLVariable">
    <w:name w:val="HTML Variable"/>
    <w:rPr>
      <w:rFonts w:ascii="CG Times;Times New Roman" w:hAnsi="CG Times;Times New Roman" w:cs="Lotus;Courier New"/>
      <w:bCs/>
      <w:szCs w:val="24"/>
    </w:rPr>
  </w:style>
  <w:style w:type="character" w:styleId="LineNumber">
    <w:name w:val="line number"/>
    <w:rPr>
      <w:rFonts w:ascii="CG Times;Times New Roman" w:hAnsi="CG Times;Times New Roman" w:cs="Nazanin;Courier New"/>
      <w:b/>
      <w:bCs/>
      <w:sz w:val="22"/>
      <w:szCs w:val="24"/>
    </w:rPr>
  </w:style>
  <w:style w:type="character" w:styleId="Strong">
    <w:name w:val="Strong"/>
    <w:rPr>
      <w:rFonts w:ascii="CG Times;Times New Roman" w:hAnsi="CG Times;Times New Roman" w:cs="Lotus;Courier New"/>
      <w:b/>
      <w:bCs/>
      <w:szCs w:val="28"/>
    </w:rPr>
  </w:style>
  <w:style w:type="character" w:styleId="NormalBaseChar">
    <w:name w:val="Normal Base Char"/>
    <w:rPr>
      <w:rFonts w:cs="B Lotus"/>
      <w:bCs/>
      <w:sz w:val="22"/>
      <w:szCs w:val="28"/>
      <w:lang w:bidi="fa-IR"/>
    </w:rPr>
  </w:style>
  <w:style w:type="character" w:styleId="D-TrafficVasat">
    <w:name w:val="D-Traffic Vasat"/>
    <w:rPr>
      <w:rFonts w:cs="B Traffic"/>
      <w:sz w:val="20"/>
      <w:szCs w:val="22"/>
    </w:rPr>
  </w:style>
  <w:style w:type="character" w:styleId="DefautTraffic">
    <w:name w:val="Defaut Traffic"/>
    <w:rPr>
      <w:rFonts w:ascii="CG Times;Times New Roman" w:hAnsi="CG Times;Times New Roman" w:cs="Traffic;Courier New"/>
      <w:bCs/>
      <w:sz w:val="20"/>
      <w:szCs w:val="22"/>
    </w:rPr>
  </w:style>
  <w:style w:type="character" w:styleId="NormalBChar">
    <w:name w:val="Normal B Char"/>
    <w:rPr>
      <w:rFonts w:ascii="CG Times;Times New Roman" w:hAnsi="CG Times;Times New Roman" w:cs="Lotus;Courier New"/>
      <w:bCs/>
      <w:sz w:val="22"/>
      <w:szCs w:val="28"/>
      <w:lang w:val="en-AU" w:bidi="fa-IR"/>
    </w:rPr>
  </w:style>
  <w:style w:type="character" w:styleId="Heading1Char">
    <w:name w:val="Heading 1 Char"/>
    <w:rPr>
      <w:rFonts w:ascii="Arial" w:hAnsi="Arial" w:cs="B Zar"/>
      <w:bCs/>
      <w:color w:val="000000"/>
      <w:sz w:val="28"/>
      <w:szCs w:val="26"/>
      <w:lang w:bidi="fa-IR"/>
    </w:rPr>
  </w:style>
  <w:style w:type="character" w:styleId="TrafficTeram">
    <w:name w:val="Traffic Teram"/>
    <w:basedOn w:val="DefaultParagraphFont"/>
    <w:rPr/>
  </w:style>
  <w:style w:type="character" w:styleId="Base">
    <w:name w:val="Base"/>
    <w:rPr>
      <w:rFonts w:ascii="Times nes roman;Times New Roman" w:hAnsi="Times nes roman;Times New Roman" w:cs="B Lotus"/>
      <w:bCs/>
      <w:szCs w:val="28"/>
      <w:lang w:bidi="fa-IR"/>
    </w:rPr>
  </w:style>
  <w:style w:type="character" w:styleId="Base-Font">
    <w:name w:val="Base-Font"/>
    <w:rPr>
      <w:rFonts w:ascii="Times New Roman" w:hAnsi="Times New Roman" w:cs="B Lotus"/>
      <w:bCs/>
      <w:sz w:val="22"/>
      <w:szCs w:val="28"/>
      <w:lang w:bidi="fa-IR"/>
    </w:rPr>
  </w:style>
  <w:style w:type="character" w:styleId="FootnoteTextChar">
    <w:name w:val="Footnote Text Char"/>
    <w:rPr>
      <w:rFonts w:ascii="Times" w:hAnsi="Times" w:cs="Lotus;Courier New"/>
      <w:b/>
      <w:bCs/>
    </w:rPr>
  </w:style>
  <w:style w:type="paragraph" w:styleId="Heading">
    <w:name w:val="Heading"/>
    <w:basedOn w:val="NormalB"/>
    <w:next w:val="BodyText"/>
    <w:pPr>
      <w:bidi w:val="1"/>
      <w:spacing w:before="240" w:after="60"/>
      <w:ind w:hanging="0" w:start="0" w:end="0"/>
      <w:jc w:val="center"/>
      <w:outlineLvl w:val="0"/>
    </w:pPr>
    <w:rPr>
      <w:rFonts w:ascii="Times New Roman" w:hAnsi="Times New Roman" w:cs="B Zar"/>
      <w:b/>
      <w:kern w:val="2"/>
      <w:sz w:val="26"/>
      <w:szCs w:val="26"/>
      <w:lang w:val="en-US"/>
    </w:rPr>
  </w:style>
  <w:style w:type="paragraph" w:styleId="BodyText">
    <w:name w:val="Body Text"/>
    <w:basedOn w:val="Normal"/>
    <w:pPr>
      <w:ind w:hanging="0" w:start="0" w:end="0"/>
      <w:jc w:val="center"/>
    </w:pPr>
    <w:rPr>
      <w:rFonts w:ascii="Arial" w:hAnsi="Arial" w:cs="Titr"/>
      <w:szCs w:val="20"/>
    </w:rPr>
  </w:style>
  <w:style w:type="paragraph" w:styleId="List">
    <w:name w:val="List"/>
    <w:basedOn w:val="Normal"/>
    <w:pPr>
      <w:ind w:hanging="397" w:start="397" w:end="0"/>
      <w:jc w:val="start"/>
    </w:pPr>
    <w:rPr/>
  </w:style>
  <w:style w:type="paragraph" w:styleId="Caption">
    <w:name w:val="caption"/>
    <w:basedOn w:val="Normal"/>
    <w:next w:val="Normal"/>
    <w:pPr>
      <w:spacing w:before="120" w:after="120"/>
      <w:ind w:hanging="0" w:start="0" w:end="0"/>
      <w:jc w:val="start"/>
    </w:pPr>
    <w:rPr>
      <w:rFonts w:ascii="Arial" w:hAnsi="Arial" w:cs="B Lotus"/>
      <w:b/>
      <w:bCs w:val="false"/>
      <w:sz w:val="20"/>
      <w:szCs w:val="20"/>
    </w:rPr>
  </w:style>
  <w:style w:type="paragraph" w:styleId="Index">
    <w:name w:val="Index"/>
    <w:basedOn w:val="Normal"/>
    <w:pPr>
      <w:suppressLineNumbers/>
    </w:pPr>
    <w:rPr>
      <w:rFonts w:cs="Arial"/>
    </w:rPr>
  </w:style>
  <w:style w:type="paragraph" w:styleId="1">
    <w:name w:val="1"/>
    <w:basedOn w:val="Normal"/>
    <w:pPr>
      <w:ind w:hanging="567" w:start="567" w:end="0"/>
      <w:jc w:val="start"/>
    </w:pPr>
    <w:rPr>
      <w:rFonts w:ascii="Times" w:hAnsi="Times" w:cs="B Lotus"/>
      <w:b/>
      <w:sz w:val="20"/>
    </w:rPr>
  </w:style>
  <w:style w:type="paragraph" w:styleId="Normal-Base">
    <w:name w:val="Normal-Base"/>
    <w:basedOn w:val="Normal"/>
    <w:pPr>
      <w:ind w:hanging="0" w:start="0" w:end="0"/>
      <w:jc w:val="start"/>
    </w:pPr>
    <w:rPr>
      <w:rFonts w:ascii="Arial" w:hAnsi="Arial" w:cs="B Lotus"/>
      <w:bCs w:val="false"/>
      <w:sz w:val="22"/>
    </w:rPr>
  </w:style>
  <w:style w:type="paragraph" w:styleId="1-TRAFFIC">
    <w:name w:val="1-TRAFFIC"/>
    <w:basedOn w:val="Normal-Base"/>
    <w:pPr>
      <w:spacing w:before="0" w:after="240"/>
      <w:ind w:hanging="454" w:start="454" w:end="0"/>
      <w:jc w:val="start"/>
    </w:pPr>
    <w:rPr>
      <w:rFonts w:ascii="Times" w:hAnsi="Times" w:cs="B Traffic"/>
      <w:b/>
      <w:szCs w:val="22"/>
    </w:rPr>
  </w:style>
  <w:style w:type="paragraph" w:styleId="1-Matn-Traffic">
    <w:name w:val="1- Matn-Traffic"/>
    <w:basedOn w:val="1-TRAFFIC"/>
    <w:pPr>
      <w:spacing w:before="0" w:after="120"/>
      <w:ind w:hanging="0" w:start="454" w:end="0"/>
      <w:jc w:val="start"/>
    </w:pPr>
    <w:rPr/>
  </w:style>
  <w:style w:type="paragraph" w:styleId="1-Alef-TRAFFIC">
    <w:name w:val="1-Alef-TRAFFIC"/>
    <w:basedOn w:val="1-TRAFFIC"/>
    <w:pPr>
      <w:tabs>
        <w:tab w:val="clear" w:pos="720"/>
        <w:tab w:val="left" w:pos="737" w:leader="none"/>
      </w:tabs>
      <w:spacing w:before="0" w:after="120"/>
      <w:ind w:hanging="567" w:start="1021" w:end="0"/>
      <w:jc w:val="start"/>
    </w:pPr>
    <w:rPr/>
  </w:style>
  <w:style w:type="paragraph" w:styleId="1-Alef-Lotus">
    <w:name w:val="1-Alef-Lotus"/>
    <w:basedOn w:val="1-Alef-TRAFFIC"/>
    <w:pPr>
      <w:spacing w:before="0" w:after="60"/>
      <w:ind w:hanging="567" w:start="1021" w:end="0"/>
      <w:jc w:val="start"/>
    </w:pPr>
    <w:rPr>
      <w:rFonts w:ascii="TIMEZ;Times" w:hAnsi="TIMEZ;Times" w:cs="B Lotus"/>
      <w:b w:val="false"/>
      <w:sz w:val="24"/>
      <w:szCs w:val="28"/>
    </w:rPr>
  </w:style>
  <w:style w:type="paragraph" w:styleId="1-Alef-Lotus-yek">
    <w:name w:val="1-Alef-Lotus-yek"/>
    <w:basedOn w:val="1-Alef-Lotus"/>
    <w:pPr>
      <w:ind w:hanging="510" w:start="1531" w:end="0"/>
      <w:jc w:val="start"/>
    </w:pPr>
    <w:rPr/>
  </w:style>
  <w:style w:type="paragraph" w:styleId="1-Lotus">
    <w:name w:val="1-Lotus"/>
    <w:basedOn w:val="1-TRAFFIC"/>
    <w:pPr>
      <w:ind w:hanging="510" w:start="510" w:end="0"/>
      <w:jc w:val="start"/>
    </w:pPr>
    <w:rPr>
      <w:rFonts w:ascii="Arial" w:hAnsi="Arial" w:cs="B Lotus"/>
      <w:b w:val="false"/>
      <w:szCs w:val="28"/>
    </w:rPr>
  </w:style>
  <w:style w:type="paragraph" w:styleId="1-Lotus-zir-Alef">
    <w:name w:val="1-Lotus-zir-Alef"/>
    <w:basedOn w:val="1-Lotus"/>
    <w:pPr>
      <w:spacing w:before="0" w:after="80"/>
      <w:ind w:hanging="510" w:start="510" w:end="0"/>
      <w:jc w:val="start"/>
    </w:pPr>
    <w:rPr/>
  </w:style>
  <w:style w:type="paragraph" w:styleId="1-Matn-Lotus">
    <w:name w:val="1-Matn-Lotus"/>
    <w:basedOn w:val="1-Alef-Lotus"/>
    <w:pPr>
      <w:spacing w:before="0" w:after="0"/>
      <w:ind w:hanging="0" w:start="510" w:end="0"/>
      <w:jc w:val="start"/>
    </w:pPr>
    <w:rPr/>
  </w:style>
  <w:style w:type="paragraph" w:styleId="1-Traffic-zir-Alef">
    <w:name w:val="1-Traffic-zir-Alef"/>
    <w:basedOn w:val="1-TRAFFIC"/>
    <w:pPr>
      <w:spacing w:before="0" w:after="120"/>
      <w:ind w:hanging="454" w:start="454" w:end="0"/>
      <w:jc w:val="start"/>
    </w:pPr>
    <w:rPr/>
  </w:style>
  <w:style w:type="paragraph" w:styleId="1-zir-Alef">
    <w:name w:val="1-zir-Alef"/>
    <w:basedOn w:val="1-TRAFFIC"/>
    <w:pPr>
      <w:spacing w:before="0" w:after="120"/>
      <w:ind w:hanging="454" w:start="454" w:end="0"/>
      <w:jc w:val="start"/>
    </w:pPr>
    <w:rPr/>
  </w:style>
  <w:style w:type="paragraph" w:styleId="11">
    <w:name w:val="1خطي"/>
    <w:basedOn w:val="Normal"/>
    <w:pPr>
      <w:pBdr>
        <w:bottom w:val="single" w:sz="8" w:space="1" w:color="000000"/>
      </w:pBdr>
      <w:ind w:hanging="0" w:start="0" w:end="0"/>
      <w:jc w:val="start"/>
    </w:pPr>
    <w:rPr>
      <w:rFonts w:cs="B Lotus"/>
      <w:b/>
      <w:sz w:val="22"/>
      <w:lang w:bidi="ar-SA"/>
    </w:rPr>
  </w:style>
  <w:style w:type="paragraph" w:styleId="2">
    <w:name w:val="2خطي"/>
    <w:basedOn w:val="Normal"/>
    <w:pPr>
      <w:pBdr>
        <w:bottom w:val="double" w:sz="6" w:space="1" w:color="000000"/>
      </w:pBdr>
      <w:ind w:hanging="0" w:start="0" w:end="0"/>
      <w:jc w:val="start"/>
    </w:pPr>
    <w:rPr>
      <w:rFonts w:cs="B Lotus"/>
      <w:b/>
      <w:sz w:val="22"/>
      <w:lang w:bidi="ar-SA"/>
    </w:rPr>
  </w:style>
  <w:style w:type="paragraph" w:styleId="BodyText2">
    <w:name w:val="Body Text 2"/>
    <w:basedOn w:val="Normal"/>
    <w:pPr>
      <w:ind w:hanging="0" w:start="0" w:end="0"/>
      <w:jc w:val="both"/>
    </w:pPr>
    <w:rPr>
      <w:rFonts w:ascii="Arial" w:hAnsi="Arial" w:cs="Nazanin;Courier New"/>
    </w:rPr>
  </w:style>
  <w:style w:type="paragraph" w:styleId="BodyText3">
    <w:name w:val="Body Text 3"/>
    <w:basedOn w:val="Normal"/>
    <w:pPr>
      <w:ind w:hanging="0" w:start="0" w:end="0"/>
      <w:jc w:val="both"/>
    </w:pPr>
    <w:rPr>
      <w:rFonts w:ascii="Arial" w:hAnsi="Arial" w:cs="Nazanin;Courier New"/>
    </w:rPr>
  </w:style>
  <w:style w:type="paragraph" w:styleId="BodyTextIndent">
    <w:name w:val="Body Text Indent"/>
    <w:basedOn w:val="Normal"/>
    <w:pPr>
      <w:ind w:hanging="567" w:start="567" w:end="0"/>
      <w:jc w:val="both"/>
    </w:pPr>
    <w:rPr>
      <w:rFonts w:ascii="Arial" w:hAnsi="Arial" w:cs="Nazanin;Courier New"/>
      <w:sz w:val="28"/>
    </w:rPr>
  </w:style>
  <w:style w:type="paragraph" w:styleId="BodyTextIndent2">
    <w:name w:val="Body Text Indent 2"/>
    <w:basedOn w:val="Normal"/>
    <w:pPr>
      <w:ind w:hanging="567" w:start="567" w:end="0"/>
      <w:jc w:val="start"/>
    </w:pPr>
    <w:rPr>
      <w:rFonts w:ascii="Arial" w:hAnsi="Arial" w:cs="Nazanin;Courier New"/>
      <w:szCs w:val="26"/>
    </w:rPr>
  </w:style>
  <w:style w:type="paragraph" w:styleId="BodyTextIndent3">
    <w:name w:val="Body Text Indent 3"/>
    <w:basedOn w:val="Normal"/>
    <w:pPr>
      <w:ind w:hanging="567" w:start="567" w:end="0"/>
      <w:jc w:val="start"/>
    </w:pPr>
    <w:rPr>
      <w:rFonts w:ascii="Arial" w:hAnsi="Arial" w:cs="Arial"/>
      <w:sz w:val="28"/>
    </w:rPr>
  </w:style>
  <w:style w:type="paragraph" w:styleId="Bullet-Bold">
    <w:name w:val="Bullet-Bold"/>
    <w:basedOn w:val="Normal-Base"/>
    <w:pPr>
      <w:numPr>
        <w:ilvl w:val="0"/>
        <w:numId w:val="19"/>
      </w:numPr>
      <w:spacing w:before="0" w:after="60"/>
      <w:ind w:hanging="0" w:start="964" w:end="0"/>
      <w:jc w:val="start"/>
    </w:pPr>
    <w:rPr>
      <w:rFonts w:cs="B Traffic"/>
      <w:szCs w:val="22"/>
    </w:rPr>
  </w:style>
  <w:style w:type="paragraph" w:styleId="Bullet-Bold-Alef">
    <w:name w:val="Bullet-Bold-Alef"/>
    <w:basedOn w:val="Bullet-Bold"/>
    <w:pPr>
      <w:numPr>
        <w:ilvl w:val="0"/>
        <w:numId w:val="0"/>
      </w:numPr>
      <w:tabs>
        <w:tab w:val="clear" w:pos="720"/>
        <w:tab w:val="left" w:pos="1247" w:leader="none"/>
        <w:tab w:val="left" w:pos="1531" w:leader="none"/>
      </w:tabs>
      <w:ind w:hanging="624" w:start="1588" w:end="0"/>
      <w:jc w:val="start"/>
    </w:pPr>
    <w:rPr/>
  </w:style>
  <w:style w:type="paragraph" w:styleId="Bullet-Bold-Alef-1">
    <w:name w:val="Bullet - Bold - Alef - 1"/>
    <w:basedOn w:val="Bullet-Bold-Alef"/>
    <w:pPr>
      <w:spacing w:before="0" w:after="120"/>
      <w:ind w:hanging="454" w:start="2042" w:end="0"/>
      <w:jc w:val="start"/>
    </w:pPr>
    <w:rPr>
      <w:rFonts w:cs="Traffic;Courier New"/>
      <w:b/>
    </w:rPr>
  </w:style>
  <w:style w:type="paragraph" w:styleId="CommentText">
    <w:name w:val="Comment Text"/>
    <w:basedOn w:val="Normal"/>
    <w:pPr>
      <w:ind w:hanging="0" w:start="0" w:end="0"/>
      <w:jc w:val="start"/>
    </w:pPr>
    <w:rPr>
      <w:rFonts w:ascii="Arial" w:hAnsi="Arial" w:cs="B Lotus"/>
      <w:bCs w:val="false"/>
      <w:sz w:val="20"/>
      <w:szCs w:val="20"/>
    </w:rPr>
  </w:style>
  <w:style w:type="paragraph" w:styleId="DocumentMap">
    <w:name w:val="Document Map"/>
    <w:basedOn w:val="Normal"/>
    <w:pPr>
      <w:shd w:fill="000080" w:val="clear"/>
      <w:ind w:hanging="0" w:start="0" w:end="0"/>
      <w:jc w:val="start"/>
    </w:pPr>
    <w:rPr>
      <w:rFonts w:ascii="Tahoma" w:hAnsi="Tahoma" w:cs="Tahoma"/>
      <w:bCs w:val="false"/>
      <w:sz w:val="22"/>
    </w:rPr>
  </w:style>
  <w:style w:type="paragraph" w:styleId="Fas-8">
    <w:name w:val="Fas-8"/>
    <w:basedOn w:val="1-Alef-TRAFFIC"/>
    <w:pPr>
      <w:spacing w:lineRule="exact" w:line="160" w:before="0" w:after="0"/>
      <w:ind w:hanging="567" w:start="1021" w:end="0"/>
      <w:jc w:val="start"/>
    </w:pPr>
    <w:rPr/>
  </w:style>
  <w:style w:type="paragraph" w:styleId="HeaderandFooter">
    <w:name w:val="Header and Footer"/>
    <w:basedOn w:val="Normal"/>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153" w:leader="none"/>
        <w:tab w:val="right" w:pos="8306" w:leader="none"/>
      </w:tabs>
      <w:ind w:hanging="0" w:start="0" w:end="0"/>
      <w:jc w:val="start"/>
    </w:pPr>
    <w:rPr>
      <w:rFonts w:ascii="Arial" w:hAnsi="Arial" w:cs="B Lotus"/>
    </w:rPr>
  </w:style>
  <w:style w:type="paragraph" w:styleId="FootnoteText">
    <w:name w:val="footnote text"/>
    <w:basedOn w:val="Normal"/>
    <w:pPr>
      <w:ind w:hanging="0" w:start="0" w:end="0"/>
      <w:jc w:val="start"/>
    </w:pPr>
    <w:rPr>
      <w:rFonts w:ascii="Arial" w:hAnsi="Arial" w:cs="B Lotus"/>
      <w:bCs w:val="false"/>
      <w:sz w:val="20"/>
      <w:szCs w:val="20"/>
    </w:rPr>
  </w:style>
  <w:style w:type="paragraph" w:styleId="Header">
    <w:name w:val="header"/>
    <w:basedOn w:val="Normal"/>
    <w:pPr>
      <w:tabs>
        <w:tab w:val="clear" w:pos="720"/>
        <w:tab w:val="center" w:pos="4153" w:leader="none"/>
        <w:tab w:val="right" w:pos="8306" w:leader="none"/>
      </w:tabs>
      <w:ind w:hanging="0" w:start="0" w:end="0"/>
      <w:jc w:val="start"/>
    </w:pPr>
    <w:rPr>
      <w:rFonts w:ascii="Arial" w:hAnsi="Arial" w:cs="B Lotus"/>
    </w:rPr>
  </w:style>
  <w:style w:type="paragraph" w:styleId="Heading11">
    <w:name w:val="Heading  1"/>
    <w:basedOn w:val="Normal"/>
    <w:pPr>
      <w:ind w:hanging="0" w:start="0" w:end="0"/>
      <w:jc w:val="start"/>
    </w:pPr>
    <w:rPr>
      <w:rFonts w:ascii="Times" w:hAnsi="Times" w:cs="B Titr"/>
      <w:b/>
      <w:sz w:val="20"/>
      <w:szCs w:val="24"/>
    </w:rPr>
  </w:style>
  <w:style w:type="paragraph" w:styleId="NORMAL-COP">
    <w:name w:val="NORMAL-COP"/>
    <w:basedOn w:val="Normal"/>
    <w:pPr>
      <w:ind w:hanging="0" w:start="0" w:end="0"/>
      <w:jc w:val="start"/>
    </w:pPr>
    <w:rPr>
      <w:rFonts w:ascii="Times" w:hAnsi="Times" w:cs="B Lotus"/>
      <w:b/>
      <w:bCs w:val="false"/>
      <w:sz w:val="22"/>
    </w:rPr>
  </w:style>
  <w:style w:type="paragraph" w:styleId="Heading12">
    <w:name w:val="Heading1"/>
    <w:basedOn w:val="NORMAL-COP"/>
    <w:next w:val="1-Lotus"/>
    <w:pPr>
      <w:keepNext w:val="true"/>
      <w:ind w:hanging="0" w:start="0" w:end="0"/>
      <w:jc w:val="both"/>
    </w:pPr>
    <w:rPr>
      <w:rFonts w:cs="B Zar"/>
      <w:szCs w:val="24"/>
    </w:rPr>
  </w:style>
  <w:style w:type="paragraph" w:styleId="Index1">
    <w:name w:val="index 1"/>
    <w:basedOn w:val="Normal"/>
    <w:next w:val="Normal"/>
    <w:pPr>
      <w:ind w:hanging="220" w:start="220" w:end="0"/>
      <w:jc w:val="start"/>
    </w:pPr>
    <w:rPr>
      <w:rFonts w:ascii="Arial" w:hAnsi="Arial" w:cs="B Lotus"/>
      <w:bCs w:val="false"/>
      <w:sz w:val="22"/>
    </w:rPr>
  </w:style>
  <w:style w:type="paragraph" w:styleId="Index2">
    <w:name w:val="index 2"/>
    <w:basedOn w:val="Normal"/>
    <w:next w:val="Normal"/>
    <w:pPr>
      <w:ind w:hanging="220" w:start="440" w:end="0"/>
      <w:jc w:val="start"/>
    </w:pPr>
    <w:rPr>
      <w:rFonts w:ascii="Arial" w:hAnsi="Arial" w:cs="B Lotus"/>
      <w:bCs w:val="false"/>
      <w:sz w:val="22"/>
    </w:rPr>
  </w:style>
  <w:style w:type="paragraph" w:styleId="Index3">
    <w:name w:val="index 3"/>
    <w:basedOn w:val="Normal"/>
    <w:next w:val="Normal"/>
    <w:pPr>
      <w:ind w:hanging="220" w:start="660" w:end="0"/>
      <w:jc w:val="start"/>
    </w:pPr>
    <w:rPr>
      <w:rFonts w:ascii="Arial" w:hAnsi="Arial" w:cs="B Lotus"/>
      <w:bCs w:val="false"/>
      <w:sz w:val="22"/>
    </w:rPr>
  </w:style>
  <w:style w:type="paragraph" w:styleId="Index4">
    <w:name w:val="Index 4"/>
    <w:basedOn w:val="Normal"/>
    <w:next w:val="Normal"/>
    <w:pPr>
      <w:ind w:hanging="220" w:start="880" w:end="0"/>
      <w:jc w:val="start"/>
    </w:pPr>
    <w:rPr>
      <w:rFonts w:ascii="Arial" w:hAnsi="Arial" w:cs="B Lotus"/>
      <w:bCs w:val="false"/>
      <w:sz w:val="22"/>
    </w:rPr>
  </w:style>
  <w:style w:type="paragraph" w:styleId="Index5">
    <w:name w:val="Index 5"/>
    <w:basedOn w:val="Normal"/>
    <w:next w:val="Normal"/>
    <w:pPr>
      <w:ind w:hanging="220" w:start="1100" w:end="0"/>
      <w:jc w:val="start"/>
    </w:pPr>
    <w:rPr>
      <w:rFonts w:ascii="Arial" w:hAnsi="Arial" w:cs="B Lotus"/>
      <w:bCs w:val="false"/>
      <w:sz w:val="22"/>
    </w:rPr>
  </w:style>
  <w:style w:type="paragraph" w:styleId="Index6">
    <w:name w:val="Index 6"/>
    <w:basedOn w:val="Normal"/>
    <w:next w:val="Normal"/>
    <w:pPr>
      <w:ind w:hanging="220" w:start="1320" w:end="0"/>
      <w:jc w:val="start"/>
    </w:pPr>
    <w:rPr>
      <w:rFonts w:ascii="Arial" w:hAnsi="Arial" w:cs="B Lotus"/>
      <w:bCs w:val="false"/>
      <w:sz w:val="22"/>
    </w:rPr>
  </w:style>
  <w:style w:type="paragraph" w:styleId="Index7">
    <w:name w:val="Index 7"/>
    <w:basedOn w:val="Normal"/>
    <w:next w:val="Normal"/>
    <w:pPr>
      <w:ind w:hanging="220" w:start="1540" w:end="0"/>
      <w:jc w:val="start"/>
    </w:pPr>
    <w:rPr>
      <w:rFonts w:ascii="Arial" w:hAnsi="Arial" w:cs="B Lotus"/>
      <w:bCs w:val="false"/>
      <w:sz w:val="22"/>
    </w:rPr>
  </w:style>
  <w:style w:type="paragraph" w:styleId="Index8">
    <w:name w:val="Index 8"/>
    <w:basedOn w:val="Normal"/>
    <w:next w:val="Normal"/>
    <w:pPr>
      <w:ind w:hanging="220" w:start="1760" w:end="0"/>
      <w:jc w:val="start"/>
    </w:pPr>
    <w:rPr>
      <w:rFonts w:ascii="Arial" w:hAnsi="Arial" w:cs="B Lotus"/>
      <w:bCs w:val="false"/>
      <w:sz w:val="22"/>
    </w:rPr>
  </w:style>
  <w:style w:type="paragraph" w:styleId="Index9">
    <w:name w:val="Index 9"/>
    <w:basedOn w:val="Normal"/>
    <w:next w:val="Normal"/>
    <w:pPr>
      <w:ind w:hanging="220" w:start="1980" w:end="0"/>
      <w:jc w:val="start"/>
    </w:pPr>
    <w:rPr>
      <w:rFonts w:ascii="Arial" w:hAnsi="Arial" w:cs="B Lotus"/>
      <w:bCs w:val="false"/>
      <w:sz w:val="22"/>
    </w:rPr>
  </w:style>
  <w:style w:type="paragraph" w:styleId="IndexHeading">
    <w:name w:val="index heading"/>
    <w:basedOn w:val="Normal"/>
    <w:next w:val="Index1"/>
    <w:pPr>
      <w:ind w:hanging="0" w:start="0" w:end="0"/>
      <w:jc w:val="start"/>
    </w:pPr>
    <w:rPr>
      <w:rFonts w:ascii="Arial" w:hAnsi="Arial" w:cs="B Lotus"/>
      <w:bCs w:val="false"/>
      <w:sz w:val="22"/>
    </w:rPr>
  </w:style>
  <w:style w:type="paragraph" w:styleId="ListBullet2">
    <w:name w:val="List Bullet 2"/>
    <w:basedOn w:val="Normal"/>
    <w:pPr>
      <w:ind w:hanging="283" w:start="566" w:end="0"/>
      <w:jc w:val="start"/>
    </w:pPr>
    <w:rPr>
      <w:rFonts w:ascii="Arial" w:hAnsi="Arial" w:cs="B Lotus"/>
    </w:rPr>
  </w:style>
  <w:style w:type="paragraph" w:styleId="Matn">
    <w:name w:val="Matn"/>
    <w:basedOn w:val="1-Lotus"/>
    <w:pPr>
      <w:spacing w:before="0" w:after="60"/>
      <w:ind w:hanging="0" w:start="0" w:end="0"/>
      <w:jc w:val="start"/>
    </w:pPr>
    <w:rPr>
      <w:bCs/>
    </w:rPr>
  </w:style>
  <w:style w:type="paragraph" w:styleId="MATN1TRAFFIC">
    <w:name w:val="MATN 1 TRAFFIC"/>
    <w:basedOn w:val="1-TRAFFIC"/>
    <w:pPr>
      <w:spacing w:before="0" w:after="80"/>
      <w:ind w:hanging="0" w:start="454" w:end="0"/>
      <w:jc w:val="start"/>
    </w:pPr>
    <w:rPr>
      <w:u w:val="single"/>
    </w:rPr>
  </w:style>
  <w:style w:type="paragraph" w:styleId="Matn-Alef-Lot">
    <w:name w:val="Matn-Alef-Lot"/>
    <w:basedOn w:val="Matn"/>
    <w:pPr>
      <w:tabs>
        <w:tab w:val="clear" w:pos="720"/>
        <w:tab w:val="left" w:pos="284" w:leader="none"/>
      </w:tabs>
      <w:ind w:hanging="624" w:start="624" w:end="0"/>
      <w:jc w:val="start"/>
    </w:pPr>
    <w:rPr/>
  </w:style>
  <w:style w:type="paragraph" w:styleId="Matn-Alef-yek-Lot">
    <w:name w:val="Matn-Alef-yek-Lot"/>
    <w:basedOn w:val="Matn-Alef-Lot"/>
    <w:pPr>
      <w:ind w:hanging="454" w:start="1078" w:end="0"/>
      <w:jc w:val="start"/>
    </w:pPr>
    <w:rPr/>
  </w:style>
  <w:style w:type="paragraph" w:styleId="ono-matn-Be-Faseleh">
    <w:name w:val="ono-matn-Be-Faseleh"/>
    <w:basedOn w:val="1-Matn-Traffic"/>
    <w:pPr>
      <w:spacing w:before="0" w:after="0"/>
      <w:ind w:hanging="0" w:start="454" w:end="0"/>
      <w:jc w:val="start"/>
    </w:pPr>
    <w:rPr>
      <w:rFonts w:cs="B Lotus"/>
      <w:szCs w:val="28"/>
    </w:rPr>
  </w:style>
  <w:style w:type="paragraph" w:styleId="TableofFigures">
    <w:name w:val="Table of Figures"/>
    <w:basedOn w:val="Normal"/>
    <w:next w:val="Normal"/>
    <w:pPr>
      <w:ind w:hanging="440" w:start="440" w:end="0"/>
      <w:jc w:val="start"/>
    </w:pPr>
    <w:rPr>
      <w:bCs w:val="false"/>
      <w:sz w:val="22"/>
    </w:rPr>
  </w:style>
  <w:style w:type="paragraph" w:styleId="TOC1">
    <w:name w:val="toc 1"/>
    <w:basedOn w:val="Normal"/>
    <w:next w:val="Normal"/>
    <w:pPr>
      <w:tabs>
        <w:tab w:val="clear" w:pos="720"/>
        <w:tab w:val="left" w:pos="464" w:leader="none"/>
        <w:tab w:val="center" w:pos="7371" w:leader="none"/>
      </w:tabs>
      <w:ind w:hanging="0" w:start="0" w:end="0"/>
      <w:jc w:val="start"/>
    </w:pPr>
    <w:rPr>
      <w:bCs w:val="false"/>
      <w:sz w:val="30"/>
    </w:rPr>
  </w:style>
  <w:style w:type="paragraph" w:styleId="TOC2">
    <w:name w:val="toc 2"/>
    <w:basedOn w:val="Normal"/>
    <w:next w:val="Normal"/>
    <w:pPr>
      <w:tabs>
        <w:tab w:val="clear" w:pos="720"/>
        <w:tab w:val="center" w:pos="7424" w:leader="none"/>
        <w:tab w:val="right" w:pos="8494" w:leader="none"/>
      </w:tabs>
      <w:ind w:hanging="0" w:start="220" w:end="0"/>
      <w:jc w:val="start"/>
    </w:pPr>
    <w:rPr>
      <w:bCs w:val="false"/>
      <w:sz w:val="22"/>
    </w:rPr>
  </w:style>
  <w:style w:type="paragraph" w:styleId="TOC3">
    <w:name w:val="toc 3"/>
    <w:basedOn w:val="Normal"/>
    <w:next w:val="Normal"/>
    <w:pPr>
      <w:ind w:hanging="0" w:start="440" w:end="0"/>
      <w:jc w:val="start"/>
    </w:pPr>
    <w:rPr>
      <w:bCs w:val="false"/>
      <w:sz w:val="22"/>
    </w:rPr>
  </w:style>
  <w:style w:type="paragraph" w:styleId="TOC4">
    <w:name w:val="toc 4"/>
    <w:basedOn w:val="Normal"/>
    <w:next w:val="Normal"/>
    <w:pPr>
      <w:ind w:hanging="0" w:start="660" w:end="0"/>
      <w:jc w:val="start"/>
    </w:pPr>
    <w:rPr>
      <w:bCs w:val="false"/>
      <w:sz w:val="22"/>
    </w:rPr>
  </w:style>
  <w:style w:type="paragraph" w:styleId="TOC5">
    <w:name w:val="toc 5"/>
    <w:basedOn w:val="Normal"/>
    <w:next w:val="Normal"/>
    <w:pPr>
      <w:ind w:hanging="0" w:start="880" w:end="0"/>
      <w:jc w:val="start"/>
    </w:pPr>
    <w:rPr>
      <w:bCs w:val="false"/>
      <w:sz w:val="22"/>
    </w:rPr>
  </w:style>
  <w:style w:type="paragraph" w:styleId="TOC6">
    <w:name w:val="toc 6"/>
    <w:basedOn w:val="Normal"/>
    <w:next w:val="Normal"/>
    <w:pPr>
      <w:ind w:hanging="0" w:start="1100" w:end="0"/>
      <w:jc w:val="start"/>
    </w:pPr>
    <w:rPr>
      <w:bCs w:val="false"/>
      <w:sz w:val="22"/>
    </w:rPr>
  </w:style>
  <w:style w:type="paragraph" w:styleId="TOC7">
    <w:name w:val="toc 7"/>
    <w:basedOn w:val="Normal"/>
    <w:next w:val="Normal"/>
    <w:pPr>
      <w:ind w:hanging="0" w:start="1320" w:end="0"/>
      <w:jc w:val="start"/>
    </w:pPr>
    <w:rPr>
      <w:bCs w:val="false"/>
      <w:sz w:val="22"/>
    </w:rPr>
  </w:style>
  <w:style w:type="paragraph" w:styleId="TOC8">
    <w:name w:val="toc 8"/>
    <w:basedOn w:val="Normal"/>
    <w:next w:val="Normal"/>
    <w:pPr>
      <w:ind w:hanging="0" w:start="1540" w:end="0"/>
      <w:jc w:val="start"/>
    </w:pPr>
    <w:rPr>
      <w:bCs w:val="false"/>
      <w:sz w:val="22"/>
    </w:rPr>
  </w:style>
  <w:style w:type="paragraph" w:styleId="TOC9">
    <w:name w:val="toc 9"/>
    <w:basedOn w:val="Normal"/>
    <w:next w:val="Normal"/>
    <w:pPr>
      <w:ind w:hanging="0" w:start="1760" w:end="0"/>
      <w:jc w:val="start"/>
    </w:pPr>
    <w:rPr>
      <w:bCs w:val="false"/>
      <w:sz w:val="22"/>
    </w:rPr>
  </w:style>
  <w:style w:type="paragraph" w:styleId="1Jadval">
    <w:name w:val="1 Jadval"/>
    <w:basedOn w:val="Normal"/>
    <w:pPr>
      <w:tabs>
        <w:tab w:val="clear" w:pos="720"/>
        <w:tab w:val="left" w:pos="680" w:leader="none"/>
        <w:tab w:val="left" w:pos="1026" w:leader="none"/>
      </w:tabs>
      <w:ind w:hanging="454" w:start="454" w:end="0"/>
      <w:jc w:val="both"/>
    </w:pPr>
    <w:rPr/>
  </w:style>
  <w:style w:type="paragraph" w:styleId="1JadvalTitr">
    <w:name w:val="1 Jadval Titr"/>
    <w:basedOn w:val="Normal"/>
    <w:pPr>
      <w:tabs>
        <w:tab w:val="clear" w:pos="720"/>
        <w:tab w:val="left" w:pos="680" w:leader="none"/>
        <w:tab w:val="left" w:pos="1026" w:leader="none"/>
      </w:tabs>
      <w:ind w:hanging="454" w:start="454" w:end="0"/>
      <w:jc w:val="both"/>
    </w:pPr>
    <w:rPr>
      <w:rFonts w:cs="B Zar"/>
      <w:b/>
      <w:sz w:val="22"/>
      <w:szCs w:val="24"/>
    </w:rPr>
  </w:style>
  <w:style w:type="paragraph" w:styleId="1Jadval2Alef">
    <w:name w:val="1 Jadval (2.Alef)"/>
    <w:basedOn w:val="1JadvalTitr"/>
    <w:pPr>
      <w:ind w:hanging="907" w:start="1361" w:end="0"/>
      <w:jc w:val="start"/>
    </w:pPr>
    <w:rPr>
      <w:rFonts w:cs="Lotus;Courier New"/>
      <w:szCs w:val="28"/>
    </w:rPr>
  </w:style>
  <w:style w:type="paragraph" w:styleId="NormalB">
    <w:name w:val="Normal B"/>
    <w:pPr>
      <w:widowControl/>
      <w:bidi w:val="0"/>
      <w:jc w:val="start"/>
    </w:pPr>
    <w:rPr>
      <w:rFonts w:ascii="CG Times;Times New Roman" w:hAnsi="CG Times;Times New Roman" w:eastAsia="Times New Roman" w:cs="Lotus;Courier New"/>
      <w:bCs/>
      <w:color w:val="auto"/>
      <w:sz w:val="22"/>
      <w:szCs w:val="28"/>
      <w:lang w:val="en-AU" w:bidi="fa-IR" w:eastAsia="zh-CN"/>
    </w:rPr>
  </w:style>
  <w:style w:type="paragraph" w:styleId="1Lotus">
    <w:name w:val="1 Lotus"/>
    <w:basedOn w:val="NormalB"/>
    <w:pPr>
      <w:bidi w:val="1"/>
      <w:spacing w:before="0" w:after="240"/>
      <w:ind w:hanging="567" w:start="567" w:end="0"/>
      <w:jc w:val="both"/>
    </w:pPr>
    <w:rPr>
      <w:lang w:val="en-US"/>
    </w:rPr>
  </w:style>
  <w:style w:type="paragraph" w:styleId="1LotusZirAlef">
    <w:name w:val="1 Lotus   Zir Alef"/>
    <w:basedOn w:val="1Lotus"/>
    <w:pPr>
      <w:spacing w:before="0" w:after="80"/>
      <w:ind w:hanging="567" w:start="567" w:end="0"/>
      <w:jc w:val="both"/>
    </w:pPr>
    <w:rPr/>
  </w:style>
  <w:style w:type="paragraph" w:styleId="1LotusAlef">
    <w:name w:val="1 Lotus Alef"/>
    <w:basedOn w:val="1Lotus"/>
    <w:pPr>
      <w:spacing w:before="0" w:after="80"/>
      <w:ind w:hanging="567" w:start="1134" w:end="0"/>
      <w:jc w:val="both"/>
    </w:pPr>
    <w:rPr/>
  </w:style>
  <w:style w:type="paragraph" w:styleId="1LotusAlef1">
    <w:name w:val="1 Lotus Alef (1)"/>
    <w:basedOn w:val="1LotusAlef"/>
    <w:pPr>
      <w:spacing w:before="0" w:after="0"/>
      <w:ind w:hanging="454" w:start="1588" w:end="0"/>
      <w:jc w:val="both"/>
    </w:pPr>
    <w:rPr/>
  </w:style>
  <w:style w:type="paragraph" w:styleId="1LotusAlefBullet">
    <w:name w:val="1 Lotus Alef Bullet"/>
    <w:basedOn w:val="1LotusAlef"/>
    <w:pPr>
      <w:numPr>
        <w:ilvl w:val="0"/>
        <w:numId w:val="18"/>
      </w:numPr>
      <w:ind w:hanging="567" w:start="1474" w:end="0"/>
      <w:jc w:val="both"/>
    </w:pPr>
    <w:rPr/>
  </w:style>
  <w:style w:type="paragraph" w:styleId="1LotusBullet">
    <w:name w:val="1 Lotus Bullet"/>
    <w:basedOn w:val="1Lotus"/>
    <w:pPr>
      <w:numPr>
        <w:ilvl w:val="0"/>
        <w:numId w:val="12"/>
      </w:numPr>
      <w:ind w:hanging="567" w:start="907" w:end="0"/>
      <w:jc w:val="both"/>
    </w:pPr>
    <w:rPr/>
  </w:style>
  <w:style w:type="paragraph" w:styleId="1Traffic">
    <w:name w:val="1 Traffic"/>
    <w:basedOn w:val="NormalB"/>
    <w:pPr>
      <w:bidi w:val="1"/>
      <w:spacing w:before="0" w:after="240"/>
      <w:ind w:hanging="567" w:start="567" w:end="0"/>
      <w:jc w:val="both"/>
    </w:pPr>
    <w:rPr>
      <w:rFonts w:cs="Traffic;Courier New"/>
      <w:szCs w:val="24"/>
      <w:lang w:val="en-US"/>
    </w:rPr>
  </w:style>
  <w:style w:type="paragraph" w:styleId="1TrafficAlef">
    <w:name w:val="1 Traffic Alef"/>
    <w:basedOn w:val="NormalB"/>
    <w:pPr>
      <w:bidi w:val="1"/>
      <w:spacing w:before="0" w:after="80"/>
      <w:ind w:hanging="567" w:start="1134" w:end="0"/>
      <w:jc w:val="both"/>
    </w:pPr>
    <w:rPr>
      <w:rFonts w:cs="Traffic;Courier New"/>
      <w:szCs w:val="24"/>
      <w:lang w:val="en-US"/>
    </w:rPr>
  </w:style>
  <w:style w:type="paragraph" w:styleId="1TrafficAlef1">
    <w:name w:val="1 Traffic Alef (1)"/>
    <w:basedOn w:val="NormalB"/>
    <w:pPr>
      <w:bidi w:val="1"/>
      <w:ind w:hanging="454" w:start="1588" w:end="0"/>
      <w:jc w:val="both"/>
    </w:pPr>
    <w:rPr>
      <w:lang w:val="en-US"/>
    </w:rPr>
  </w:style>
  <w:style w:type="paragraph" w:styleId="1TrafficAlefBullet">
    <w:name w:val="1 Traffic Alef Bullet"/>
    <w:basedOn w:val="1TrafficAlef"/>
    <w:pPr>
      <w:numPr>
        <w:ilvl w:val="0"/>
        <w:numId w:val="23"/>
      </w:numPr>
      <w:ind w:hanging="567" w:start="794" w:end="0"/>
      <w:jc w:val="both"/>
    </w:pPr>
    <w:rPr/>
  </w:style>
  <w:style w:type="paragraph" w:styleId="1TrafficBullet">
    <w:name w:val="1 Traffic Bullet"/>
    <w:basedOn w:val="1Traffic"/>
    <w:pPr>
      <w:numPr>
        <w:ilvl w:val="0"/>
        <w:numId w:val="16"/>
      </w:numPr>
      <w:spacing w:before="0" w:after="100"/>
      <w:ind w:hanging="567" w:start="907" w:end="0"/>
      <w:jc w:val="both"/>
    </w:pPr>
    <w:rPr/>
  </w:style>
  <w:style w:type="paragraph" w:styleId="1TrafficBulletAlef">
    <w:name w:val="1 Traffic Bullet Alef"/>
    <w:basedOn w:val="1TrafficAlef"/>
    <w:pPr>
      <w:ind w:hanging="624" w:start="1531" w:end="0"/>
      <w:jc w:val="both"/>
    </w:pPr>
    <w:rPr/>
  </w:style>
  <w:style w:type="paragraph" w:styleId="1TrafficZirAlef">
    <w:name w:val="1 Traffic Zir Alef"/>
    <w:basedOn w:val="NormalB"/>
    <w:pPr>
      <w:bidi w:val="1"/>
      <w:spacing w:before="0" w:after="80"/>
      <w:ind w:hanging="567" w:start="567" w:end="0"/>
      <w:jc w:val="both"/>
    </w:pPr>
    <w:rPr>
      <w:rFonts w:cs="Traffic;Courier New"/>
      <w:szCs w:val="24"/>
      <w:lang w:val="en-US"/>
    </w:rPr>
  </w:style>
  <w:style w:type="paragraph" w:styleId="AlefJadval">
    <w:name w:val="Alef Jadval"/>
    <w:basedOn w:val="Normal"/>
    <w:pPr>
      <w:tabs>
        <w:tab w:val="clear" w:pos="720"/>
        <w:tab w:val="left" w:pos="680" w:leader="none"/>
        <w:tab w:val="left" w:pos="1026" w:leader="none"/>
      </w:tabs>
      <w:ind w:hanging="624" w:start="624" w:end="0"/>
      <w:jc w:val="start"/>
    </w:pPr>
    <w:rPr/>
  </w:style>
  <w:style w:type="paragraph" w:styleId="BlockText">
    <w:name w:val="Block Text"/>
    <w:basedOn w:val="Normal"/>
    <w:pPr>
      <w:ind w:hanging="0" w:start="0" w:end="0"/>
      <w:jc w:val="start"/>
    </w:pPr>
    <w:rPr/>
  </w:style>
  <w:style w:type="paragraph" w:styleId="BodyTextFirstIndent">
    <w:name w:val="Body Text First Indent"/>
    <w:basedOn w:val="BodyText"/>
    <w:pPr>
      <w:ind w:hanging="0" w:start="0" w:end="0"/>
      <w:jc w:val="center"/>
    </w:pPr>
    <w:rPr/>
  </w:style>
  <w:style w:type="paragraph" w:styleId="BodyTextFirstIndent2">
    <w:name w:val="Body Text First Indent 2"/>
    <w:basedOn w:val="BodyTextIndent"/>
    <w:pPr>
      <w:ind w:hanging="567" w:start="567" w:end="0"/>
      <w:jc w:val="both"/>
    </w:pPr>
    <w:rPr/>
  </w:style>
  <w:style w:type="paragraph" w:styleId="Closing">
    <w:name w:val="Closing"/>
    <w:basedOn w:val="Normal"/>
    <w:pPr>
      <w:ind w:hanging="0" w:start="0" w:end="0"/>
      <w:jc w:val="start"/>
    </w:pPr>
    <w:rPr/>
  </w:style>
  <w:style w:type="paragraph" w:styleId="Date">
    <w:name w:val="Date"/>
    <w:basedOn w:val="Normal"/>
    <w:next w:val="Normal"/>
    <w:pPr>
      <w:ind w:hanging="0" w:start="0" w:end="0"/>
      <w:jc w:val="start"/>
    </w:pPr>
    <w:rPr/>
  </w:style>
  <w:style w:type="paragraph" w:styleId="E-mailSignature">
    <w:name w:val="E-mail Signature"/>
    <w:basedOn w:val="Normal"/>
    <w:pPr>
      <w:ind w:hanging="0" w:start="0" w:end="0"/>
      <w:jc w:val="start"/>
    </w:pPr>
    <w:rPr/>
  </w:style>
  <w:style w:type="paragraph" w:styleId="EndnoteText">
    <w:name w:val="endnote text"/>
    <w:basedOn w:val="Normal"/>
    <w:pPr>
      <w:ind w:hanging="0" w:start="0" w:end="0"/>
      <w:jc w:val="start"/>
    </w:pPr>
    <w:rPr>
      <w:sz w:val="20"/>
      <w:szCs w:val="24"/>
    </w:rPr>
  </w:style>
  <w:style w:type="paragraph" w:styleId="EnvelopeAddress">
    <w:name w:val="envelope address"/>
    <w:basedOn w:val="Normal"/>
    <w:pPr>
      <w:ind w:hanging="0" w:start="0" w:end="0"/>
      <w:jc w:val="start"/>
    </w:pPr>
    <w:rPr/>
  </w:style>
  <w:style w:type="paragraph" w:styleId="EnvelopeReturn">
    <w:name w:val="envelope return"/>
    <w:basedOn w:val="Normal"/>
    <w:pPr>
      <w:ind w:hanging="0" w:start="0" w:end="0"/>
      <w:jc w:val="start"/>
    </w:pPr>
    <w:rPr>
      <w:sz w:val="20"/>
      <w:szCs w:val="24"/>
    </w:rPr>
  </w:style>
  <w:style w:type="paragraph" w:styleId="Fa">
    <w:name w:val="Fa"/>
    <w:basedOn w:val="NormalB"/>
    <w:pPr>
      <w:spacing w:lineRule="exact" w:line="220"/>
    </w:pPr>
    <w:rPr/>
  </w:style>
  <w:style w:type="paragraph" w:styleId="Fehrest">
    <w:name w:val="Fehrest"/>
    <w:basedOn w:val="NormalB"/>
    <w:pPr>
      <w:tabs>
        <w:tab w:val="clear" w:pos="720"/>
        <w:tab w:val="center" w:pos="680" w:leader="none"/>
        <w:tab w:val="left" w:pos="1814" w:leader="none"/>
        <w:tab w:val="center" w:pos="7938" w:leader="none"/>
      </w:tabs>
    </w:pPr>
    <w:rPr>
      <w:rFonts w:cs="B Zar"/>
      <w:szCs w:val="24"/>
    </w:rPr>
  </w:style>
  <w:style w:type="paragraph" w:styleId="Fehrest2">
    <w:name w:val="Fehrest 2"/>
    <w:basedOn w:val="NormalB"/>
    <w:pPr>
      <w:tabs>
        <w:tab w:val="clear" w:pos="720"/>
        <w:tab w:val="left" w:pos="283" w:leader="none"/>
        <w:tab w:val="left" w:pos="567" w:leader="none"/>
        <w:tab w:val="left" w:pos="850" w:leader="none"/>
        <w:tab w:val="left" w:pos="1134" w:leader="none"/>
        <w:tab w:val="left" w:pos="7206" w:leader="none"/>
        <w:tab w:val="center" w:pos="7608" w:leader="none"/>
        <w:tab w:val="left" w:pos="7716" w:leader="none"/>
      </w:tabs>
    </w:pPr>
    <w:rPr/>
  </w:style>
  <w:style w:type="paragraph" w:styleId="Heading1Zar13">
    <w:name w:val="Heading (1) Zar 13"/>
    <w:basedOn w:val="NormalB"/>
    <w:pPr>
      <w:keepNext w:val="true"/>
      <w:bidi w:val="1"/>
      <w:ind w:hanging="0" w:start="0" w:end="0"/>
      <w:jc w:val="both"/>
    </w:pPr>
    <w:rPr>
      <w:rFonts w:cs="Zar"/>
      <w:szCs w:val="26"/>
      <w:lang w:val="en-US"/>
    </w:rPr>
  </w:style>
  <w:style w:type="paragraph" w:styleId="Heading2Zar11">
    <w:name w:val="Heading (2) Zar 11"/>
    <w:basedOn w:val="Heading1Zar13"/>
    <w:pPr>
      <w:ind w:hanging="0" w:start="0" w:end="0"/>
      <w:jc w:val="both"/>
    </w:pPr>
    <w:rPr>
      <w:szCs w:val="22"/>
    </w:rPr>
  </w:style>
  <w:style w:type="paragraph" w:styleId="Heading3Zar9">
    <w:name w:val="Heading (3)  Zar 9"/>
    <w:basedOn w:val="Heading2Zar11"/>
    <w:pPr>
      <w:ind w:hanging="0" w:start="0" w:end="0"/>
      <w:jc w:val="both"/>
    </w:pPr>
    <w:rPr>
      <w:szCs w:val="18"/>
    </w:rPr>
  </w:style>
  <w:style w:type="paragraph" w:styleId="HTMLAddress">
    <w:name w:val="HTML Address"/>
    <w:basedOn w:val="Normal"/>
    <w:pPr>
      <w:ind w:hanging="0" w:start="0" w:end="0"/>
      <w:jc w:val="start"/>
    </w:pPr>
    <w:rPr>
      <w:i/>
      <w:iCs/>
    </w:rPr>
  </w:style>
  <w:style w:type="paragraph" w:styleId="HTMLPreformatted">
    <w:name w:val="HTML Preformatted"/>
    <w:basedOn w:val="Normal"/>
    <w:pPr>
      <w:ind w:hanging="0" w:start="0" w:end="0"/>
      <w:jc w:val="start"/>
    </w:pPr>
    <w:rPr>
      <w:sz w:val="20"/>
      <w:szCs w:val="24"/>
    </w:rPr>
  </w:style>
  <w:style w:type="paragraph" w:styleId="in">
    <w:name w:val="in"/>
    <w:basedOn w:val="NormalB"/>
    <w:pPr>
      <w:spacing w:before="240" w:after="0"/>
      <w:ind w:hanging="0" w:start="1134" w:end="1134"/>
      <w:jc w:val="center"/>
    </w:pPr>
    <w:rPr>
      <w:iCs/>
    </w:rPr>
  </w:style>
  <w:style w:type="paragraph" w:styleId="ListBullet3">
    <w:name w:val="List Bullet 3"/>
    <w:basedOn w:val="Normal"/>
    <w:pPr>
      <w:ind w:hanging="397" w:start="1191" w:end="0"/>
      <w:jc w:val="start"/>
    </w:pPr>
    <w:rPr/>
  </w:style>
  <w:style w:type="paragraph" w:styleId="ListBullet4">
    <w:name w:val="List Bullet 4"/>
    <w:basedOn w:val="Normal"/>
    <w:pPr>
      <w:ind w:hanging="397" w:start="2155" w:end="0"/>
      <w:jc w:val="start"/>
    </w:pPr>
    <w:rPr/>
  </w:style>
  <w:style w:type="paragraph" w:styleId="ListBullet5">
    <w:name w:val="List Bullet 5"/>
    <w:basedOn w:val="Normal"/>
    <w:pPr>
      <w:ind w:hanging="397" w:start="1985" w:end="0"/>
      <w:jc w:val="start"/>
    </w:pPr>
    <w:rPr/>
  </w:style>
  <w:style w:type="paragraph" w:styleId="ListBullet">
    <w:name w:val="List Bullet"/>
    <w:basedOn w:val="Normal"/>
    <w:pPr>
      <w:numPr>
        <w:ilvl w:val="0"/>
        <w:numId w:val="11"/>
      </w:numPr>
      <w:ind w:hanging="340" w:start="340" w:end="0"/>
      <w:jc w:val="start"/>
    </w:pPr>
    <w:rPr/>
  </w:style>
  <w:style w:type="paragraph" w:styleId="ListBullet21">
    <w:name w:val="List Bullet 21"/>
    <w:basedOn w:val="Normal"/>
    <w:pPr>
      <w:numPr>
        <w:ilvl w:val="0"/>
        <w:numId w:val="9"/>
      </w:numPr>
      <w:ind w:hanging="340" w:start="680" w:end="0"/>
      <w:jc w:val="start"/>
    </w:pPr>
    <w:rPr/>
  </w:style>
  <w:style w:type="paragraph" w:styleId="ListBullet31">
    <w:name w:val="List Bullet 31"/>
    <w:basedOn w:val="Normal"/>
    <w:pPr>
      <w:numPr>
        <w:ilvl w:val="0"/>
        <w:numId w:val="8"/>
      </w:numPr>
      <w:ind w:hanging="340" w:start="1361" w:end="0"/>
      <w:jc w:val="start"/>
    </w:pPr>
    <w:rPr/>
  </w:style>
  <w:style w:type="paragraph" w:styleId="ListBullet41">
    <w:name w:val="List Bullet 41"/>
    <w:basedOn w:val="Normal"/>
    <w:pPr>
      <w:numPr>
        <w:ilvl w:val="0"/>
        <w:numId w:val="7"/>
      </w:numPr>
      <w:ind w:hanging="397" w:start="1758" w:end="0"/>
      <w:jc w:val="start"/>
    </w:pPr>
    <w:rPr/>
  </w:style>
  <w:style w:type="paragraph" w:styleId="ListBullet51">
    <w:name w:val="List Bullet 51"/>
    <w:basedOn w:val="Normal"/>
    <w:pPr>
      <w:numPr>
        <w:ilvl w:val="0"/>
        <w:numId w:val="6"/>
      </w:numPr>
      <w:ind w:hanging="397" w:start="2098" w:end="0"/>
      <w:jc w:val="start"/>
    </w:pPr>
    <w:rPr/>
  </w:style>
  <w:style w:type="paragraph" w:styleId="ListContinue">
    <w:name w:val="List Continue"/>
    <w:basedOn w:val="Normal"/>
    <w:pPr>
      <w:ind w:hanging="0" w:start="397" w:end="0"/>
      <w:jc w:val="start"/>
    </w:pPr>
    <w:rPr/>
  </w:style>
  <w:style w:type="paragraph" w:styleId="ListContinue2">
    <w:name w:val="List Continue 2"/>
    <w:basedOn w:val="Normal"/>
    <w:pPr>
      <w:spacing w:before="0" w:after="120"/>
      <w:ind w:hanging="0" w:start="566" w:end="0"/>
      <w:jc w:val="start"/>
    </w:pPr>
    <w:rPr/>
  </w:style>
  <w:style w:type="paragraph" w:styleId="MacroText">
    <w:name w:val="Macro Text"/>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G Times;Times New Roman" w:hAnsi="CG Times;Times New Roman" w:eastAsia="Times New Roman" w:cs="Zar"/>
      <w:bCs/>
      <w:color w:val="auto"/>
      <w:sz w:val="20"/>
      <w:szCs w:val="20"/>
      <w:lang w:val="en-US" w:eastAsia="en-US" w:bidi="fa-IR"/>
    </w:rPr>
  </w:style>
  <w:style w:type="paragraph" w:styleId="Matn--">
    <w:name w:val="Matn --"/>
    <w:basedOn w:val="Normal"/>
    <w:pPr>
      <w:bidi w:val="0"/>
      <w:ind w:hanging="284" w:start="851" w:end="851"/>
      <w:jc w:val="start"/>
    </w:pPr>
    <w:rPr>
      <w:sz w:val="22"/>
      <w:lang w:val="en-AU"/>
    </w:rPr>
  </w:style>
  <w:style w:type="paragraph" w:styleId="MessageHeader">
    <w:name w:val="Message Header"/>
    <w:basedOn w:val="Normal"/>
    <w:pPr>
      <w:pBdr>
        <w:top w:val="single" w:sz="6" w:space="1" w:color="000000"/>
        <w:left w:val="single" w:sz="6" w:space="1" w:color="000000"/>
        <w:bottom w:val="single" w:sz="6" w:space="1" w:color="000000"/>
        <w:right w:val="single" w:sz="6" w:space="1" w:color="000000"/>
      </w:pBdr>
      <w:shd w:fill="CCCCCC" w:val="clear"/>
      <w:ind w:hanging="1134" w:start="1134" w:end="0"/>
      <w:jc w:val="start"/>
    </w:pPr>
    <w:rPr>
      <w:rFonts w:cs="Zar"/>
      <w:szCs w:val="24"/>
    </w:rPr>
  </w:style>
  <w:style w:type="paragraph" w:styleId="NormalWeb">
    <w:name w:val="Normal (Web)"/>
    <w:basedOn w:val="Normal"/>
    <w:pPr>
      <w:ind w:hanging="0" w:start="0" w:end="0"/>
      <w:jc w:val="start"/>
    </w:pPr>
    <w:rPr/>
  </w:style>
  <w:style w:type="paragraph" w:styleId="NormalIndent">
    <w:name w:val="Normal Indent"/>
    <w:basedOn w:val="Normal"/>
    <w:pPr>
      <w:ind w:hanging="0" w:start="567" w:end="0"/>
      <w:jc w:val="start"/>
    </w:pPr>
    <w:rPr/>
  </w:style>
  <w:style w:type="paragraph" w:styleId="NoteHeading">
    <w:name w:val="Note Heading"/>
    <w:basedOn w:val="Normal"/>
    <w:next w:val="Normal"/>
    <w:pPr>
      <w:ind w:hanging="0" w:start="0" w:end="0"/>
      <w:jc w:val="start"/>
    </w:pPr>
    <w:rPr/>
  </w:style>
  <w:style w:type="paragraph" w:styleId="OnvanPage1">
    <w:name w:val="Onvan Page 1"/>
    <w:basedOn w:val="NormalB"/>
    <w:pPr>
      <w:tabs>
        <w:tab w:val="clear" w:pos="720"/>
        <w:tab w:val="left" w:pos="283" w:leader="none"/>
        <w:tab w:val="left" w:pos="567" w:leader="none"/>
        <w:tab w:val="left" w:pos="850" w:leader="none"/>
        <w:tab w:val="left" w:pos="1134" w:leader="none"/>
        <w:tab w:val="left" w:pos="7206" w:leader="none"/>
        <w:tab w:val="center" w:pos="7608" w:leader="none"/>
        <w:tab w:val="left" w:pos="7716" w:leader="none"/>
      </w:tabs>
      <w:jc w:val="center"/>
    </w:pPr>
    <w:rPr>
      <w:rFonts w:cs="Titr"/>
      <w:b/>
      <w:bCs w:val="false"/>
    </w:rPr>
  </w:style>
  <w:style w:type="paragraph" w:styleId="PlainText">
    <w:name w:val="Plain Text"/>
    <w:basedOn w:val="Normal"/>
    <w:pPr>
      <w:ind w:hanging="0" w:start="0" w:end="0"/>
      <w:jc w:val="start"/>
    </w:pPr>
    <w:rPr>
      <w:sz w:val="20"/>
      <w:szCs w:val="24"/>
    </w:rPr>
  </w:style>
  <w:style w:type="paragraph" w:styleId="Salutation">
    <w:name w:val="Salutation"/>
    <w:basedOn w:val="Normal"/>
    <w:next w:val="Normal"/>
    <w:pPr>
      <w:ind w:hanging="0" w:start="0" w:end="0"/>
      <w:jc w:val="start"/>
    </w:pPr>
    <w:rPr/>
  </w:style>
  <w:style w:type="paragraph" w:styleId="Style11">
    <w:name w:val="Style1"/>
    <w:basedOn w:val="Normal"/>
    <w:pPr>
      <w:ind w:hanging="0" w:start="0" w:end="0"/>
      <w:jc w:val="start"/>
    </w:pPr>
    <w:rPr/>
  </w:style>
  <w:style w:type="paragraph" w:styleId="Subtitle">
    <w:name w:val="Subtitle"/>
    <w:basedOn w:val="Normal"/>
    <w:next w:val="BodyText"/>
    <w:pPr>
      <w:spacing w:before="0" w:after="60"/>
      <w:ind w:hanging="0" w:start="0" w:end="0"/>
      <w:jc w:val="center"/>
      <w:outlineLvl w:val="1"/>
    </w:pPr>
    <w:rPr/>
  </w:style>
  <w:style w:type="paragraph" w:styleId="TableofAuthorities">
    <w:name w:val="Table of Authorities"/>
    <w:basedOn w:val="Normal"/>
    <w:next w:val="Normal"/>
    <w:pPr>
      <w:ind w:hanging="240" w:start="240" w:end="0"/>
      <w:jc w:val="start"/>
    </w:pPr>
    <w:rPr/>
  </w:style>
  <w:style w:type="paragraph" w:styleId="TitreVasatLarge">
    <w:name w:val="Titr e Vasat Large"/>
    <w:basedOn w:val="NormalB"/>
    <w:pPr>
      <w:jc w:val="center"/>
    </w:pPr>
    <w:rPr>
      <w:rFonts w:cs="B Titr"/>
      <w:b/>
      <w:szCs w:val="32"/>
    </w:rPr>
  </w:style>
  <w:style w:type="paragraph" w:styleId="111">
    <w:name w:val="فاصله  11"/>
    <w:basedOn w:val="NormalB"/>
    <w:pPr>
      <w:bidi w:val="1"/>
      <w:ind w:hanging="0" w:start="0" w:end="0"/>
      <w:jc w:val="both"/>
    </w:pPr>
    <w:rPr>
      <w:szCs w:val="22"/>
      <w:lang w:val="en-US"/>
    </w:rPr>
  </w:style>
  <w:style w:type="paragraph" w:styleId="14">
    <w:name w:val="فاصله  14"/>
    <w:basedOn w:val="NormalB"/>
    <w:pPr>
      <w:bidi w:val="1"/>
      <w:ind w:hanging="0" w:start="0" w:end="0"/>
      <w:jc w:val="both"/>
    </w:pPr>
    <w:rPr>
      <w:sz w:val="28"/>
      <w:lang w:val="en-US"/>
    </w:rPr>
  </w:style>
  <w:style w:type="paragraph" w:styleId="4">
    <w:name w:val="فاصله  4"/>
    <w:basedOn w:val="NormalB"/>
    <w:pPr>
      <w:bidi w:val="1"/>
      <w:ind w:hanging="0" w:start="0" w:end="0"/>
      <w:jc w:val="both"/>
    </w:pPr>
    <w:rPr>
      <w:sz w:val="8"/>
      <w:szCs w:val="8"/>
      <w:lang w:val="en-US"/>
    </w:rPr>
  </w:style>
  <w:style w:type="paragraph" w:styleId="7">
    <w:name w:val="فاصله  7"/>
    <w:basedOn w:val="NormalB"/>
    <w:pPr>
      <w:bidi w:val="1"/>
      <w:ind w:hanging="0" w:start="0" w:end="0"/>
      <w:jc w:val="both"/>
    </w:pPr>
    <w:rPr>
      <w:sz w:val="14"/>
      <w:szCs w:val="14"/>
      <w:lang w:val="en-US"/>
    </w:rPr>
  </w:style>
  <w:style w:type="paragraph" w:styleId="1Lotus1">
    <w:name w:val="1 =  Lotus"/>
    <w:basedOn w:val="NormalB"/>
    <w:pPr>
      <w:bidi w:val="1"/>
      <w:spacing w:before="0" w:after="240"/>
      <w:ind w:hanging="567" w:start="567" w:end="567"/>
      <w:jc w:val="both"/>
    </w:pPr>
    <w:rPr>
      <w:rFonts w:ascii="Times New Roman" w:hAnsi="Times New Roman" w:cs="B Lotus"/>
      <w:lang w:val="en-US"/>
    </w:rPr>
  </w:style>
  <w:style w:type="paragraph" w:styleId="1LotusZirAlef1">
    <w:name w:val="1 =  Lotus  Zir  Alef"/>
    <w:basedOn w:val="1Lotus1"/>
    <w:pPr>
      <w:spacing w:before="0" w:after="80"/>
      <w:ind w:hanging="567" w:start="567" w:end="0"/>
      <w:jc w:val="both"/>
    </w:pPr>
    <w:rPr/>
  </w:style>
  <w:style w:type="paragraph" w:styleId="1LotusAlef2">
    <w:name w:val="1 = Lotus = Alef"/>
    <w:basedOn w:val="1LotusZirAlef1"/>
    <w:pPr>
      <w:tabs>
        <w:tab w:val="clear" w:pos="720"/>
        <w:tab w:val="left" w:pos="907" w:leader="none"/>
      </w:tabs>
      <w:ind w:hanging="624" w:start="1191" w:end="0"/>
      <w:jc w:val="both"/>
    </w:pPr>
    <w:rPr/>
  </w:style>
  <w:style w:type="paragraph" w:styleId="1Traffic1">
    <w:name w:val="1 = Traffic"/>
    <w:basedOn w:val="NormalB"/>
    <w:pPr>
      <w:bidi w:val="1"/>
      <w:spacing w:before="0" w:after="240"/>
      <w:ind w:hanging="567" w:start="567" w:end="567"/>
      <w:jc w:val="both"/>
    </w:pPr>
    <w:rPr>
      <w:rFonts w:ascii="Times New Roman" w:hAnsi="Times New Roman" w:cs="B Traffic"/>
      <w:szCs w:val="22"/>
      <w:lang w:val="en-US"/>
    </w:rPr>
  </w:style>
  <w:style w:type="paragraph" w:styleId="1TrafficZirAlef1">
    <w:name w:val="1 = Traffic =  Zir  Alef"/>
    <w:basedOn w:val="1Traffic1"/>
    <w:pPr>
      <w:spacing w:before="0" w:after="60"/>
      <w:ind w:hanging="567" w:start="567" w:end="0"/>
      <w:jc w:val="both"/>
    </w:pPr>
    <w:rPr/>
  </w:style>
  <w:style w:type="paragraph" w:styleId="1TrafficAlef2">
    <w:name w:val="1 = Traffic = Alef"/>
    <w:basedOn w:val="1TrafficZirAlef1"/>
    <w:pPr>
      <w:tabs>
        <w:tab w:val="clear" w:pos="720"/>
        <w:tab w:val="left" w:pos="907" w:leader="none"/>
      </w:tabs>
      <w:ind w:hanging="624" w:start="1191" w:end="0"/>
      <w:jc w:val="both"/>
    </w:pPr>
    <w:rPr/>
  </w:style>
  <w:style w:type="paragraph" w:styleId="1TrafficBulletFa3">
    <w:name w:val="1 = Traffic = Bullet  (Fa 3)"/>
    <w:basedOn w:val="1TrafficZirAlef1"/>
    <w:pPr>
      <w:ind w:hanging="284" w:start="851" w:end="0"/>
      <w:jc w:val="both"/>
    </w:pPr>
    <w:rPr/>
  </w:style>
  <w:style w:type="paragraph" w:styleId="1TrafficBulletFa8">
    <w:name w:val="1 = Traffic = Bullet  (Fa 8)"/>
    <w:basedOn w:val="1TrafficBulletFa3"/>
    <w:pPr>
      <w:numPr>
        <w:ilvl w:val="0"/>
        <w:numId w:val="17"/>
      </w:numPr>
      <w:spacing w:before="0" w:after="160"/>
      <w:ind w:hanging="284" w:start="851" w:end="0"/>
      <w:jc w:val="both"/>
    </w:pPr>
    <w:rPr/>
  </w:style>
  <w:style w:type="paragraph" w:styleId="1TrafficBulletAlef1">
    <w:name w:val="1 = Traffic = Bullet = Alef"/>
    <w:basedOn w:val="1TrafficBulletFa3"/>
    <w:pPr>
      <w:tabs>
        <w:tab w:val="clear" w:pos="720"/>
        <w:tab w:val="left" w:pos="1191" w:leader="none"/>
      </w:tabs>
      <w:spacing w:before="0" w:after="120"/>
      <w:ind w:hanging="624" w:start="1475" w:end="0"/>
      <w:jc w:val="both"/>
    </w:pPr>
    <w:rPr/>
  </w:style>
  <w:style w:type="paragraph" w:styleId="One-Alef-Lotus">
    <w:name w:val="One-Alef-Lotus"/>
    <w:basedOn w:val="Normal"/>
    <w:pPr>
      <w:tabs>
        <w:tab w:val="clear" w:pos="720"/>
        <w:tab w:val="left" w:pos="907" w:leader="none"/>
      </w:tabs>
      <w:spacing w:before="0" w:after="60"/>
      <w:ind w:hanging="567" w:start="1134" w:end="0"/>
      <w:jc w:val="both"/>
    </w:pPr>
    <w:rPr>
      <w:rFonts w:ascii="TIMEZ;Times" w:hAnsi="TIMEZ;Times" w:cs="B Lotus"/>
      <w:b/>
      <w:color w:val="000000"/>
    </w:rPr>
  </w:style>
  <w:style w:type="paragraph" w:styleId="1LotusAlef11">
    <w:name w:val="1 = Lotus = Alef = (1)"/>
    <w:basedOn w:val="1LotusAlef2"/>
    <w:pPr>
      <w:tabs>
        <w:tab w:val="clear" w:pos="907"/>
      </w:tabs>
      <w:ind w:hanging="454" w:start="1645" w:end="0"/>
      <w:jc w:val="both"/>
    </w:pPr>
    <w:rPr/>
  </w:style>
  <w:style w:type="paragraph" w:styleId="1LotusZir">
    <w:name w:val="1 = Lotus  = Zir"/>
    <w:basedOn w:val="1Lotus1"/>
    <w:pPr>
      <w:spacing w:before="0" w:after="80"/>
      <w:ind w:hanging="0" w:start="567" w:end="0"/>
      <w:jc w:val="both"/>
    </w:pPr>
    <w:rPr/>
  </w:style>
  <w:style w:type="paragraph" w:styleId="1LotusAlefZir">
    <w:name w:val="1 = Lotus = Alef = Zir"/>
    <w:basedOn w:val="1LotusAlef2"/>
    <w:pPr>
      <w:ind w:hanging="0" w:start="1191" w:end="0"/>
      <w:jc w:val="both"/>
    </w:pPr>
    <w:rPr/>
  </w:style>
  <w:style w:type="paragraph" w:styleId="FehrestMatn">
    <w:name w:val="Fehrest Matn"/>
    <w:basedOn w:val="NormalB"/>
    <w:pPr>
      <w:bidi w:val="1"/>
      <w:ind w:hanging="0" w:start="0" w:end="0"/>
      <w:jc w:val="start"/>
    </w:pPr>
    <w:rPr>
      <w:rFonts w:ascii="Times New Roman" w:hAnsi="Times New Roman" w:cs="B Lotus"/>
      <w:b/>
      <w:sz w:val="28"/>
      <w:lang w:val="en-US"/>
    </w:rPr>
  </w:style>
  <w:style w:type="paragraph" w:styleId="MesalTraffic">
    <w:name w:val="Mesal  Traffic"/>
    <w:basedOn w:val="NormalB"/>
    <w:pPr>
      <w:keepNext w:val="true"/>
      <w:bidi w:val="1"/>
      <w:spacing w:before="240" w:after="45"/>
      <w:ind w:hanging="0" w:start="0" w:end="0"/>
      <w:jc w:val="both"/>
    </w:pPr>
    <w:rPr>
      <w:rFonts w:ascii="Times New Roman" w:hAnsi="Times New Roman" w:cs="B Traffic"/>
      <w:sz w:val="20"/>
      <w:szCs w:val="24"/>
      <w:lang w:val="en-US"/>
    </w:rPr>
  </w:style>
  <w:style w:type="paragraph" w:styleId="MatnAlef">
    <w:name w:val="Matn = Alef"/>
    <w:basedOn w:val="Matn"/>
    <w:pPr>
      <w:tabs>
        <w:tab w:val="clear" w:pos="720"/>
        <w:tab w:val="left" w:pos="397" w:leader="none"/>
      </w:tabs>
      <w:spacing w:before="0" w:after="90"/>
      <w:ind w:hanging="690" w:start="690" w:end="0"/>
      <w:jc w:val="both"/>
    </w:pPr>
    <w:rPr>
      <w:rFonts w:ascii="Times New Roman" w:hAnsi="Times New Roman" w:cs="Times New Roman"/>
      <w:color w:val="000000"/>
    </w:rPr>
  </w:style>
  <w:style w:type="paragraph" w:styleId="JadvalTitreNazanin">
    <w:name w:val="Jadval Titre Nazanin"/>
    <w:basedOn w:val="NormalB"/>
    <w:pPr>
      <w:pBdr>
        <w:bottom w:val="single" w:sz="4" w:space="1" w:color="000000"/>
      </w:pBdr>
      <w:bidi w:val="1"/>
      <w:spacing w:before="0" w:after="120"/>
      <w:ind w:hanging="0" w:start="-57" w:end="-57"/>
      <w:jc w:val="center"/>
    </w:pPr>
    <w:rPr>
      <w:rFonts w:ascii="Times New Roman" w:hAnsi="Times New Roman" w:cs="B Nazanin"/>
      <w:spacing w:val="-4"/>
      <w:sz w:val="18"/>
      <w:szCs w:val="18"/>
      <w:lang w:val="en-US"/>
    </w:rPr>
  </w:style>
  <w:style w:type="paragraph" w:styleId="Rial">
    <w:name w:val="Rial"/>
    <w:basedOn w:val="NormalB"/>
    <w:pPr>
      <w:bidi w:val="1"/>
      <w:spacing w:before="0" w:after="40"/>
      <w:ind w:hanging="0" w:start="0" w:end="0"/>
      <w:jc w:val="center"/>
    </w:pPr>
    <w:rPr>
      <w:rFonts w:ascii="Times New Roman" w:hAnsi="Times New Roman" w:cs="B Zar"/>
      <w:sz w:val="14"/>
      <w:szCs w:val="18"/>
      <w:lang w:val="en-US"/>
    </w:rPr>
  </w:style>
  <w:style w:type="paragraph" w:styleId="CommentSubject">
    <w:name w:val="Comment Subject"/>
    <w:basedOn w:val="NormalB"/>
    <w:next w:val="NormalB"/>
    <w:pPr>
      <w:bidi w:val="1"/>
      <w:ind w:hanging="0" w:start="0" w:end="0"/>
      <w:jc w:val="both"/>
    </w:pPr>
    <w:rPr>
      <w:rFonts w:ascii="Times New Roman" w:hAnsi="Times New Roman" w:cs="B Lotus"/>
      <w:lang w:val="en-US"/>
    </w:rPr>
  </w:style>
  <w:style w:type="paragraph" w:styleId="BalloonText">
    <w:name w:val="Balloon Text"/>
    <w:basedOn w:val="NormalB"/>
    <w:next w:val="NormalB"/>
    <w:pPr>
      <w:bidi w:val="1"/>
      <w:ind w:hanging="0" w:start="0" w:end="0"/>
      <w:jc w:val="both"/>
    </w:pPr>
    <w:rPr>
      <w:rFonts w:ascii="Times New Roman" w:hAnsi="Times New Roman" w:cs="B Lotus"/>
      <w:sz w:val="24"/>
      <w:lang w:val="en-US"/>
    </w:rPr>
  </w:style>
  <w:style w:type="paragraph" w:styleId="JadvalNumL13">
    <w:name w:val="Jadval Num (L 13)"/>
    <w:basedOn w:val="NormalB"/>
    <w:pPr>
      <w:bidi w:val="1"/>
      <w:spacing w:before="0" w:after="40"/>
      <w:ind w:hanging="0" w:start="0" w:end="0"/>
      <w:jc w:val="center"/>
    </w:pPr>
    <w:rPr>
      <w:rFonts w:ascii="Times New Roman" w:hAnsi="Times New Roman" w:cs="B Lotus"/>
      <w:szCs w:val="26"/>
      <w:lang w:val="en-US"/>
    </w:rPr>
  </w:style>
  <w:style w:type="paragraph" w:styleId="JadvalMatn">
    <w:name w:val="Jadval  Matn"/>
    <w:basedOn w:val="NormalB"/>
    <w:pPr>
      <w:bidi w:val="1"/>
      <w:spacing w:before="0" w:after="40"/>
      <w:ind w:hanging="0" w:start="0" w:end="0"/>
      <w:jc w:val="both"/>
    </w:pPr>
    <w:rPr>
      <w:rFonts w:ascii="Times New Roman" w:hAnsi="Times New Roman" w:cs="B Lotus"/>
      <w:szCs w:val="26"/>
      <w:lang w:val="en-US"/>
    </w:rPr>
  </w:style>
  <w:style w:type="paragraph" w:styleId="JadvalTitrVasatBala">
    <w:name w:val="Jadval = Titr Vasat Bala"/>
    <w:basedOn w:val="NormalB"/>
    <w:pPr>
      <w:bidi w:val="1"/>
      <w:ind w:hanging="0" w:start="0" w:end="0"/>
      <w:jc w:val="center"/>
    </w:pPr>
    <w:rPr>
      <w:rFonts w:ascii="Times New Roman" w:hAnsi="Times New Roman" w:cs="B Zar"/>
      <w:szCs w:val="24"/>
      <w:lang w:val="en-US"/>
    </w:rPr>
  </w:style>
  <w:style w:type="paragraph" w:styleId="JadvalTitrZar12">
    <w:name w:val="Jadval Titr (Zar 12)"/>
    <w:basedOn w:val="NormalB"/>
    <w:pPr>
      <w:pBdr>
        <w:bottom w:val="single" w:sz="6" w:space="1" w:color="000000"/>
      </w:pBdr>
      <w:bidi w:val="1"/>
      <w:spacing w:lineRule="exact" w:line="440"/>
      <w:ind w:hanging="0" w:start="0" w:end="0"/>
      <w:jc w:val="center"/>
    </w:pPr>
    <w:rPr>
      <w:rFonts w:ascii="Times New Roman" w:hAnsi="Times New Roman" w:cs="B Zar"/>
      <w:szCs w:val="24"/>
      <w:lang w:val="en-US"/>
    </w:rPr>
  </w:style>
  <w:style w:type="paragraph" w:styleId="JadvalMatne">
    <w:name w:val="Jadval Matn e"/>
    <w:basedOn w:val="NormalB"/>
    <w:pPr>
      <w:bidi w:val="1"/>
      <w:spacing w:lineRule="exact" w:line="440"/>
      <w:ind w:hanging="0" w:start="0" w:end="0"/>
      <w:jc w:val="both"/>
    </w:pPr>
    <w:rPr>
      <w:rFonts w:ascii="Times New Roman" w:hAnsi="Times New Roman" w:cs="B Lotus"/>
      <w:lang w:val="en-US"/>
    </w:rPr>
  </w:style>
  <w:style w:type="paragraph" w:styleId="JadvalTitrzar9">
    <w:name w:val="Jadval Titr (zar 9)"/>
    <w:basedOn w:val="NormalB"/>
    <w:pPr>
      <w:pBdr>
        <w:bottom w:val="single" w:sz="4" w:space="1" w:color="000000"/>
      </w:pBdr>
      <w:bidi w:val="1"/>
      <w:spacing w:before="0" w:after="120"/>
      <w:ind w:hanging="0" w:start="0" w:end="0"/>
      <w:jc w:val="center"/>
    </w:pPr>
    <w:rPr>
      <w:rFonts w:ascii="Times New Roman" w:hAnsi="Times New Roman" w:cs="B Zar"/>
      <w:szCs w:val="18"/>
      <w:lang w:val="en-US"/>
    </w:rPr>
  </w:style>
  <w:style w:type="paragraph" w:styleId="JadvalMatnNazanin">
    <w:name w:val="Jadval (Matn Nazanin)"/>
    <w:basedOn w:val="JadvalMatne"/>
    <w:pPr>
      <w:spacing w:lineRule="auto" w:line="240"/>
      <w:ind w:hanging="0" w:start="0" w:end="0"/>
      <w:jc w:val="both"/>
    </w:pPr>
    <w:rPr>
      <w:rFonts w:cs="B Nazanin"/>
      <w:u w:val="single"/>
    </w:rPr>
  </w:style>
  <w:style w:type="paragraph" w:styleId="MatnBullet">
    <w:name w:val="Matn = Bullet"/>
    <w:basedOn w:val="NormalB"/>
    <w:pPr>
      <w:numPr>
        <w:ilvl w:val="0"/>
        <w:numId w:val="14"/>
      </w:numPr>
      <w:bidi w:val="1"/>
      <w:spacing w:before="0" w:after="120"/>
      <w:ind w:hanging="0" w:start="0" w:end="284"/>
      <w:jc w:val="both"/>
    </w:pPr>
    <w:rPr>
      <w:rFonts w:ascii="Times New Roman" w:hAnsi="Times New Roman" w:cs="B Lotus"/>
      <w:lang w:val="en-US"/>
    </w:rPr>
  </w:style>
  <w:style w:type="paragraph" w:styleId="1Traffic2">
    <w:name w:val="1  Traffic"/>
    <w:pPr>
      <w:widowControl/>
      <w:bidi w:val="0"/>
      <w:spacing w:before="0" w:after="240"/>
      <w:ind w:hanging="567" w:start="567" w:end="567"/>
      <w:jc w:val="start"/>
    </w:pPr>
    <w:rPr>
      <w:rFonts w:ascii="Times" w:hAnsi="Times" w:eastAsia="Times New Roman" w:cs="Traffic;Courier New"/>
      <w:bCs/>
      <w:color w:val="auto"/>
      <w:sz w:val="24"/>
      <w:szCs w:val="22"/>
      <w:lang w:bidi="fa-IR" w:val="en-US" w:eastAsia="zh-CN"/>
    </w:rPr>
  </w:style>
  <w:style w:type="paragraph" w:styleId="1TrafficAlef--">
    <w:name w:val="1 = Traffic = Alef = --"/>
    <w:basedOn w:val="1TrafficAlef2"/>
    <w:pPr>
      <w:tabs>
        <w:tab w:val="clear" w:pos="907"/>
      </w:tabs>
      <w:ind w:hanging="284" w:start="1475" w:end="0"/>
      <w:jc w:val="both"/>
    </w:pPr>
    <w:rPr/>
  </w:style>
  <w:style w:type="paragraph" w:styleId="Heading1EPeyvastTitr11">
    <w:name w:val="Heading 1 E Peyvast (Titr 11)"/>
    <w:basedOn w:val="Heading1"/>
    <w:pPr>
      <w:numPr>
        <w:ilvl w:val="0"/>
        <w:numId w:val="0"/>
      </w:numPr>
      <w:spacing w:before="300" w:after="80"/>
      <w:ind w:hanging="0" w:start="0" w:end="0"/>
      <w:jc w:val="start"/>
      <w:outlineLvl w:val="9"/>
    </w:pPr>
    <w:rPr>
      <w:rFonts w:ascii="Times New Roman" w:hAnsi="Times New Roman" w:cs="B Titr"/>
      <w:b/>
      <w:color w:val="000000"/>
      <w:sz w:val="26"/>
      <w:szCs w:val="22"/>
    </w:rPr>
  </w:style>
  <w:style w:type="paragraph" w:styleId="1TrafficMokarar">
    <w:name w:val="1 = Traffic =  Mokarar"/>
    <w:basedOn w:val="NormalB"/>
    <w:pPr>
      <w:bidi w:val="1"/>
      <w:ind w:hanging="1077" w:start="1077" w:end="1077"/>
      <w:jc w:val="both"/>
    </w:pPr>
    <w:rPr>
      <w:rFonts w:ascii="Times New Roman" w:hAnsi="Times New Roman" w:cs="Traffic;Courier New"/>
      <w:sz w:val="16"/>
      <w:szCs w:val="22"/>
      <w:lang w:val="en-US"/>
    </w:rPr>
  </w:style>
  <w:style w:type="paragraph" w:styleId="1TrafficAlef21">
    <w:name w:val="1  Traffic  =  Alef  =  (2)"/>
    <w:basedOn w:val="Normal"/>
    <w:pPr>
      <w:numPr>
        <w:ilvl w:val="0"/>
        <w:numId w:val="13"/>
      </w:numPr>
      <w:spacing w:before="0" w:after="40"/>
      <w:ind w:hanging="0" w:start="907" w:end="0"/>
      <w:jc w:val="both"/>
    </w:pPr>
    <w:rPr>
      <w:rFonts w:ascii="Times" w:hAnsi="Times" w:cs="Traffic;Courier New"/>
      <w:color w:val="000000"/>
      <w:sz w:val="24"/>
      <w:szCs w:val="22"/>
    </w:rPr>
  </w:style>
  <w:style w:type="paragraph" w:styleId="1Lotus2">
    <w:name w:val="1  Lotus"/>
    <w:pPr>
      <w:widowControl/>
      <w:bidi w:val="0"/>
      <w:spacing w:before="0" w:after="240"/>
      <w:ind w:hanging="567" w:start="567" w:end="567"/>
      <w:jc w:val="start"/>
    </w:pPr>
    <w:rPr>
      <w:rFonts w:ascii="Times" w:hAnsi="Times" w:eastAsia="Times New Roman" w:cs="Lotus;Courier New"/>
      <w:bCs/>
      <w:color w:val="auto"/>
      <w:sz w:val="24"/>
      <w:szCs w:val="28"/>
      <w:lang w:bidi="fa-IR" w:val="en-US" w:eastAsia="zh-CN"/>
    </w:rPr>
  </w:style>
  <w:style w:type="paragraph" w:styleId="1TrafficBefaSatr">
    <w:name w:val="1  Traffic Be fa Satr"/>
    <w:basedOn w:val="1Traffic2"/>
    <w:pPr>
      <w:spacing w:before="0" w:after="80"/>
    </w:pPr>
    <w:rPr/>
  </w:style>
  <w:style w:type="paragraph" w:styleId="Fa4">
    <w:name w:val="Fa 4"/>
    <w:pPr>
      <w:widowControl/>
      <w:bidi w:val="0"/>
    </w:pPr>
    <w:rPr>
      <w:rFonts w:ascii="Times" w:hAnsi="Times" w:eastAsia="Times New Roman" w:cs="Lotus;Courier New"/>
      <w:bCs/>
      <w:color w:val="auto"/>
      <w:sz w:val="8"/>
      <w:szCs w:val="8"/>
      <w:lang w:bidi="fa-IR" w:val="en-US" w:eastAsia="zh-CN"/>
    </w:rPr>
  </w:style>
  <w:style w:type="paragraph" w:styleId="1TrafficBullet1">
    <w:name w:val="1  Traffic  =  Bullet"/>
    <w:basedOn w:val="Normal"/>
    <w:pPr>
      <w:numPr>
        <w:ilvl w:val="0"/>
        <w:numId w:val="20"/>
      </w:numPr>
      <w:bidi w:val="0"/>
      <w:spacing w:before="0" w:after="80"/>
      <w:ind w:hanging="0" w:start="0" w:end="851"/>
      <w:jc w:val="start"/>
    </w:pPr>
    <w:rPr>
      <w:rFonts w:ascii="Times" w:hAnsi="Times" w:cs="Traffic;Courier New"/>
      <w:color w:val="000000"/>
      <w:sz w:val="24"/>
      <w:szCs w:val="22"/>
    </w:rPr>
  </w:style>
  <w:style w:type="paragraph" w:styleId="1LotusAlef3">
    <w:name w:val="1  Lotus  =  Alef"/>
    <w:basedOn w:val="Normal"/>
    <w:pPr>
      <w:tabs>
        <w:tab w:val="clear" w:pos="720"/>
        <w:tab w:val="left" w:pos="907" w:leader="none"/>
      </w:tabs>
      <w:bidi w:val="0"/>
      <w:spacing w:before="0" w:after="60"/>
      <w:ind w:hanging="567" w:start="1134" w:end="1134"/>
      <w:jc w:val="start"/>
    </w:pPr>
    <w:rPr>
      <w:rFonts w:ascii="Times" w:hAnsi="Times" w:cs="Times"/>
      <w:color w:val="000000"/>
      <w:sz w:val="24"/>
    </w:rPr>
  </w:style>
  <w:style w:type="paragraph" w:styleId="1LotusBeFeSatr">
    <w:name w:val="1  Lotus = Be Fe Satr"/>
    <w:basedOn w:val="Normal"/>
    <w:pPr>
      <w:ind w:hanging="567" w:start="567" w:end="0"/>
      <w:jc w:val="both"/>
    </w:pPr>
    <w:rPr>
      <w:rFonts w:ascii="Times" w:hAnsi="Times" w:cs="Times"/>
      <w:color w:val="000000"/>
      <w:sz w:val="24"/>
    </w:rPr>
  </w:style>
  <w:style w:type="paragraph" w:styleId="1TrafficBulletKhatdar">
    <w:name w:val="1  Traffic =  Bullet  Khat dar"/>
    <w:basedOn w:val="1TrafficBullet1"/>
    <w:pPr>
      <w:bidi w:val="1"/>
      <w:ind w:hanging="0" w:start="0" w:end="851"/>
      <w:jc w:val="both"/>
    </w:pPr>
    <w:rPr>
      <w:rFonts w:cs="B Traffic"/>
      <w:strike/>
    </w:rPr>
  </w:style>
  <w:style w:type="paragraph" w:styleId="1LotusMokararTeram">
    <w:name w:val="1 = Lotus =  Mokarar Teram"/>
    <w:basedOn w:val="1Lotus1"/>
    <w:pPr>
      <w:ind w:hanging="1077" w:start="1077" w:end="0"/>
      <w:jc w:val="both"/>
    </w:pPr>
    <w:rPr>
      <w:spacing w:val="-4"/>
    </w:rPr>
  </w:style>
  <w:style w:type="paragraph" w:styleId="Fa41">
    <w:name w:val="Fa  4"/>
    <w:basedOn w:val="NormalB"/>
    <w:pPr>
      <w:bidi w:val="1"/>
      <w:ind w:hanging="0" w:start="0" w:end="0"/>
      <w:jc w:val="both"/>
    </w:pPr>
    <w:rPr>
      <w:rFonts w:ascii="Times New Roman" w:hAnsi="Times New Roman" w:cs="B Lotus"/>
      <w:bCs w:val="false"/>
      <w:sz w:val="8"/>
      <w:szCs w:val="8"/>
      <w:lang w:val="en-US"/>
    </w:rPr>
  </w:style>
  <w:style w:type="paragraph" w:styleId="Fa8">
    <w:name w:val="Fa  8"/>
    <w:basedOn w:val="NormalB"/>
    <w:pPr>
      <w:bidi w:val="1"/>
      <w:ind w:hanging="0" w:start="0" w:end="0"/>
      <w:jc w:val="both"/>
    </w:pPr>
    <w:rPr>
      <w:rFonts w:ascii="Times New Roman" w:hAnsi="Times New Roman" w:cs="B Lotus"/>
      <w:sz w:val="16"/>
      <w:szCs w:val="16"/>
      <w:lang w:val="en-US"/>
    </w:rPr>
  </w:style>
  <w:style w:type="paragraph" w:styleId="Fa12">
    <w:name w:val="Fa 12"/>
    <w:basedOn w:val="NormalB"/>
    <w:pPr>
      <w:bidi w:val="1"/>
      <w:ind w:hanging="0" w:start="0" w:end="0"/>
      <w:jc w:val="both"/>
    </w:pPr>
    <w:rPr>
      <w:rFonts w:ascii="Times New Roman" w:hAnsi="Times New Roman" w:cs="B Lotus"/>
      <w:sz w:val="24"/>
      <w:szCs w:val="24"/>
      <w:lang w:val="en-US"/>
    </w:rPr>
  </w:style>
  <w:style w:type="paragraph" w:styleId="FehrestTitr">
    <w:name w:val="Fehrest  Titr"/>
    <w:basedOn w:val="NormalB"/>
    <w:pPr>
      <w:pBdr>
        <w:bottom w:val="single" w:sz="4" w:space="1" w:color="000000"/>
      </w:pBdr>
      <w:bidi w:val="1"/>
      <w:ind w:hanging="0" w:start="0" w:end="0"/>
      <w:jc w:val="center"/>
    </w:pPr>
    <w:rPr>
      <w:rFonts w:ascii="Times New Roman" w:hAnsi="Times New Roman" w:cs="B Zar"/>
      <w:b/>
      <w:lang w:val="en-US"/>
    </w:rPr>
  </w:style>
  <w:style w:type="paragraph" w:styleId="IN1">
    <w:name w:val="IN1"/>
    <w:basedOn w:val="NormalB"/>
    <w:pPr>
      <w:bidi w:val="1"/>
      <w:spacing w:before="0" w:after="300"/>
      <w:ind w:hanging="0" w:start="0" w:end="0"/>
      <w:jc w:val="center"/>
    </w:pPr>
    <w:rPr>
      <w:rFonts w:ascii="Times New Roman" w:hAnsi="Times New Roman" w:cs="B Lotus"/>
      <w:bCs w:val="false"/>
      <w:iCs/>
      <w:szCs w:val="32"/>
      <w:lang w:val="en-US"/>
    </w:rPr>
  </w:style>
  <w:style w:type="paragraph" w:styleId="NormalBase">
    <w:name w:val="Normal Base"/>
    <w:basedOn w:val="Normal"/>
    <w:pPr>
      <w:ind w:hanging="0" w:start="0" w:end="0"/>
      <w:jc w:val="start"/>
    </w:pPr>
    <w:rPr>
      <w:rFonts w:ascii="Times New Roman" w:hAnsi="Times New Roman" w:cs="B Lotus"/>
      <w:color w:val="000000"/>
    </w:rPr>
  </w:style>
  <w:style w:type="paragraph" w:styleId="Box">
    <w:name w:val="Box"/>
    <w:basedOn w:val="NormalB"/>
    <w:pPr>
      <w:pBdr>
        <w:top w:val="single" w:sz="8" w:space="1" w:color="00B9E4"/>
        <w:left w:val="single" w:sz="8" w:space="4" w:color="00B9E4"/>
        <w:bottom w:val="single" w:sz="8" w:space="1" w:color="00B9E4"/>
        <w:right w:val="single" w:sz="8" w:space="4" w:color="00B9E4"/>
      </w:pBdr>
      <w:shd w:fill="CCFFFF" w:val="clear"/>
      <w:bidi w:val="1"/>
      <w:ind w:hanging="0" w:start="0" w:end="0"/>
      <w:jc w:val="both"/>
    </w:pPr>
    <w:rPr>
      <w:rFonts w:ascii="Times New Roman" w:hAnsi="Times New Roman" w:cs="B Titr"/>
      <w:b/>
      <w:szCs w:val="24"/>
      <w:lang w:val="en-US"/>
    </w:rPr>
  </w:style>
  <w:style w:type="paragraph" w:styleId="FehrestBand">
    <w:name w:val="Fehrest Band"/>
    <w:basedOn w:val="NormalB"/>
    <w:pPr>
      <w:pBdr>
        <w:bottom w:val="single" w:sz="6" w:space="1" w:color="000000"/>
      </w:pBdr>
      <w:bidi w:val="1"/>
      <w:ind w:hanging="0" w:start="0" w:end="0"/>
      <w:jc w:val="center"/>
    </w:pPr>
    <w:rPr>
      <w:rFonts w:ascii="Times New Roman" w:hAnsi="Times New Roman" w:cs="B Zar"/>
      <w:sz w:val="20"/>
      <w:szCs w:val="24"/>
      <w:lang w:val="en-US"/>
    </w:rPr>
  </w:style>
  <w:style w:type="paragraph" w:styleId="FehrestMatnLotusBullet">
    <w:name w:val="Fehrest  Matn Lotus Bullet"/>
    <w:basedOn w:val="Normal"/>
    <w:pPr>
      <w:numPr>
        <w:ilvl w:val="0"/>
        <w:numId w:val="22"/>
      </w:numPr>
      <w:tabs>
        <w:tab w:val="clear" w:pos="720"/>
        <w:tab w:val="left" w:pos="1492" w:leader="none"/>
      </w:tabs>
      <w:spacing w:before="40" w:after="40"/>
      <w:ind w:hanging="360" w:start="1492" w:end="0"/>
      <w:jc w:val="start"/>
    </w:pPr>
    <w:rPr>
      <w:rFonts w:ascii="Times New Roman" w:hAnsi="Times New Roman" w:cs="B Lotus"/>
      <w:color w:val="000000"/>
    </w:rPr>
  </w:style>
  <w:style w:type="paragraph" w:styleId="FootnoteRefFaris">
    <w:name w:val="Footnote Ref Faris"/>
    <w:basedOn w:val="NormalB"/>
    <w:pPr>
      <w:bidi w:val="1"/>
      <w:ind w:hanging="397" w:start="397" w:end="397"/>
      <w:jc w:val="both"/>
    </w:pPr>
    <w:rPr>
      <w:rFonts w:ascii="B Lotus" w:hAnsi="B Lotus" w:eastAsia="MS Mincho;ＭＳ 明朝" w:cs="B Lotus"/>
      <w:b/>
      <w:sz w:val="24"/>
      <w:szCs w:val="24"/>
      <w:lang w:val="en-US"/>
    </w:rPr>
  </w:style>
  <w:style w:type="paragraph" w:styleId="HADAF">
    <w:name w:val="HADAF"/>
    <w:basedOn w:val="NormalB"/>
    <w:pPr>
      <w:shd w:fill="B7E7FF" w:val="clear"/>
      <w:bidi w:val="1"/>
      <w:ind w:hanging="0" w:start="0" w:end="0"/>
      <w:jc w:val="both"/>
    </w:pPr>
    <w:rPr>
      <w:rFonts w:ascii="Times New Roman" w:hAnsi="Times New Roman" w:cs="B Traffic"/>
      <w:b/>
      <w:sz w:val="18"/>
      <w:szCs w:val="18"/>
      <w:lang w:val="en-US"/>
    </w:rPr>
  </w:style>
  <w:style w:type="paragraph" w:styleId="Khaste">
    <w:name w:val="Khaste"/>
    <w:pPr>
      <w:widowControl/>
      <w:bidi w:val="0"/>
    </w:pPr>
    <w:rPr>
      <w:rFonts w:ascii="Times New Roman" w:hAnsi="Times New Roman" w:eastAsia="Times New Roman" w:cs="Mitra"/>
      <w:bCs/>
      <w:color w:val="33CCFF"/>
      <w:sz w:val="20"/>
      <w:szCs w:val="26"/>
      <w:lang w:bidi="fa-IR" w:val="en-US" w:eastAsia="zh-CN"/>
    </w:rPr>
  </w:style>
  <w:style w:type="paragraph" w:styleId="KolaseFasl">
    <w:name w:val="Kolas e Fasl"/>
    <w:pPr>
      <w:widowControl/>
      <w:bidi w:val="1"/>
      <w:spacing w:before="0" w:after="120"/>
      <w:ind w:hanging="0" w:start="0" w:end="0"/>
      <w:jc w:val="start"/>
    </w:pPr>
    <w:rPr>
      <w:rFonts w:ascii="Times" w:hAnsi="Times" w:eastAsia="Times New Roman" w:cs="Titr"/>
      <w:b/>
      <w:bCs/>
      <w:color w:val="auto"/>
      <w:sz w:val="24"/>
      <w:szCs w:val="24"/>
      <w:lang w:bidi="fa-IR" w:val="en-US" w:eastAsia="zh-CN"/>
    </w:rPr>
  </w:style>
  <w:style w:type="paragraph" w:styleId="ListContinue3">
    <w:name w:val="List Continue 3"/>
    <w:pPr>
      <w:widowControl/>
      <w:bidi w:val="0"/>
      <w:spacing w:before="0" w:after="120"/>
      <w:ind w:hanging="0" w:start="849" w:end="849"/>
    </w:pPr>
    <w:rPr>
      <w:rFonts w:ascii="Times New Roman" w:hAnsi="Times New Roman" w:eastAsia="Times New Roman" w:cs="Paatch"/>
      <w:color w:val="auto"/>
      <w:sz w:val="20"/>
      <w:szCs w:val="20"/>
      <w:lang w:bidi="fa-IR" w:val="en-US" w:eastAsia="zh-CN"/>
    </w:rPr>
  </w:style>
  <w:style w:type="paragraph" w:styleId="ListContinue4">
    <w:name w:val="List Continue 4"/>
    <w:pPr>
      <w:widowControl/>
      <w:bidi w:val="0"/>
      <w:spacing w:before="0" w:after="120"/>
      <w:ind w:hanging="0" w:start="1134" w:end="1134"/>
    </w:pPr>
    <w:rPr>
      <w:rFonts w:ascii="Times" w:hAnsi="Times" w:eastAsia="Times New Roman" w:cs="Lotus;Courier New"/>
      <w:color w:val="auto"/>
      <w:sz w:val="20"/>
      <w:szCs w:val="20"/>
      <w:lang w:bidi="fa-IR" w:val="en-US" w:eastAsia="zh-CN"/>
    </w:rPr>
  </w:style>
  <w:style w:type="paragraph" w:styleId="ListContinue5">
    <w:name w:val="List Continue 5"/>
    <w:pPr>
      <w:widowControl/>
      <w:bidi w:val="0"/>
      <w:spacing w:before="0" w:after="120"/>
      <w:ind w:hanging="0" w:start="1415" w:end="1415"/>
    </w:pPr>
    <w:rPr>
      <w:rFonts w:ascii="Times New Roman" w:hAnsi="Times New Roman" w:eastAsia="Times New Roman" w:cs="Paatch"/>
      <w:color w:val="auto"/>
      <w:sz w:val="20"/>
      <w:szCs w:val="20"/>
      <w:lang w:bidi="fa-IR" w:val="en-US" w:eastAsia="zh-CN"/>
    </w:rPr>
  </w:style>
  <w:style w:type="paragraph" w:styleId="ListNumber">
    <w:name w:val="List Number"/>
    <w:basedOn w:val="Normal"/>
    <w:pPr>
      <w:numPr>
        <w:ilvl w:val="0"/>
        <w:numId w:val="10"/>
      </w:numPr>
      <w:bidi w:val="0"/>
      <w:spacing w:before="0" w:after="240"/>
      <w:ind w:hanging="0" w:start="0" w:end="0"/>
      <w:jc w:val="start"/>
    </w:pPr>
    <w:rPr>
      <w:rFonts w:ascii="Times New Roman" w:hAnsi="Times New Roman" w:cs="B Lotus"/>
      <w:b/>
      <w:color w:val="000000"/>
      <w:sz w:val="24"/>
    </w:rPr>
  </w:style>
  <w:style w:type="paragraph" w:styleId="ListNumber2">
    <w:name w:val="List Number 2"/>
    <w:pPr>
      <w:widowControl/>
      <w:numPr>
        <w:ilvl w:val="0"/>
        <w:numId w:val="5"/>
      </w:numPr>
      <w:tabs>
        <w:tab w:val="clear" w:pos="720"/>
        <w:tab w:val="left" w:pos="360" w:leader="none"/>
      </w:tabs>
      <w:bidi w:val="0"/>
      <w:ind w:hanging="0" w:start="0" w:end="794"/>
    </w:pPr>
    <w:rPr>
      <w:rFonts w:ascii="Times New Roman" w:hAnsi="Times New Roman" w:eastAsia="Times New Roman" w:cs="Paatch"/>
      <w:color w:val="auto"/>
      <w:sz w:val="20"/>
      <w:szCs w:val="20"/>
      <w:lang w:bidi="fa-IR" w:val="en-US" w:eastAsia="zh-CN"/>
    </w:rPr>
  </w:style>
  <w:style w:type="paragraph" w:styleId="ListNumber3">
    <w:name w:val="List Number 3"/>
    <w:pPr>
      <w:widowControl/>
      <w:numPr>
        <w:ilvl w:val="0"/>
        <w:numId w:val="4"/>
      </w:numPr>
      <w:tabs>
        <w:tab w:val="clear" w:pos="720"/>
        <w:tab w:val="left" w:pos="360" w:leader="none"/>
      </w:tabs>
      <w:bidi w:val="0"/>
      <w:ind w:hanging="0" w:start="0" w:end="0"/>
    </w:pPr>
    <w:rPr>
      <w:rFonts w:ascii="Times" w:hAnsi="Times" w:eastAsia="Times New Roman" w:cs="Lotus;Courier New"/>
      <w:color w:val="auto"/>
      <w:sz w:val="20"/>
      <w:szCs w:val="20"/>
      <w:lang w:bidi="fa-IR" w:val="en-US" w:eastAsia="zh-CN"/>
    </w:rPr>
  </w:style>
  <w:style w:type="paragraph" w:styleId="ListNumber4">
    <w:name w:val="List Number 4"/>
    <w:pPr>
      <w:widowControl/>
      <w:numPr>
        <w:ilvl w:val="0"/>
        <w:numId w:val="3"/>
      </w:numPr>
      <w:tabs>
        <w:tab w:val="clear" w:pos="720"/>
        <w:tab w:val="left" w:pos="360" w:leader="none"/>
      </w:tabs>
      <w:bidi w:val="0"/>
      <w:ind w:hanging="0" w:start="0" w:end="1361"/>
    </w:pPr>
    <w:rPr>
      <w:rFonts w:ascii="Times New Roman" w:hAnsi="Times New Roman" w:eastAsia="Times New Roman" w:cs="Paatch"/>
      <w:color w:val="auto"/>
      <w:sz w:val="20"/>
      <w:szCs w:val="20"/>
      <w:lang w:bidi="fa-IR" w:val="en-US" w:eastAsia="zh-CN"/>
    </w:rPr>
  </w:style>
  <w:style w:type="paragraph" w:styleId="ListNumber5">
    <w:name w:val="List Number 5"/>
    <w:pPr>
      <w:widowControl/>
      <w:numPr>
        <w:ilvl w:val="0"/>
        <w:numId w:val="2"/>
      </w:numPr>
      <w:tabs>
        <w:tab w:val="clear" w:pos="720"/>
        <w:tab w:val="left" w:pos="360" w:leader="none"/>
      </w:tabs>
      <w:bidi w:val="0"/>
      <w:ind w:hanging="0" w:start="0" w:end="0"/>
    </w:pPr>
    <w:rPr>
      <w:rFonts w:ascii="Times" w:hAnsi="Times" w:eastAsia="Times New Roman" w:cs="Lotus;Courier New"/>
      <w:color w:val="auto"/>
      <w:sz w:val="20"/>
      <w:szCs w:val="20"/>
      <w:lang w:bidi="fa-IR" w:val="en-US" w:eastAsia="zh-CN"/>
    </w:rPr>
  </w:style>
  <w:style w:type="paragraph" w:styleId="Pish-matn">
    <w:name w:val="Pish-matn"/>
    <w:basedOn w:val="NormalB"/>
    <w:pPr>
      <w:tabs>
        <w:tab w:val="clear" w:pos="720"/>
        <w:tab w:val="left" w:pos="454" w:leader="none"/>
      </w:tabs>
      <w:bidi w:val="1"/>
      <w:spacing w:before="0" w:after="100"/>
      <w:ind w:hanging="0" w:start="0" w:end="0"/>
      <w:jc w:val="both"/>
    </w:pPr>
    <w:rPr>
      <w:rFonts w:ascii="Times New Roman" w:hAnsi="Times New Roman" w:cs="B Lotus"/>
      <w:lang w:val="en-US"/>
    </w:rPr>
  </w:style>
  <w:style w:type="paragraph" w:styleId="Signature">
    <w:name w:val="Signature"/>
    <w:basedOn w:val="NormalB"/>
    <w:pPr>
      <w:bidi w:val="1"/>
      <w:ind w:hanging="0" w:start="0" w:end="0"/>
      <w:jc w:val="both"/>
    </w:pPr>
    <w:rPr>
      <w:rFonts w:ascii="Times New Roman" w:hAnsi="Times New Roman" w:cs="B Lotus"/>
      <w:lang w:val="en-US"/>
    </w:rPr>
  </w:style>
  <w:style w:type="paragraph" w:styleId="TitrePageOne">
    <w:name w:val="Titr e Page One"/>
    <w:basedOn w:val="NormalB"/>
    <w:pPr>
      <w:bidi w:val="1"/>
      <w:spacing w:before="0" w:after="60"/>
      <w:ind w:hanging="0" w:start="0" w:end="0"/>
      <w:jc w:val="center"/>
    </w:pPr>
    <w:rPr>
      <w:rFonts w:ascii="Times New Roman" w:hAnsi="Times New Roman" w:cs="B Titr"/>
      <w:b/>
      <w:sz w:val="28"/>
      <w:szCs w:val="26"/>
      <w:lang w:val="en-US"/>
    </w:rPr>
  </w:style>
  <w:style w:type="paragraph" w:styleId="TitreSarSafe">
    <w:name w:val="Titr e Sar Safe"/>
    <w:basedOn w:val="NormalB"/>
    <w:pPr>
      <w:bidi w:val="1"/>
      <w:ind w:hanging="0" w:start="0" w:end="0"/>
      <w:jc w:val="center"/>
    </w:pPr>
    <w:rPr>
      <w:rFonts w:ascii="Times New Roman" w:hAnsi="Times New Roman" w:cs="B Titr"/>
      <w:b/>
      <w:sz w:val="26"/>
      <w:szCs w:val="24"/>
      <w:lang w:val="en-US"/>
    </w:rPr>
  </w:style>
  <w:style w:type="paragraph" w:styleId="TitreVastPage">
    <w:name w:val="Titr e Vast Page"/>
    <w:basedOn w:val="NormalB"/>
    <w:pPr>
      <w:bidi w:val="1"/>
      <w:ind w:hanging="0" w:start="0" w:end="0"/>
      <w:jc w:val="center"/>
    </w:pPr>
    <w:rPr>
      <w:rFonts w:ascii="Times New Roman" w:hAnsi="Times New Roman" w:cs="B Titr"/>
      <w:b/>
      <w:sz w:val="24"/>
      <w:szCs w:val="30"/>
      <w:lang w:val="en-US"/>
    </w:rPr>
  </w:style>
  <w:style w:type="paragraph" w:styleId="TOAHeading">
    <w:name w:val="TOA Heading"/>
    <w:basedOn w:val="NormalB"/>
    <w:next w:val="NormalB"/>
    <w:pPr>
      <w:bidi w:val="1"/>
      <w:ind w:hanging="0" w:start="0" w:end="0"/>
      <w:jc w:val="both"/>
    </w:pPr>
    <w:rPr>
      <w:rFonts w:ascii="Times New Roman" w:hAnsi="Times New Roman" w:cs="B Lotus"/>
      <w:b/>
      <w:sz w:val="24"/>
      <w:lang w:val="en-US"/>
    </w:rPr>
  </w:style>
  <w:style w:type="paragraph" w:styleId="FehrestNumber">
    <w:name w:val="Fehrest Number"/>
    <w:basedOn w:val="NormalB"/>
    <w:pPr>
      <w:bidi w:val="1"/>
      <w:ind w:hanging="0" w:start="0" w:end="0"/>
      <w:jc w:val="center"/>
    </w:pPr>
    <w:rPr>
      <w:rFonts w:ascii="Times New Roman" w:hAnsi="Times New Roman" w:cs="B Lotus"/>
      <w:sz w:val="28"/>
      <w:szCs w:val="26"/>
      <w:lang w:val="en-US"/>
    </w:rPr>
  </w:style>
  <w:style w:type="paragraph" w:styleId="OnvanPageoneonlytitr">
    <w:name w:val="Onvan Page one (only titr)"/>
    <w:basedOn w:val="NormalB"/>
    <w:pPr>
      <w:bidi w:val="1"/>
      <w:spacing w:before="0" w:after="120"/>
      <w:ind w:hanging="0" w:start="0" w:end="0"/>
      <w:jc w:val="center"/>
    </w:pPr>
    <w:rPr>
      <w:rFonts w:ascii="Times New Roman" w:hAnsi="Times New Roman" w:cs="B Titr"/>
      <w:b/>
      <w:sz w:val="32"/>
      <w:szCs w:val="30"/>
      <w:lang w:val="en-US"/>
    </w:rPr>
  </w:style>
  <w:style w:type="paragraph" w:styleId="FehrestBullet">
    <w:name w:val="Fehrest  Bullet"/>
    <w:basedOn w:val="NormalB"/>
    <w:pPr>
      <w:numPr>
        <w:ilvl w:val="0"/>
        <w:numId w:val="15"/>
      </w:numPr>
      <w:bidi w:val="1"/>
      <w:ind w:hanging="0" w:start="0" w:end="644"/>
      <w:jc w:val="both"/>
    </w:pPr>
    <w:rPr>
      <w:rFonts w:ascii="Times New Roman" w:hAnsi="Times New Roman" w:cs="Times New Roman"/>
      <w:sz w:val="34"/>
      <w:lang w:val="en-US"/>
    </w:rPr>
  </w:style>
  <w:style w:type="paragraph" w:styleId="Fehrest--">
    <w:name w:val="Fehrest --"/>
    <w:basedOn w:val="NormalB"/>
    <w:pPr>
      <w:numPr>
        <w:ilvl w:val="0"/>
        <w:numId w:val="21"/>
      </w:numPr>
      <w:bidi w:val="1"/>
      <w:ind w:hanging="0" w:start="567" w:end="567"/>
      <w:jc w:val="both"/>
    </w:pPr>
    <w:rPr>
      <w:rFonts w:ascii="Times New Roman" w:hAnsi="Times New Roman" w:cs="B Lotus"/>
      <w:sz w:val="24"/>
      <w:szCs w:val="26"/>
      <w:lang w:val="en-US"/>
    </w:rPr>
  </w:style>
  <w:style w:type="paragraph" w:styleId="Titre12">
    <w:name w:val="Titr e 12"/>
    <w:basedOn w:val="Normal"/>
    <w:pPr>
      <w:ind w:hanging="0" w:start="0" w:end="0"/>
      <w:jc w:val="center"/>
    </w:pPr>
    <w:rPr>
      <w:rFonts w:cs="Titr"/>
      <w:color w:val="000000"/>
      <w:szCs w:val="24"/>
      <w:lang w:val="en-AU"/>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paragraph" w:styleId="FrameContents">
    <w:name w:val="Frame Contents"/>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irhesabdaran.ir/" TargetMode="External"/><Relationship Id="rId3" Type="http://schemas.openxmlformats.org/officeDocument/2006/relationships/footer" Target="footer1.xml"/><Relationship Id="rId4" Type="http://schemas.openxmlformats.org/officeDocument/2006/relationships/header" Target="header1.xml"/><Relationship Id="rId5" Type="http://schemas.openxmlformats.org/officeDocument/2006/relationships/footer" Target="footer2.xml"/><Relationship Id="rId6" Type="http://schemas.openxmlformats.org/officeDocument/2006/relationships/header" Target="header2.xml"/><Relationship Id="rId7" Type="http://schemas.openxmlformats.org/officeDocument/2006/relationships/footer" Target="footer3.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9.xml"/><Relationship Id="rId21" Type="http://schemas.openxmlformats.org/officeDocument/2006/relationships/footer" Target="footer10.xml"/><Relationship Id="rId22" Type="http://schemas.openxmlformats.org/officeDocument/2006/relationships/header" Target="header10.xml"/><Relationship Id="rId23" Type="http://schemas.openxmlformats.org/officeDocument/2006/relationships/header" Target="header11.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2.xml"/><Relationship Id="rId27" Type="http://schemas.openxmlformats.org/officeDocument/2006/relationships/header" Target="header13.xml"/><Relationship Id="rId28" Type="http://schemas.openxmlformats.org/officeDocument/2006/relationships/footer" Target="footer13.xml"/><Relationship Id="rId29" Type="http://schemas.openxmlformats.org/officeDocument/2006/relationships/footer" Target="footer14.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70</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2010-04-03T09:58:00Z</dcterms:created>
  <dc:creator>Tabrezchi</dc:creator>
  <dc:description/>
  <dc:language>en-US</dc:language>
  <cp:lastModifiedBy>nabi</cp:lastModifiedBy>
  <cp:lastPrinted>2017-02-14T22:05:00Z</cp:lastPrinted>
  <dcterms:modified xsi:type="dcterms:W3CDTF">2017-02-14T22:07:00Z</dcterms:modified>
  <cp:revision>57</cp:revision>
  <dc:subject/>
  <dc:title>فهرست مندرجات</dc:title>
</cp:coreProperties>
</file>