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0"/>
      </w:pPr>
      <w:r>
        <w:rPr>
          <w:rFonts w:ascii="Times New Roman" w:hAnsi="Times New Roman" w:cs="Times New Roman"/>
          <w:b/>
          <w:color w:val="000000"/>
          <w:sz w:val="28"/>
        </w:rPr>
        <w:t>Hard-Budget Feature Selection with Resampled Mutual-Information Repair in EHOA</w:t>
      </w:r>
    </w:p>
    <w:p>
      <w:pPr>
        <w:widowControl/>
        <w:spacing w:after="60" w:before="0" w:line="240" w:lineRule="auto"/>
        <w:ind w:left="0" w:right="0" w:firstLine="0"/>
        <w:jc w:val="center"/>
        <w:bidi w:val="0"/>
      </w:pPr>
      <w:r>
        <w:rPr>
          <w:rFonts w:ascii="Times New Roman" w:hAnsi="Times New Roman" w:cs="Times New Roman"/>
          <w:b w:val="0"/>
          <w:color w:val="000000"/>
          <w:sz w:val="20"/>
        </w:rPr>
        <w:t>Amirreza Ghaffarian</w:t>
      </w:r>
    </w:p>
    <w:p>
      <w:pPr>
        <w:widowControl/>
        <w:spacing w:after="60" w:before="0" w:line="240" w:lineRule="auto"/>
        <w:ind w:left="0" w:right="0" w:firstLine="0"/>
        <w:jc w:val="center"/>
        <w:bidi w:val="0"/>
      </w:pPr>
      <w:r>
        <w:rPr>
          <w:rFonts w:ascii="Times New Roman" w:hAnsi="Times New Roman" w:cs="Times New Roman"/>
          <w:b w:val="0"/>
          <w:color w:val="000000"/>
          <w:sz w:val="18"/>
        </w:rPr>
        <w:t>Graduate Student, Islamic Azad University</w:t>
      </w:r>
    </w:p>
    <w:p>
      <w:pPr>
        <w:widowControl/>
        <w:spacing w:after="60" w:before="0" w:line="240" w:lineRule="auto"/>
        <w:ind w:left="0" w:right="0" w:firstLine="0"/>
        <w:jc w:val="both"/>
        <w:bidi w:val="0"/>
      </w:pPr>
      <w:r>
        <w:rPr>
          <w:rFonts w:ascii="Times New Roman" w:hAnsi="Times New Roman" w:cs="Times New Roman"/>
          <w:b w:val="0"/>
          <w:color w:val="000000"/>
          <w:sz w:val="18"/>
        </w:rPr>
        <w:t>Abstract. We evaluate hard-budget repair in EHOA with fold-local mutual-information utility and selected-column imputation, scaling and SMOTE. The five-seed primary analysis has 750 runs on ten datasets; factorial, larger-search and earlier sensitivity experiments bring this study to 1464 runs. Resampled repair has balanced accuracy 0.7932, synthetic cost ratio 0.2774 and Nogueira stability 0.2241; Friedman balanced-accuracy p is 0.14237. Corrected comparisons do not establish predictive superiority; stability significance is lost in every post-hoc nine-dataset leave-one-out analysis. A separately versioned exploratory transfer adds 25 source-only fits on RPDE/DFA/PPE, evaluated on an 80-subject public cohort. Its five-seed resampled ensemble has subject-level balanced accuracy 0.575, with descriptive 95% interval [0.475,0.675]. A published FNA service fee illustrates shared acquisition costs: deleting image-derived columns cannot reduce that shared fee. This neither validates the original 22-feature model nor establishes clinical savings. Public protocols and audited outputs support reproducibility; clinical subject identity, original historical evidence and real marginal feature costs remain unresolved.</w:t>
      </w:r>
    </w:p>
    <w:p>
      <w:pPr>
        <w:widowControl/>
        <w:spacing w:after="60" w:before="0" w:line="240" w:lineRule="auto"/>
        <w:ind w:left="0" w:right="0" w:firstLine="0"/>
        <w:jc w:val="both"/>
        <w:bidi w:val="0"/>
      </w:pPr>
      <w:r>
        <w:rPr>
          <w:rFonts w:ascii="Times New Roman" w:hAnsi="Times New Roman" w:cs="Times New Roman"/>
          <w:b w:val="0"/>
          <w:color w:val="000000"/>
          <w:sz w:val="18"/>
        </w:rPr>
        <w:t>Keywords. feature selection, hard budget, resampled mutual information, subset stability</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sectPr>
      </w:pP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  Problem and contribution</w:t>
      </w:r>
    </w:p>
    <w:p>
      <w:pPr>
        <w:widowControl/>
        <w:spacing w:after="60" w:before="0" w:line="240" w:lineRule="auto"/>
        <w:ind w:left="0" w:right="0" w:firstLine="0"/>
        <w:jc w:val="both"/>
        <w:bidi w:val="0"/>
      </w:pPr>
      <w:r>
        <w:rPr>
          <w:rFonts w:ascii="Times New Roman" w:hAnsi="Times New Roman" w:cs="Times New Roman"/>
          <w:b w:val="0"/>
          <w:color w:val="000000"/>
          <w:sz w:val="18"/>
        </w:rPr>
        <w:t>A small feature set need not be inexpensive: acquisition costs can differ between variables. Hard-budget selection limits the sum of selected costs [1]. Subset stability measures how feature choices vary across training samples and random search, rather than how accuracy or convergence varies [2]. In biomedical classification, this distinction matters when investigators interpret a selected measurement panel.</w:t>
      </w:r>
    </w:p>
    <w:p>
      <w:pPr>
        <w:widowControl/>
        <w:spacing w:after="60" w:before="0" w:line="240" w:lineRule="auto"/>
        <w:ind w:left="0" w:right="0" w:firstLine="0"/>
        <w:jc w:val="both"/>
        <w:bidi w:val="0"/>
      </w:pPr>
      <w:r>
        <w:rPr>
          <w:rFonts w:ascii="Times New Roman" w:hAnsi="Times New Roman" w:cs="Times New Roman"/>
          <w:b w:val="0"/>
          <w:color w:val="000000"/>
          <w:sz w:val="18"/>
        </w:rPr>
        <w:t>Medical feature selection spans imaging, signals and molecular data [3]. Predictive discrimination, reproducible feature identity and acquisition burden are separate objectives. Correlated descriptors can substitute for one another, so a changing mask need not imply poor prediction; conversely, a repeated mask does not establish a valid biomarker. This motivates reporting balanced accuracy, cost and chance-corrected subset stability together.</w:t>
      </w:r>
    </w:p>
    <w:p>
      <w:pPr>
        <w:widowControl/>
        <w:spacing w:after="60" w:before="0" w:line="240" w:lineRule="auto"/>
        <w:ind w:left="0" w:right="0" w:firstLine="0"/>
        <w:jc w:val="both"/>
        <w:bidi w:val="0"/>
      </w:pPr>
      <w:r>
        <w:rPr>
          <w:rFonts w:ascii="Times New Roman" w:hAnsi="Times New Roman" w:cs="Times New Roman"/>
          <w:b w:val="0"/>
          <w:color w:val="000000"/>
          <w:sz w:val="18"/>
        </w:rPr>
        <w:t>We retain the EHOA search [4] and compare unconstrained EHOA with four repairs using the same selected-dimension evaluation pipeline. Among constrained variants, only repair utility differs. FoldSafeEHOA implements fold-local utility and candidate-specific training; these fresh results are separate from the archived CostStableEHOA protocol. The contribution is a controlled, auditable comparison, not a new optimization family.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2  Related studies</w:t>
      </w:r>
    </w:p>
    <w:p>
      <w:pPr>
        <w:widowControl/>
        <w:spacing w:after="60" w:before="0" w:line="240" w:lineRule="auto"/>
        <w:ind w:left="0" w:right="0" w:firstLine="0"/>
        <w:jc w:val="both"/>
        <w:bidi w:val="0"/>
      </w:pPr>
      <w:r>
        <w:rPr>
          <w:rFonts w:ascii="Times New Roman" w:hAnsi="Times New Roman" w:cs="Times New Roman"/>
          <w:b w:val="0"/>
          <w:color w:val="000000"/>
          <w:sz w:val="18"/>
        </w:rPr>
        <w:t>Stability metrics can reward reproducible yet weak predictors; importance-weighted stability addresses this concern [5]. Medical budget selection with penalized risk [6], sequential acquisition [7], and grouped costs with shadow features [8] solve related but different problems. Table 1 summarizes these distinctions; NR means not reported in the inspected source. Their numerical results are not directly comparable with our protocol.</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1. Related-work comparison. Full evaluation details are in the supplement.</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Classical stability selection aggregates repeated subsample selections and, under specified assumptions and thresholds, controls false selections [9,10]. Our four MI resamples instead estimate a deletion utility before wrapper search. We neither threshold repeated selection probabilities nor inherit those error-control guarantees. Nogueira stability evaluates the final masks [2]; it is not the optimized fitness. Active acquisition [7] chooses measurements sequentially per case, whereas our repair returns a fixed feasible subset.</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3  Implemented EHOA</w:t>
      </w:r>
    </w:p>
    <w:p>
      <w:pPr>
        <w:widowControl/>
        <w:spacing w:after="60" w:before="0" w:line="240" w:lineRule="auto"/>
        <w:ind w:left="0" w:right="0" w:firstLine="0"/>
        <w:jc w:val="both"/>
        <w:bidi w:val="0"/>
      </w:pPr>
      <w:r>
        <w:rPr>
          <w:rFonts w:ascii="Times New Roman" w:hAnsi="Times New Roman" w:cs="Times New Roman"/>
          <w:b w:val="0"/>
          <w:color w:val="000000"/>
          <w:sz w:val="18"/>
        </w:rPr>
        <w:t>Each hiker has a continuous position x and a velocity v; a binary mask z selects features. Initialization uses a tent sequence with initial value 0.7 and parameter 0.4, mapped to [-6,6]. Velocities start uniformly in [-1.2,1.2]. For iteration t of T=10, the implemented update is:</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Here p_i and g are personal and global best continuous positions, and r_1,r_2 are independent per-feature uniform draws. The sigmoid gives selection probability 1/(1+exp(-x_j)); an empty sampled mask restores the largest probability. The implementation keeps continuous leaders separate from repaired masks, caches fitness for duplicate masks, and stops after ten iterations without early stopping.</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4  Fold-local budget repair and stability</w:t>
      </w:r>
    </w:p>
    <w:p>
      <w:pPr>
        <w:widowControl/>
        <w:spacing w:after="60" w:before="0" w:line="240" w:lineRule="auto"/>
        <w:ind w:left="0" w:right="0" w:firstLine="0"/>
        <w:jc w:val="both"/>
        <w:bidi w:val="0"/>
      </w:pPr>
      <w:r>
        <w:rPr>
          <w:rFonts w:ascii="Times New Roman" w:hAnsi="Times New Roman" w:cs="Times New Roman"/>
          <w:b w:val="0"/>
          <w:color w:val="000000"/>
          <w:sz w:val="18"/>
        </w:rPr>
        <w:t>Costs are fixed positive synthetic additive units, drawn with NumPy seed 1000+D from lognormal(0,0.7). The primary budget is B=0.30 sum(c); sensitivity uses 0.15 and 0.50. Costs are independent of labels and do not represent money. Every constrained nonempty mask must satisfy sum(z_j c_j)&lt;=B. Shared acquisition costs require a different grouped model [6,8].</w:t>
      </w:r>
    </w:p>
    <w:p>
      <w:pPr>
        <w:spacing w:after="60"/>
        <w:jc w:val="center"/>
      </w:pPr>
      <m:oMath>
        <m:eqArr>
          <m:e>
            <m:r>
              <w:rPr>
                <w:sz w:val="16"/>
              </w:rPr>
              <m:t>uⱼ = max(0, Īⱼ−λsⱼ); qⱼ = uⱼ/cⱼ</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For each inner fold, MI is fitted to its imputed training rows only. Four class-stratified samples draw ceil(0.8 n_class) rows with replacement (minimum two). The continuous-discrete estimator uses three neighbors [11]; Dermatology treats its first 33 categorical/ordinal inputs as discrete and age as continuous. MI is in nats and s_j is sample SD. Lambda=1 gives a conservative utility, not a calibrated confidence bound; there is no division by sqrt(R). Final outer-training utility is separate and never used to repair inner-validation candidates.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2. Four repairs share the same deletion rule.</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training fold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Search samples a raw mask. Each inner fold repairs this candidate with its own training utility, then fits imputation, scaling and SMOTE on the selected columns [12]. Validation rows are only transformed and predicted. Fitness averages ordinary accuracy and selected size across three independently repaired folds. The winning raw candidate is finally repaired with outer-training utility; inner and final masks may differ. The outer classifier is refitted using only final selected columns. This evaluates a complete selection-and-repair procedure, not a fixed mask reused across all inner folds [13].</w:t>
      </w:r>
    </w:p>
    <w:p>
      <w:pPr>
        <w:spacing w:after="60"/>
        <w:jc w:val="center"/>
      </w:pPr>
      <m:oMath>
        <m:eqArr>
          <m:e>
            <m:r>
              <w:rPr>
                <w:sz w:val="16"/>
              </w:rPr>
              <m:t>F(z) = mean_f F_f(z)</m:t>
            </m:r>
          </m:e>
          <m:e>
            <m:r>
              <w:rPr>
                <w:sz w:val="16"/>
              </w:rPr>
              <m:t>F_f(z) = 0.99(1−Acc_f)+0.01k_f/D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Deletion removes the active feature minimizing utility/cost while over budget. An unaffordable singleton is cleared; an empty mask restores the affordable highest-ratio feature. Positive costs and finite deletion ensure feasibility when one feature is affordable, as verified here. This guarantees budget compliance, not optimal prediction. MI remains marginal and can overlook interactions or redundancy.</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Nogueira stability [2] uses M=15 final masks per dataset/configuration, selection frequencies p_j and mean size k-bar. Identical full/empty masks return one in the code. The masks overlap in training data and are dependent; their copied stability values are not fifteen independent observations. Jaccard is a supplementary, uncorrected overlap measure.</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5  Datasets and source corrections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3. Fresh-run dataset specifications; U links to archive.ics.uci.edu/dataset/{id}.</w:t>
      </w:r>
    </w:p>
    <w:tbl>
      <w:tblPr>
        <w:tblW w:type="dxa" w:w="4876"/>
        <w:tblLayout w:type="fixed"/>
        <w:tblLook w:firstColumn="1" w:firstRow="1" w:lastColumn="0" w:lastRow="0" w:noHBand="0" w:noVBand="1" w:val="04A0"/>
        <w:jc w:val="left"/>
      </w:tblPr>
      <w:tblGrid>
        <w:gridCol w:w="1540"/>
        <w:gridCol w:w="462"/>
        <w:gridCol w:w="308"/>
        <w:gridCol w:w="308"/>
        <w:gridCol w:w="1745"/>
        <w:gridCol w:w="513"/>
      </w:tblGrid>
      <w:tr>
        <w:trPr>
          <w:cantSplit/>
          <w:tblHeader/>
        </w:trPr>
        <w:tc>
          <w:tcPr>
            <w:tcW w:type="dxa" w:w="154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462"/>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74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w:t>
            </w:r>
          </w:p>
        </w:tc>
        <w:tc>
          <w:tcPr>
            <w:tcW w:type="dxa" w:w="5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U52</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U151</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U33</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4210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U94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 (grouped)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 Valley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U166</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(corrected)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158/ 190/ 391/ 72/ 55/ 402/ 673</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U198</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U171</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Exact (X,y) duplicates are removed: Ionosphere uses 350 rows and Spambase 4210. Steel removes six target-indicator inputs and reconstructs seven fault classes. Parkinson recordings match the UCI numeric file and use 32 subject prefixes in both outer and inner group splits. The UCI narrative states 31 participants, so clinical group identity remains unverified. Original raw data and earlier results are preserved. Six Spambase rows form three identical-feature, opposite-label pairs; 94/114 runs split a pair across outer folds. Email identities are unknown; feature collision does not establish entity leakage.</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6  Fresh protocol and statistical analysis</w:t>
      </w:r>
    </w:p>
    <w:p>
      <w:pPr>
        <w:widowControl/>
        <w:spacing w:after="60" w:before="0" w:line="240" w:lineRule="auto"/>
        <w:ind w:left="0" w:right="0" w:firstLine="0"/>
        <w:jc w:val="both"/>
        <w:bidi w:val="0"/>
      </w:pPr>
      <w:r>
        <w:rPr>
          <w:rFonts w:ascii="Times New Roman" w:hAnsi="Times New Roman" w:cs="Times New Roman"/>
          <w:b w:val="0"/>
          <w:color w:val="000000"/>
          <w:sz w:val="18"/>
        </w:rPr>
        <w:t>The first fold-safe study used three seeds; two additional seeds give five (72001-72005), three outer folds and 750 primary runs across ten datasets and five methods. The extension protocol and code hashes were published in GitHub commit 72c87b6 before its 690 runs: 300 seed replications, 240 complete factorial runs and 150 larger-search runs. Earlier outcomes were known. This is prospective versioning, not an independent formal preregistration or registration of past experiments. Inner utility uses training labels only; outer tests are never used to choose a parameter winner.</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4. Actual frozen settings.</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8/10; search study 16/20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 3; Parkinson grouped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72001-72005</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R / fraction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 / 1</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Sensitivity R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Factorial 4,8 / 0,2; earlier OFAT 4,8,16 / 0,1,2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15,30,50%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 / 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Training-selected columns only</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Timing</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Includes utility and final classification</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Each dataset supplies one mean per method and one stability estimate [14]. Friedman tests use ten dataset blocks, tie correction and df=4. Two-sided Wilcoxon compares resampled repair with four controls, followed by Holm within each metric and across all 24 contrasts. Six omnibus tests are also corrected. Dataset-bootstrap intervals use 20,000 draws (seed 20261012) and are descriptive and unadjusted. Fifteen dependent masks are never treated as independent replicates.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7  Results and sensitivity</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5. Equal-weight means over ten datasets; V is budget exceedance.</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0.4947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42.84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0.1036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145/150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0.7814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31.59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0.2476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27.31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0.2203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0.7932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0.2241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bl>
    <w:p>
      <w:pPr>
        <w:spacing w:after="0"/>
      </w:pP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6. Friedman and mean ranks in E/R/C/M/S order; lower rank is better.</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6.8800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0.14237</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0.00029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29.1313</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2.85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29.6800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Resampled minus EHOA changes BA by -0.00141, with W=22, within-metric Holm p=1.00000, rank-biserial r=-0.200 and descriptive 95% interval [-0.01024,0.00799]. Stability changes by +0.12045 (Holm within metric 0.00781; all 24 contrasts 0.04688). Cost changes by -0.21732 (Holm within metric 0.00781; all 24 0.04688). These contrasts include imposing a budget on unconstrained EHOA, and do not isolate a resampling benefit. Nonsignificance does not prove equivalence.</w:t>
      </w:r>
    </w:p>
    <w:p>
      <w:pPr>
        <w:widowControl/>
        <w:spacing w:after="60" w:before="0" w:line="240" w:lineRule="auto"/>
        <w:ind w:left="0" w:right="0" w:firstLine="0"/>
        <w:jc w:val="both"/>
        <w:bidi w:val="0"/>
      </w:pPr>
      <w:r>
        <w:rPr>
          <w:rFonts w:ascii="Times New Roman" w:hAnsi="Times New Roman" w:cs="Times New Roman"/>
          <w:b w:val="0"/>
          <w:color w:val="000000"/>
          <w:sz w:val="18"/>
        </w:rPr>
        <w:t>Post-hoc dataset omission retains positive stability differences versus EHOA and Random, but none of the ten nine-dataset families retains Holm24 significance (Table 7). With nine nonzero blocks, the minimum two-sided signed-rank p is 2/512; observed minimum Holm24 is 0.09375. This threshold fragility does not prove no effect. The original ten-dataset analysis is retained; no omission is used to choose a winner.</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7. Post-hoc stability robustness, Resampled minus EHOA; intervals across omissions are ranges, not confidence intervals.</w:t>
      </w:r>
    </w:p>
    <w:tbl>
      <w:tblPr>
        <w:tblW w:type="dxa" w:w="4876"/>
        <w:tblLayout w:type="fixed"/>
        <w:tblLook w:firstColumn="1" w:firstRow="1" w:lastColumn="0" w:lastRow="0" w:noHBand="0" w:noVBand="1" w:val="04A0"/>
        <w:jc w:val="left"/>
      </w:tblPr>
      <w:tblGrid>
        <w:gridCol w:w="1413"/>
        <w:gridCol w:w="353"/>
        <w:gridCol w:w="1978"/>
        <w:gridCol w:w="1131"/>
      </w:tblGrid>
      <w:tr>
        <w:trPr>
          <w:cantSplit/>
          <w:tblHeader/>
        </w:trPr>
        <w:tc>
          <w:tcPr>
            <w:tcW w:type="dxa" w:w="14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Analysis</w:t>
            </w:r>
          </w:p>
        </w:tc>
        <w:tc>
          <w:tcPr>
            <w:tcW w:type="dxa" w:w="35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197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 delta</w:t>
            </w:r>
          </w:p>
        </w:tc>
        <w:tc>
          <w:tcPr>
            <w:tcW w:type="dxa" w:w="1131"/>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Holm24 p</w:t>
            </w:r>
          </w:p>
        </w:tc>
      </w:tr>
      <w:tr>
        <w:trPr>
          <w:cantSplit/>
        </w:trPr>
        <w:tc>
          <w:tcPr>
            <w:tcW w:type="dxa" w:w="14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Original</w:t>
            </w:r>
          </w:p>
        </w:tc>
        <w:tc>
          <w:tcPr>
            <w:tcW w:type="dxa" w:w="35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w:t>
            </w:r>
          </w:p>
        </w:tc>
        <w:tc>
          <w:tcPr>
            <w:tcW w:type="dxa" w:w="197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+0.12045</w:t>
            </w:r>
          </w:p>
        </w:tc>
        <w:tc>
          <w:tcPr>
            <w:tcW w:type="dxa" w:w="1131"/>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0.04688</w:t>
            </w:r>
          </w:p>
        </w:tc>
      </w:tr>
      <w:tr>
        <w:trPr>
          <w:cantSplit/>
        </w:trPr>
        <w:tc>
          <w:tcPr>
            <w:tcW w:type="dxa" w:w="14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 Oxford</w:t>
            </w:r>
          </w:p>
        </w:tc>
        <w:tc>
          <w:tcPr>
            <w:tcW w:type="dxa" w:w="35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9</w:t>
            </w:r>
          </w:p>
        </w:tc>
        <w:tc>
          <w:tcPr>
            <w:tcW w:type="dxa" w:w="197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+0.12035</w:t>
            </w:r>
          </w:p>
        </w:tc>
        <w:tc>
          <w:tcPr>
            <w:tcW w:type="dxa" w:w="1131"/>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0.09375</w:t>
            </w:r>
          </w:p>
        </w:tc>
      </w:tr>
      <w:tr>
        <w:trPr>
          <w:cantSplit/>
        </w:trPr>
        <w:tc>
          <w:tcPr>
            <w:tcW w:type="dxa" w:w="14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Each omission</w:t>
            </w:r>
          </w:p>
        </w:tc>
        <w:tc>
          <w:tcPr>
            <w:tcW w:type="dxa" w:w="35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9</w:t>
            </w:r>
          </w:p>
        </w:tc>
        <w:tc>
          <w:tcPr>
            <w:tcW w:type="dxa" w:w="197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[+0.10487,+0.12842]</w:t>
            </w:r>
          </w:p>
        </w:tc>
        <w:tc>
          <w:tcPr>
            <w:tcW w:type="dxa" w:w="1131"/>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&gt;=0.09375</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The complete 2x2x2 factorial crosses budget 0.15/0.50, R=4/8 and lambda=0/2 on all ten datasets. Orthogonal contrasts estimate main, pairwise and three-way endpoint effects. Each cell has one seed and three outer folds, so interactions are descriptive and do not cover the full continuous parameter space. A paired larger-search study compares 16 hikers and 20 iterations with 8 and 10 using seed 72001, shared outer splits and all five methods. All configurations were reported; none was selected from outer-test results.</w:t>
      </w:r>
    </w:p>
    <w:p>
      <w:pPr>
        <w:widowControl/>
        <w:spacing w:after="60" w:before="0" w:line="240" w:lineRule="auto"/>
        <w:ind w:left="0" w:right="0" w:firstLine="0"/>
        <w:jc w:val="both"/>
        <w:bidi w:val="0"/>
      </w:pPr>
      <w:r>
        <w:rPr>
          <w:rFonts w:ascii="Times New Roman" w:hAnsi="Times New Roman" w:cs="Times New Roman"/>
          <w:b w:val="0"/>
          <w:color w:val="000000"/>
          <w:sz w:val="18"/>
        </w:rPr>
        <w:t>Cheapest repair has higher mean stability (0.2476) than resampled repair (0.2241); the paired delta is -0.02347, with within-metric Holm p=0.21094. Resampling therefore has no corrected stability advantage over Cheapest or single-MI repair. A descriptive improvement over an unconstrained baseline is not evidence of superiority over feasible simpler alternatives.</w:t>
      </w:r>
    </w:p>
    <w:p>
      <w:pPr>
        <w:widowControl/>
        <w:spacing w:after="60" w:before="0" w:line="240" w:lineRule="auto"/>
        <w:ind w:left="0" w:right="0" w:firstLine="0"/>
        <w:jc w:val="both"/>
        <w:bidi w:val="0"/>
      </w:pPr>
      <w:r>
        <w:rPr>
          <w:rFonts w:ascii="Times New Roman" w:hAnsi="Times New Roman" w:cs="Times New Roman"/>
          <w:b w:val="0"/>
          <w:color w:val="000000"/>
          <w:sz w:val="18"/>
        </w:rPr>
        <w:t>The endpoint R=8 versus R=4 balanced-accuracy effect is +0.00786, averaged over budgets and penalties, with descriptive interval [0.00154,0.01527]. Larger search changes resampled inner fitness by -0.01554, but its outer BA delta is -0.00424, interval [-0.02869,0.01940]. Thus better optimized inner fitness does not establish better held-out prediction. These intervals are unadjusted descriptive contrasts; they do not select the primary setting.</w:t>
      </w:r>
    </w:p>
    <w:p>
      <w:pPr>
        <w:keepNext/>
        <w:jc w:val="center"/>
      </w:pPr>
      <w:r>
        <w:drawing>
          <wp:inline xmlns:a="http://schemas.openxmlformats.org/drawingml/2006/main" xmlns:pic="http://schemas.openxmlformats.org/drawingml/2006/picture">
            <wp:extent cx="3096000" cy="2427606"/>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27606"/>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1. Fresh ten-dataset means; synthetic cost and descriptive subset stability.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8  Biomedical case and congress relevance</w:t>
      </w:r>
    </w:p>
    <w:p>
      <w:pPr>
        <w:widowControl/>
        <w:spacing w:after="60" w:before="0" w:line="240" w:lineRule="auto"/>
        <w:ind w:left="0" w:right="0" w:firstLine="0"/>
        <w:jc w:val="both"/>
        <w:bidi w:val="0"/>
      </w:pPr>
      <w:r>
        <w:rPr>
          <w:rFonts w:ascii="Times New Roman" w:hAnsi="Times New Roman" w:cs="Times New Roman"/>
          <w:b w:val="0"/>
          <w:color w:val="000000"/>
          <w:sz w:val="18"/>
        </w:rPr>
        <w:t>Breast Cancer Wisconsin (Diagnostic) has 569 fine-needle-aspirate cases, 212 malignant and 357 benign, with 30 nuclear-image descriptors [15]. Table 8 and Figure 2 show fifteen masks per method. Counts describe computational selections, not causal biomarkers. Several descriptors share the same image acquisition, so additive synthetic costs cannot be interpreted as biopsy-price savings. Label 0 is malignant and label 1 benign; class-specific recall is explicitly reported.</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8. Breast-cancer case: fifteen runs per method.</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Mal. sens.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Ben. spec.</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0.9415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0.9608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0.5620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0.0727</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0.2525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0.0988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0.9669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0.1975</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0.2046</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0.9493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0.1757</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2. Top eight feature selection counts in fifteen resampled-repair masks.</w:t>
      </w:r>
    </w:p>
    <w:p>
      <w:pPr>
        <w:widowControl/>
        <w:spacing w:after="60" w:before="0" w:line="240" w:lineRule="auto"/>
        <w:ind w:left="0" w:right="0" w:firstLine="0"/>
        <w:jc w:val="both"/>
        <w:bidi w:val="0"/>
      </w:pPr>
      <w:r>
        <w:rPr>
          <w:rFonts w:ascii="Times New Roman" w:hAnsi="Times New Roman" w:cs="Times New Roman"/>
          <w:b w:val="0"/>
          <w:color w:val="000000"/>
          <w:sz w:val="18"/>
        </w:rPr>
        <w:t>The shared-service scenario uses published Montana FNA interpretation code 88173: global USD 164.34, effective June 30, 2024 [17]. All 30 WDBC columns derive from FNA images [15]; mapping them to one acquisition group is an illustrative assumption, not a validated invoice. All 75 nonempty primary breast-cancer masks retain the full shared fee: zero service-fee savings and no feasible nonempty subset at a 30% group budget. Collection, computation time, risk and marginal charges are unknown.</w:t>
      </w:r>
    </w:p>
    <w:p>
      <w:pPr>
        <w:widowControl/>
        <w:spacing w:after="60" w:before="0" w:line="240" w:lineRule="auto"/>
        <w:ind w:left="0" w:right="0" w:firstLine="0"/>
        <w:jc w:val="both"/>
        <w:bidi w:val="0"/>
      </w:pPr>
      <w:r>
        <w:rPr>
          <w:rFonts w:ascii="Times New Roman" w:hAnsi="Times New Roman" w:cs="Times New Roman"/>
          <w:b w:val="0"/>
          <w:color w:val="000000"/>
          <w:sz w:val="18"/>
        </w:rPr>
        <w:t>The exploratory transfer protocol 7f716c5 was published before 25 fits (five methods x five seeds). Training/repair uses Oxford 195 only with inner subject-prefix separation. The separate UCI 489 target has 240 recordings from 80 subjects (40 PD/40 controls) [16]. Only shared RPDE/DFA/PPE enter selection; equal synthetic costs permit one column for repairs, while EHOA is unconstrained. Five-seed probabilities are averaged, then three recordings per subject; threshold 0.5. Target labels are used only for evaluation. Intervals are unadjusted 10000-resample stratified subject bootstraps conditional on fitted models, not independent seed replications or complete training uncertainty.</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9. External three-feature transfer; five-seed subject ensembles. E=EHOA; R/C/M/S are repairs. BA intervals include 0.5; no clinical superiority.</w:t>
      </w:r>
    </w:p>
    <w:tbl>
      <w:tblPr>
        <w:tblW w:type="dxa" w:w="4876"/>
        <w:tblLayout w:type="fixed"/>
        <w:tblLook w:firstColumn="1" w:firstRow="1" w:lastColumn="0" w:lastRow="0" w:noHBand="0" w:noVBand="1" w:val="04A0"/>
        <w:jc w:val="left"/>
      </w:tblPr>
      <w:tblGrid>
        <w:gridCol w:w="1219"/>
        <w:gridCol w:w="1219"/>
        <w:gridCol w:w="1219"/>
        <w:gridCol w:w="1219"/>
      </w:tblGrid>
      <w:tr>
        <w:trPr>
          <w:cantSplit/>
          <w:tblHeader/>
        </w:trPr>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Methods</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 [95% descriptive]</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Sens./Spec.</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AUC</w:t>
            </w:r>
          </w:p>
        </w:tc>
      </w:tr>
      <w:tr>
        <w:trPr>
          <w:cantSplit/>
        </w:trPr>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0.575 [0.475,0.675]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0.725/0.425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0.5794</w:t>
            </w:r>
          </w:p>
        </w:tc>
      </w:tr>
      <w:tr>
        <w:trPr>
          <w:cantSplit/>
        </w:trPr>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R/C/M/S</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0.575 [0.475,0.675]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0.725/0.425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0.5500</w:t>
            </w:r>
          </w:p>
        </w:tc>
      </w:tr>
    </w:tbl>
    <w:p>
      <w:pPr>
        <w:spacing w:after="0"/>
      </w:pP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9  Limitations and reproducibility</w:t>
      </w:r>
    </w:p>
    <w:p>
      <w:pPr>
        <w:widowControl/>
        <w:spacing w:after="60" w:before="0" w:line="240" w:lineRule="auto"/>
        <w:ind w:left="0" w:right="0" w:firstLine="0"/>
        <w:jc w:val="both"/>
        <w:bidi w:val="0"/>
      </w:pPr>
      <w:r>
        <w:rPr>
          <w:rFonts w:ascii="Times New Roman" w:hAnsi="Times New Roman" w:cs="Times New Roman"/>
          <w:b w:val="0"/>
          <w:color w:val="000000"/>
          <w:sz w:val="18"/>
        </w:rPr>
        <w:t>Finite search cannot prove convergence; factorial and larger-search contrasts use one seed. Marginal MI minus SD has no calibrated coverage or false-selection guarantee. Timings use three/six workers. Original recording identity and missing historical records remain unverified. The three-feature transfer uses matching names, without certified extraction/calibration equivalence; it cannot validate the original 22-feature model or prospective clinical use.</w:t>
      </w:r>
    </w:p>
    <w:p>
      <w:pPr>
        <w:widowControl/>
        <w:spacing w:after="60" w:before="0" w:line="240" w:lineRule="auto"/>
        <w:ind w:left="0" w:right="0" w:firstLine="0"/>
        <w:jc w:val="both"/>
        <w:bidi w:val="0"/>
      </w:pPr>
      <w:r>
        <w:rPr>
          <w:rFonts w:ascii="Times New Roman" w:hAnsi="Times New Roman" w:cs="Times New Roman"/>
          <w:b w:val="0"/>
          <w:color w:val="000000"/>
          <w:sz w:val="18"/>
        </w:rPr>
        <w:t>github.com/Amirgh23/coststable-ehoa provides code, data, masks, predictions and audits. An independent audit recomputed all 1464 final classifiers, including AUC/PR-AUC, and 25 external predictions with zero prediction disagreements; probabilities are now saved. All 75 selected optimizer replays matched historical masks on the newer runtime, and winning fitness was independently checked. This is not a replay of every historical search. Protocols and cohorts remain separate; Hill-Valley uses UCI166/OpenML1479.</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10  Conclusion</w:t>
      </w:r>
    </w:p>
    <w:p>
      <w:pPr>
        <w:widowControl/>
        <w:spacing w:after="60" w:before="0" w:line="240" w:lineRule="auto"/>
        <w:ind w:left="0" w:right="0" w:firstLine="0"/>
        <w:jc w:val="both"/>
        <w:bidi w:val="0"/>
      </w:pPr>
      <w:r>
        <w:rPr>
          <w:rFonts w:ascii="Times New Roman" w:hAnsi="Times New Roman" w:cs="Times New Roman"/>
          <w:b w:val="0"/>
          <w:color w:val="000000"/>
          <w:sz w:val="18"/>
        </w:rPr>
        <w:t>Fold-local repair enforces synthetic budgets. Positive stability differences are threshold-fragile under dataset omission; predictive superiority is unestablished. Public-cohort transfer is weak and column deletion does not reduce shared-service fees. Clinical identity, measured marginal costs and full clinical validation remain necessary for deployment.</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References</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B. Remeseiro and V. Bolon-Canedo, "A review of feature selection methods in medical applications," Computers in Biology and Medicine, vol. 112, art. 103375, 2019. https://doi.org/10.1016/j.compbiomed.2019.103375</w:t>
      </w:r>
    </w:p>
    <w:p>
      <w:pPr>
        <w:widowControl/>
        <w:spacing w:after="60" w:before="0" w:line="240" w:lineRule="auto"/>
        <w:ind w:left="0" w:right="0" w:firstLine="0"/>
        <w:jc w:val="both"/>
        <w:bidi w:val="0"/>
      </w:pPr>
      <w:r>
        <w:rPr>
          <w:rFonts w:ascii="Times New Roman" w:hAnsi="Times New Roman" w:cs="Times New Roman"/>
          <w:b w:val="0"/>
          <w:color w:val="000000"/>
          <w:sz w:val="14"/>
        </w:rPr>
        <w:t>[4]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[5]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[6]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[7]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[8]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[9] N. Meinshausen and P. Buhlmann, "Stability selection," Journal of the Royal Statistical Society: Series B, vol. 72, no. 4, pp. 417-473, 2010. https://doi.org/10.1111/j.1467-9868.2010.00740.x</w:t>
      </w:r>
    </w:p>
    <w:p>
      <w:pPr>
        <w:widowControl/>
        <w:spacing w:after="60" w:before="0" w:line="240" w:lineRule="auto"/>
        <w:ind w:left="0" w:right="0" w:firstLine="0"/>
        <w:jc w:val="both"/>
        <w:bidi w:val="0"/>
      </w:pPr>
      <w:r>
        <w:rPr>
          <w:rFonts w:ascii="Times New Roman" w:hAnsi="Times New Roman" w:cs="Times New Roman"/>
          <w:b w:val="0"/>
          <w:color w:val="000000"/>
          <w:sz w:val="14"/>
        </w:rPr>
        <w:t>[10] R. D. Shah and R. J. Samworth, "Variable selection with error control: another look at stability selection," Journal of the Royal Statistical Society: Series B, vol. 75, no. 1, pp. 55-80, 2013. https://doi.org/10.1111/j.1467-9868.2011.01034.x</w:t>
      </w:r>
    </w:p>
    <w:p>
      <w:pPr>
        <w:widowControl/>
        <w:spacing w:after="60" w:before="0" w:line="240" w:lineRule="auto"/>
        <w:ind w:left="0" w:right="0" w:firstLine="0"/>
        <w:jc w:val="both"/>
        <w:bidi w:val="0"/>
      </w:pPr>
      <w:r>
        <w:rPr>
          <w:rFonts w:ascii="Times New Roman" w:hAnsi="Times New Roman" w:cs="Times New Roman"/>
          <w:b w:val="0"/>
          <w:color w:val="000000"/>
          <w:sz w:val="14"/>
        </w:rPr>
        <w:t>[11] B. C. Ross, "Mutual Information between Discrete and Continuous Data Sets," PLOS ONE, vol. 9, no. 2, art. e87357, 2014. https://doi.org/10.1371/journal.pone.0087357</w:t>
      </w:r>
    </w:p>
    <w:p>
      <w:pPr>
        <w:widowControl/>
        <w:spacing w:after="60" w:before="0" w:line="240" w:lineRule="auto"/>
        <w:ind w:left="0" w:right="0" w:firstLine="0"/>
        <w:jc w:val="both"/>
        <w:bidi w:val="0"/>
      </w:pPr>
      <w:r>
        <w:rPr>
          <w:rFonts w:ascii="Times New Roman" w:hAnsi="Times New Roman" w:cs="Times New Roman"/>
          <w:b w:val="0"/>
          <w:color w:val="000000"/>
          <w:sz w:val="14"/>
        </w:rPr>
        <w:t>[12] N. V. Chawla, K. W. Bowyer, L. O. Hall, and W. P. Kegelmeyer, "SMOTE: Synthetic Minority Over-sampling Technique," Journal of Artificial Intelligence Research, vol. 16, pp. 321-357, 2002. https://doi.org/10.1613/jair.953</w:t>
      </w:r>
    </w:p>
    <w:p>
      <w:pPr>
        <w:widowControl/>
        <w:spacing w:after="60" w:before="0" w:line="240" w:lineRule="auto"/>
        <w:ind w:left="0" w:right="0" w:firstLine="0"/>
        <w:jc w:val="both"/>
        <w:bidi w:val="0"/>
      </w:pPr>
      <w:r>
        <w:rPr>
          <w:rFonts w:ascii="Times New Roman" w:hAnsi="Times New Roman" w:cs="Times New Roman"/>
          <w:b w:val="0"/>
          <w:color w:val="000000"/>
          <w:sz w:val="14"/>
        </w:rPr>
        <w:t>[13] S. Varma and R. Simon, "Bias in error estimation when using cross-validation for model selection," BMC Bioinformatics, vol. 7, art. 91, 2006. https://doi.org/10.1186/1471-2105-7-91</w:t>
      </w:r>
    </w:p>
    <w:p>
      <w:pPr>
        <w:widowControl/>
        <w:spacing w:after="60" w:before="0" w:line="240" w:lineRule="auto"/>
        <w:ind w:left="0" w:right="0" w:firstLine="0"/>
        <w:jc w:val="both"/>
        <w:bidi w:val="0"/>
      </w:pPr>
      <w:r>
        <w:rPr>
          <w:rFonts w:ascii="Times New Roman" w:hAnsi="Times New Roman" w:cs="Times New Roman"/>
          <w:b w:val="0"/>
          <w:color w:val="000000"/>
          <w:sz w:val="14"/>
        </w:rPr>
        <w:t>[14]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[15] W. Wolberg, O. Mangasarian, N. Street, and W. Street, "Breast Cancer Wisconsin (Diagnostic)," UCI Machine Learning Repository, 1993. https://doi.org/10.24432/C5DW2B</w:t>
      </w:r>
    </w:p>
    <w:p>
      <w:pPr>
        <w:widowControl/>
        <w:spacing w:after="60" w:before="0" w:line="240" w:lineRule="auto"/>
        <w:ind w:left="0" w:right="0" w:firstLine="0"/>
        <w:jc w:val="both"/>
        <w:bidi w:val="0"/>
      </w:pPr>
      <w:r>
        <w:rPr>
          <w:rFonts w:ascii="Times New Roman" w:hAnsi="Times New Roman" w:cs="Times New Roman"/>
          <w:b w:val="0"/>
          <w:color w:val="000000"/>
          <w:sz w:val="14"/>
        </w:rPr>
        <w:t>[16] C. Prez, "Parkinson Dataset with replicated acoustic features," UCI, 2016. https://doi.org/10.24432/C5701F</w:t>
      </w:r>
    </w:p>
    <w:p>
      <w:pPr>
        <w:widowControl/>
        <w:spacing w:after="60" w:before="0" w:line="240" w:lineRule="auto"/>
        <w:ind w:left="0" w:right="0" w:firstLine="0"/>
        <w:jc w:val="both"/>
        <w:bidi w:val="0"/>
      </w:pPr>
      <w:r>
        <w:rPr>
          <w:rFonts w:ascii="Times New Roman" w:hAnsi="Times New Roman" w:cs="Times New Roman"/>
          <w:b w:val="0"/>
          <w:color w:val="000000"/>
          <w:sz w:val="14"/>
        </w:rPr>
        <w:t>[17] Montana DPHHS, "Cancer Control Programs Fee for Service Schedule," effective June 30, 2024,p.3,code 88173. https://dphhs.mt.gov/assets/publichealth/Cancer/MCCP2025FeeSchedule.pdf</w:t>
      </w: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Hard-Budget Feature Selection with Resampled Mutual-Information Repair in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