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spacing w:after="60" w:line="240" w:lineRule="auto"/>
        <w:jc w:val="center"/>
        <w:bidi w:val="1"/>
      </w:pPr>
      <w:r>
        <w:rPr>
          <w:rFonts w:ascii="Times New Roman" w:hAnsi="Times New Roman" w:cs="B Nazanin"/>
          <w:b/>
          <w:sz w:val="24"/>
        </w:rPr>
        <w:t>انتخاب ویژگی هزینه‌آگاه و پایدار با کران پایین سودمندی بازنمونه‌گیری‌شده با روش CostStableEHOA</w:t>
      </w:r>
    </w:p>
    <w:p>
      <w:pPr>
        <w:pStyle w:val="Author"/>
        <w:spacing w:after="0" w:line="240" w:lineRule="auto"/>
        <w:jc w:val="center"/>
        <w:bidi w:val="1"/>
      </w:pPr>
      <w:r>
        <w:rPr>
          <w:rFonts w:ascii="Times New Roman" w:hAnsi="Times New Roman" w:cs="B Nazanin"/>
          <w:sz w:val="20"/>
        </w:rPr>
        <w:t>امیررضا غفاریان</w:t>
      </w:r>
    </w:p>
    <w:p>
      <w:pPr>
        <w:pStyle w:val="Affiliations"/>
        <w:spacing w:after="60" w:line="240" w:lineRule="auto"/>
        <w:jc w:val="center"/>
        <w:bidi w:val="1"/>
      </w:pPr>
      <w:r>
        <w:rPr>
          <w:rFonts w:ascii="Times New Roman" w:hAnsi="Times New Roman" w:cs="B Nazanin"/>
          <w:sz w:val="16"/>
        </w:rPr>
        <w:t>دانشجوی کارشناسی ارشد، دانشگاه آزاد اسلامی</w:t>
      </w:r>
    </w:p>
    <w:p>
      <w:pPr>
        <w:pStyle w:val="abstract0"/>
        <w:spacing w:after="20" w:line="240" w:lineRule="auto"/>
        <w:jc w:val="both"/>
        <w:bidi w:val="1"/>
      </w:pPr>
      <w:r>
        <w:rPr>
          <w:rFonts w:ascii="Times New Roman" w:hAnsi="Times New Roman" w:cs="B Nazanin"/>
          <w:sz w:val="16"/>
        </w:rPr>
        <w:t>چکیده - انتخاب ویژگی پوششی ممکن است زیرمجموعه‌هایی دقیق اما پرهزینه و ناپایدار تولید کند. در این مقاله، CostStableEHOA به‌عنوان توسعه‌ای مقید از الگوریتم بهینه‌سازی کوه‌پیمایی بهبود‌یافته ارائه می‌شود. هر ماسک ناقض بودجه با حذف ویژگی فعالی تعمیر می‌شود که کمترین نسبت سودمندی پایدار به هزینه را دارد. سودمندی از کران پایین اطمینان اطلاعات متقابل در بازنمونه‌گیری‌های داده آموزش به‌دست می‌آید و تابع برازندگی اصلی EHOA تغییر نمی‌کند. ارزیابی تأییدی، پنج روش را روی ده دیتاست عمومی مقایسه کرد. تمام ۳۰۰ اجرا و ۳۰۰ ماسک بدون مقدار گم‌شده، کلید تکراری، شکست یا نقض بودجه ثبت شدند. در تجمیع بین‌دیتاستی، روش پیشنهادی نسبت هزینه را از ۰٫۴۷۸۲ به ۰٫۲۷۷۵ کاهش و پایداری نوگوئیرا را از ۰٫۱۲۲۹ به ۰٫۲۵۵۴ افزایش داد. آزمون ویلکاکسون پس از اصلاح هولم برای هزینه (p=0.0078) و پایداری (p=0.0156) معنادار باقی ماند. دقت متوازن از ۰٫۸۳۰۱ به ۰٫۸۲۸۰ تغییر کرد و اختلاف معنادار نبود. برتری روش نسبت به تعمیرهای بودجه‌ای ساده‌تر نیز تأیید نشد. بنابراین شواهد از مبادله هزینه--پایداری پشتیبانی می‌کنند، نه برتری عمومی در پیش‌بینی.</w:t>
      </w:r>
    </w:p>
    <w:p>
      <w:pPr>
        <w:pStyle w:val="Index"/>
        <w:spacing w:after="40" w:line="240" w:lineRule="auto"/>
        <w:jc w:val="both"/>
        <w:bidi w:val="1"/>
      </w:pPr>
      <w:r>
        <w:rPr>
          <w:rFonts w:ascii="Times New Roman" w:hAnsi="Times New Roman" w:cs="B Nazanin"/>
          <w:sz w:val="16"/>
        </w:rPr>
        <w:t>کلیدواژه‌ها - انتخاب ویژگی، هزینه کسب ویژگی، پایداری، اطلاعات متقابل، کران پایین اطمینان، EHOA، اعتبارسنجی تو‌در‌تو</w:t>
      </w:r>
    </w:p>
    <w:p>
      <w:pPr>
        <w:sectPr>
          <w:pgSz w:w="11906" w:h="16838"/>
          <w:pgMar w:top="1077" w:bottom="1440" w:left="907" w:right="907"/>
          <w:cols w:num="1"/>
        </w:sectPr>
      </w:pPr>
    </w:p>
    <w:p>
      <w:pPr>
        <w:pStyle w:val="Heading1"/>
        <w:spacing w:after="20" w:line="240" w:lineRule="auto"/>
        <w:jc w:val="center"/>
        <w:bidi w:val="1"/>
      </w:pPr>
      <w:r>
        <w:rPr>
          <w:rFonts w:ascii="Times New Roman" w:hAnsi="Times New Roman" w:cs="B Nazanin"/>
          <w:b/>
          <w:sz w:val="18"/>
        </w:rPr>
        <w:t>مقدمه</w:t>
      </w:r>
    </w:p>
    <w:p>
      <w:pPr>
        <w:spacing w:after="20" w:line="240" w:lineRule="auto"/>
        <w:jc w:val="both"/>
        <w:bidi w:val="1"/>
      </w:pPr>
      <w:r>
        <w:rPr>
          <w:rFonts w:ascii="Times New Roman" w:hAnsi="Times New Roman" w:cs="B Nazanin"/>
          <w:sz w:val="16"/>
        </w:rPr>
        <w:t>انتخاب ویژگی می‌تواند ابعاد داده، هزینه اندازه‌گیری و پیچیدگی مدل را کاهش دهد. روش‌های پوششی زیرمجموعه را مستقیماً با طبقه‌بند ارزیابی می‌کنند، اما به تغییرات کوچک داده آموزش حساس‌اند. این ناپایداری زمانی مهم است که ویژگی‌های برگزیده تفسیر یا بارها اندازه‌گیری شوند. نوگوئیرا و همکاران معیاری تصحیح‌شده نسبت به شانس برای پایداری انتخاب ویژگی ارائه کرده‌اند [1].</w:t>
      </w:r>
    </w:p>
    <w:p>
      <w:pPr>
        <w:spacing w:after="20" w:line="240" w:lineRule="auto"/>
        <w:jc w:val="both"/>
        <w:bidi w:val="1"/>
      </w:pPr>
      <w:r>
        <w:rPr>
          <w:rFonts w:ascii="Times New Roman" w:hAnsi="Times New Roman" w:cs="B Nazanin"/>
          <w:sz w:val="16"/>
        </w:rPr>
        <w:t>الگوریتم EHOA با مقداردهی آشوبی، کنترل پویای حرکت و انتقال دودویی برای انتخاب ویژگی پزشکی توسعه یافته است [2]. تابع هدف آن خطای اعتبارسنجی و اندازه زیرمجموعه را ترکیب می‌کند، اما بودجه سخت کسب ویژگی را تضمین نمی‌کند و قابلیت تکرار شواهد را در رتبه‌بندی حذف‌ها وارد نمی‌سازد. از آنجا که انتخاب ویژگی مقید به هزینه قبلاً مطالعه شده است [3]، هزینه‌آگاهی یا تعمیر جواب به‌تنهایی نوآوری این مقاله نیست.</w:t>
      </w:r>
    </w:p>
    <w:p>
      <w:pPr>
        <w:spacing w:after="20" w:line="240" w:lineRule="auto"/>
        <w:jc w:val="both"/>
        <w:bidi w:val="1"/>
      </w:pPr>
      <w:r>
        <w:rPr>
          <w:rFonts w:ascii="Times New Roman" w:hAnsi="Times New Roman" w:cs="B Nazanin"/>
          <w:sz w:val="16"/>
        </w:rPr>
        <w:t>مشارکت‌های این پژوهش عبارت‌اند از: ۱) ادغام تعمیر سخت بودجه در ارزیابی هر جواب EHOA؛ ۲) تعریف سودمندی پایدار بر اساس کران پایین اطلاعات متقابل بازنمونه‌گیری‌شده به‌ازای هزینه؛ و ۳) مقایسه تأییدی با سه تعمیر ساده‌تر تحت بودجه و تابع برازندگی یکسان. ادعای نوآوری محدود، افزایشی و مربوط به همین ترکیب است.</w:t>
      </w:r>
    </w:p>
    <w:p>
      <w:pPr>
        <w:pStyle w:val="Heading1"/>
        <w:spacing w:after="20" w:line="240" w:lineRule="auto"/>
        <w:jc w:val="center"/>
        <w:bidi w:val="1"/>
      </w:pPr>
      <w:r>
        <w:rPr>
          <w:rFonts w:ascii="Times New Roman" w:hAnsi="Times New Roman" w:cs="B Nazanin"/>
          <w:b/>
          <w:sz w:val="18"/>
        </w:rPr>
        <w:t>کارهای مرتبط</w:t>
      </w:r>
    </w:p>
    <w:p>
      <w:pPr>
        <w:spacing w:after="20" w:line="240" w:lineRule="auto"/>
        <w:jc w:val="both"/>
        <w:bidi w:val="1"/>
      </w:pPr>
      <w:r>
        <w:rPr>
          <w:rFonts w:ascii="Times New Roman" w:hAnsi="Times New Roman" w:cs="B Nazanin"/>
          <w:sz w:val="16"/>
        </w:rPr>
        <w:t>انتخاب ویژگی فراابتکاری، فضای دودویی ماسک‌ها را جست‌وجو و از مدل پیش‌بینی به‌عنوان ارزیاب استفاده می‌کند. روش‌های جدید از راهبردهای متعدد، کنترل تطبیقی و هدایت بر اساس ارتباط بهره می‌برند؛ بنابراین این مفاهیم به‌تنهایی نوآوری محسوب نمی‌شوند.</w:t>
      </w:r>
    </w:p>
    <w:p>
      <w:pPr>
        <w:spacing w:after="20" w:line="240" w:lineRule="auto"/>
        <w:jc w:val="both"/>
        <w:bidi w:val="1"/>
      </w:pPr>
      <w:r>
        <w:rPr>
          <w:rFonts w:ascii="Times New Roman" w:hAnsi="Times New Roman" w:cs="B Nazanin"/>
          <w:sz w:val="16"/>
        </w:rPr>
        <w:t>در انتخاب هزینه‌آگاه، هزینه‌های ناهمسان از طریق قید یا جریمه وارد مسئله می‌شوند [3]. جریمه ممکن است پاسخ ناشدنی تولید کند و به تنظیم ضریب نیاز دارد؛ تعمیر جواب، شدنی‌بودن را دقیقاً تضمین می‌کند. تفاوت روش حاضر با تعمیر ارزان‌ترین یا اطلاعات متقابل تک‌برآوردی در جریمه‌کردن ارتباطی است که بین بازنمونه‌گیری‌ها نوسان زیادی دارد.</w:t>
      </w:r>
    </w:p>
    <w:p>
      <w:pPr>
        <w:spacing w:after="20" w:line="240" w:lineRule="auto"/>
        <w:jc w:val="both"/>
        <w:bidi w:val="1"/>
      </w:pPr>
      <w:r>
        <w:rPr>
          <w:rFonts w:ascii="Times New Roman" w:hAnsi="Times New Roman" w:cs="B Nazanin"/>
          <w:sz w:val="16"/>
        </w:rPr>
        <w:t>پایداری با دقت یکسان نیست. معیار نوگوئیرا هم‌پوشانی تصادفی و تفاوت اندازه زیرمجموعه‌ها را کنترل می‌کند [1]. در این پژوهش پایداری فقط خروجی ارزیابی است و به تابع برازندگی افزوده نمی‌شود؛ بنابراین هدف پایه تغییر نمی‌کند.</w:t>
      </w:r>
    </w:p>
    <w:p>
      <w:pPr>
        <w:pStyle w:val="Heading1"/>
        <w:spacing w:after="20" w:line="240" w:lineRule="auto"/>
        <w:jc w:val="center"/>
        <w:bidi w:val="1"/>
      </w:pPr>
      <w:r>
        <w:rPr>
          <w:rFonts w:ascii="Times New Roman" w:hAnsi="Times New Roman" w:cs="B Nazanin"/>
          <w:b/>
          <w:sz w:val="18"/>
        </w:rPr>
        <w:t>روش پیشنهادی</w:t>
      </w:r>
    </w:p>
    <w:p>
      <w:pPr>
        <w:spacing w:after="20" w:line="240" w:lineRule="auto"/>
        <w:jc w:val="both"/>
        <w:bidi w:val="1"/>
      </w:pPr>
      <w:r>
        <w:rPr>
          <w:rFonts w:ascii="Times New Roman" w:hAnsi="Times New Roman" w:cs="B Nazanin"/>
          <w:sz w:val="16"/>
        </w:rPr>
        <w:t>ماسک دودویی را با z 0,1 ^D، هزینه ویژگی j را با c_j&gt;0 و بودجه را با B نشان می‌دهیم. شرط شدنی‌بودن برابر است با</w:t>
      </w:r>
    </w:p>
    <w:p>
      <w:pPr>
        <w:spacing w:after="20" w:line="240" w:lineRule="auto"/>
        <w:jc w:val="both"/>
        <w:bidi w:val="1"/>
      </w:pPr>
      <w:r>
        <w:rPr>
          <w:rFonts w:ascii="Times New Roman" w:hAnsi="Times New Roman" w:cs="B Nazanin"/>
          <w:sz w:val="16"/>
        </w:rPr>
        <w:t>برای بازنمونه‌گیری b=1,,R، اطلاعات متقابل I_jb فقط از بخش آموزش بیرونی برآورد می‌شود. سودمندی و نسبت سودمندی به هزینه به‌صورت زیرند:</w:t>
      </w:r>
    </w:p>
    <w:p>
      <w:pPr>
        <w:spacing w:after="20" w:line="240" w:lineRule="auto"/>
        <w:jc w:val="both"/>
        <w:bidi w:val="1"/>
      </w:pPr>
      <w:r>
        <w:rPr>
          <w:rFonts w:ascii="Times New Roman" w:hAnsi="Times New Roman" w:cs="B Nazanin"/>
          <w:sz w:val="16"/>
        </w:rPr>
        <w:t>s_j انحراف معیار بین بازنمونه‌گیری‌ها و z_ شدت محافظه‌کاری است. هنگام نقض بودجه، ویژگی فعال با کمترین q_j به‌طور تکراری حذف می‌شود. اگر ماسک تهی شود، ویژگی شدنی با بیشترین نسبت بازگردانده می‌شود.</w:t>
      </w:r>
    </w:p>
    <w:p>
      <w:pPr>
        <w:spacing w:after="20" w:line="240" w:lineRule="auto"/>
        <w:jc w:val="both"/>
        <w:bidi w:val="1"/>
      </w:pPr>
      <w:r>
        <w:rPr>
          <w:rFonts w:ascii="Times New Roman" w:hAnsi="Times New Roman" w:cs="B Nazanin"/>
          <w:sz w:val="16"/>
        </w:rPr>
        <w:t>به‌روزرسانی جمعیت، انتقال دودویی و برازندگی EHOA بدون تغییر باقی می‌مانند. چهار نسخه مقید با تنظیمات جست‌وجوی یکسان، حذف‌ها را به‌ترتیب تصادفی، ارزان‌ترین، اطلاعات متقابل و Stable-LCB رتبه‌بندی می‌کنند.</w:t>
      </w:r>
    </w:p>
    <w:p>
      <w:pPr>
        <w:pStyle w:val="Equation"/>
        <w:spacing w:after="40" w:line="240" w:lineRule="auto"/>
        <w:jc w:val="center"/>
        <w:bidi w:val="1"/>
      </w:pPr>
      <w:r>
        <w:rPr>
          <w:rFonts w:ascii="Times New Roman" w:hAnsi="Times New Roman" w:cs="B Nazanin"/>
          <w:sz w:val="16"/>
        </w:rPr>
        <w:t>روابط اصلی:  Σ(zⱼcⱼ) ≤ B ،  uⱼ = max(0, Īⱼ − zαsⱼ) ،  qⱼ = uⱼ / max(cⱼ, ε). در صورت نقض بودجه، ویژگی فعال با کمترین qⱼ حذف می‌شود.</w:t>
      </w:r>
    </w:p>
    <w:p>
      <w:pPr>
        <w:pStyle w:val="Heading1"/>
        <w:spacing w:after="20" w:line="240" w:lineRule="auto"/>
        <w:jc w:val="center"/>
        <w:bidi w:val="1"/>
      </w:pPr>
      <w:r>
        <w:rPr>
          <w:rFonts w:ascii="Times New Roman" w:hAnsi="Times New Roman" w:cs="B Nazanin"/>
          <w:b/>
          <w:sz w:val="18"/>
        </w:rPr>
        <w:t>پروتکل آزمایش</w:t>
      </w:r>
    </w:p>
    <w:p>
      <w:pPr>
        <w:spacing w:after="20" w:line="240" w:lineRule="auto"/>
        <w:jc w:val="both"/>
        <w:bidi w:val="1"/>
      </w:pPr>
      <w:r>
        <w:rPr>
          <w:rFonts w:ascii="Times New Roman" w:hAnsi="Times New Roman" w:cs="B Nazanin"/>
          <w:sz w:val="16"/>
        </w:rPr>
        <w:t>ده دیتاست عمومی Breast Cancer، Wine، Ionosphere، Sonar، Dermatology، Spambase، Parkinsons، Hill-Valley، Steel Plates Fault و Madelon استفاده شدند. هر روش با دو بذر و سه چین بیرونی طبقه‌بندی‌شده اجرا شد؛ بنابراین 10523=300 اجرا به‌دست آمد. اعتبارسنجی درونی سه‌چینی، جمعیت ۸، ۱۰ تکرار و وزن دقت ۰٫۹۹ بود.</w:t>
      </w:r>
    </w:p>
    <w:p>
      <w:pPr>
        <w:spacing w:after="20" w:line="240" w:lineRule="auto"/>
        <w:jc w:val="both"/>
        <w:bidi w:val="1"/>
      </w:pPr>
      <w:r>
        <w:rPr>
          <w:rFonts w:ascii="Times New Roman" w:hAnsi="Times New Roman" w:cs="B Nazanin"/>
          <w:sz w:val="16"/>
        </w:rPr>
        <w:t>هزینه‌ها یک‌بار برای هر دیتاست از مدل لگ‌نرمال قطعی و مستقل از برچسب تولید شدند. بودجه ۳۰ درصد کل هزینه بود. این طراحی، هزینه‌آگاهی کنترل‌شده را می‌آزماید و ادعای هزینه پولی واقعی ندارد. پیش‌پردازش، برآورد سودمندی، جست‌وجو و برازش فقط با آموزش بیرونی انجام شدند و آزمون بیرونی یک‌بار برای ارزیابی استفاده شد. طبقه‌بند اصلی نزدیک‌ترین همسایه بود.</w:t>
      </w:r>
    </w:p>
    <w:p>
      <w:pPr>
        <w:spacing w:after="20" w:line="240" w:lineRule="auto"/>
        <w:jc w:val="both"/>
        <w:bidi w:val="1"/>
      </w:pPr>
      <w:r>
        <w:rPr>
          <w:rFonts w:ascii="Times New Roman" w:hAnsi="Times New Roman" w:cs="B Nazanin"/>
          <w:sz w:val="16"/>
        </w:rPr>
        <w:t>برای استنباط، ابتدا شش اجرا در هر دیتاست و روش میانگین‌گیری شد. ده دیتاست، نه ۳۰۰ ردیف، واحدهای مستقل آزمون بودند. آزمون فریدمن برای مقایسه کلی و ویلکاکسون زوجی دوطرفه برای مقایسه روش پیشنهادی با چهار کنترل استفاده شد. چهار مقایسه هر معیار با روش هولم اصلاح شدند [4].</w:t>
      </w:r>
    </w:p>
    <w:p>
      <w:pPr>
        <w:pStyle w:val="Heading1"/>
        <w:spacing w:after="20" w:line="240" w:lineRule="auto"/>
        <w:jc w:val="center"/>
        <w:bidi w:val="1"/>
      </w:pPr>
      <w:r>
        <w:rPr>
          <w:rFonts w:ascii="Times New Roman" w:hAnsi="Times New Roman" w:cs="B Nazanin"/>
          <w:b/>
          <w:sz w:val="18"/>
        </w:rPr>
        <w:t>نتایج</w:t>
      </w:r>
    </w:p>
    <w:p>
      <w:pPr>
        <w:spacing w:after="20" w:line="240" w:lineRule="auto"/>
        <w:jc w:val="both"/>
        <w:bidi w:val="1"/>
      </w:pPr>
      <w:r>
        <w:rPr>
          <w:rFonts w:ascii="Times New Roman" w:hAnsi="Times New Roman" w:cs="B Nazanin"/>
          <w:sz w:val="16"/>
        </w:rPr>
        <w:t>ممیزی، ۳۰۰ ردیف، ۳۰۰ ماسک، صفر مقدار گم‌شده، صفر کلید تکراری و صفر نقض بودجه را تأیید کرد. جدول ۱ میانگین بین‌دیتاستی را نشان می‌دهد.</w:t>
      </w:r>
    </w:p>
    <w:p>
      <w:pPr>
        <w:spacing w:after="20" w:line="240" w:lineRule="auto"/>
        <w:jc w:val="both"/>
        <w:bidi w:val="1"/>
      </w:pPr>
      <w:r>
        <w:rPr>
          <w:rFonts w:ascii="Times New Roman" w:hAnsi="Times New Roman" w:cs="B Nazanin"/>
          <w:sz w:val="16"/>
        </w:rPr>
        <w:t>نسبت به EHOA، روش پیشنهادی نسبت هزینه را به‌طور متوسط ۰٫۲۰۰۷ کاهش داد و در هر ده دیتاست هزینه کمتری داشت. مقدار p خام ۰٫۰۰۱۹۵ و پس از هولم ۰٫۰۰۷۸۱ بود. پایداری ۰٫۱۳۲۵ افزایش یافت و در ۹ دیتاست برد و یک باخت ثبت شد؛ p خام ۰٫۰۰۳۹۱ و اصلاح‌شده ۰٫۰۱۵۶۳ بود. اختلاف دقت متوازن برابر ۰٫۰۰۲۰۹-، با شش برد عددی و چهار باخت بود؛ p اصلاح‌شده ۱٫۰ شد. فاصله بوت‌استرپ ۹۵ درصد اختلاف دقت تقریباً [-0.0177,0.0087] بود؛ پس عدم‌کاهندگی رسمی اثبات نمی‌شود.</w:t>
      </w:r>
    </w:p>
    <w:p>
      <w:pPr>
        <w:spacing w:after="20" w:line="240" w:lineRule="auto"/>
        <w:jc w:val="both"/>
        <w:bidi w:val="1"/>
      </w:pPr>
      <w:r>
        <w:rPr>
          <w:rFonts w:ascii="Times New Roman" w:hAnsi="Times New Roman" w:cs="B Nazanin"/>
          <w:sz w:val="16"/>
        </w:rPr>
        <w:t>در برابر Budget-MI، اختلاف میانگین دقت روش پیشنهادی ۰٫۰۰۵۰۹- و اختلاف پایداری ۰٫۰۲۱۹+ بود و هیچ‌کدام پس از اصلاح معنادار نشدند. پایداری آن نیز تقریباً برابر تعمیر ارزان‌ترین بود. بنابراین قید بودجه، کاهش روشن هزینه را توضیح می‌دهد، اما رتبه‌بندی LCB برتری عمومی بر تعمیرهای ساده‌تر را اثبات نمی‌کند.</w:t>
      </w:r>
    </w:p>
    <w:p>
      <w:pPr>
        <w:pStyle w:val="TableTitle"/>
        <w:spacing w:after="20" w:line="240" w:lineRule="auto"/>
        <w:jc w:val="center"/>
        <w:bidi w:val="1"/>
      </w:pPr>
      <w:r>
        <w:rPr>
          <w:rFonts w:ascii="Times New Roman" w:hAnsi="Times New Roman" w:cs="B Nazanin"/>
          <w:sz w:val="16"/>
        </w:rPr>
        <w:t>جدول ۱ - میانگین نتایج روی ده دیتاست</w:t>
      </w:r>
    </w:p>
    <w:tbl>
      <w:tblPr>
        <w:tblW w:type="auto" w:w="0"/>
        <w:tblLayout w:type="autofit"/>
        <w:tblLook w:firstColumn="1" w:firstRow="1" w:lastColumn="0" w:lastRow="0" w:noHBand="0" w:noVBand="1" w:val="04A0"/>
      </w:tblPr>
      <w:tblGrid>
        <w:gridCol w:w="2018"/>
        <w:gridCol w:w="2018"/>
        <w:gridCol w:w="2018"/>
        <w:gridCol w:w="2018"/>
        <w:gridCol w:w="2018"/>
      </w:tblGrid>
      <w:tr>
        <w:tc>
          <w:tcPr>
            <w:tcW w:type="dxa" w:w="2018"/>
            <w:vAlign w:val="center"/>
          </w:tcPr>
          <w:p>
            <w:pPr>
              <w:jc w:val="center"/>
              <w:bidi w:val="1"/>
            </w:pPr>
            <w:r>
              <w:rPr>
                <w:rFonts w:ascii="Times New Roman" w:hAnsi="Times New Roman" w:cs="B Nazanin"/>
                <w:b/>
                <w:sz w:val="13"/>
              </w:rPr>
              <w:t>روش</w:t>
            </w:r>
          </w:p>
        </w:tc>
        <w:tc>
          <w:tcPr>
            <w:tcW w:type="dxa" w:w="2018"/>
            <w:vAlign w:val="center"/>
          </w:tcPr>
          <w:p>
            <w:pPr>
              <w:jc w:val="center"/>
              <w:bidi w:val="1"/>
            </w:pPr>
            <w:r>
              <w:rPr>
                <w:rFonts w:ascii="Times New Roman" w:hAnsi="Times New Roman" w:cs="B Nazanin"/>
                <w:b/>
                <w:sz w:val="13"/>
              </w:rPr>
              <w:t>دقت</w:t>
            </w:r>
          </w:p>
        </w:tc>
        <w:tc>
          <w:tcPr>
            <w:tcW w:type="dxa" w:w="2018"/>
            <w:vAlign w:val="center"/>
          </w:tcPr>
          <w:p>
            <w:pPr>
              <w:jc w:val="center"/>
              <w:bidi w:val="1"/>
            </w:pPr>
            <w:r>
              <w:rPr>
                <w:rFonts w:ascii="Times New Roman" w:hAnsi="Times New Roman" w:cs="B Nazanin"/>
                <w:b/>
                <w:sz w:val="13"/>
              </w:rPr>
              <w:t>هزینه</w:t>
            </w:r>
          </w:p>
        </w:tc>
        <w:tc>
          <w:tcPr>
            <w:tcW w:type="dxa" w:w="2018"/>
            <w:vAlign w:val="center"/>
          </w:tcPr>
          <w:p>
            <w:pPr>
              <w:jc w:val="center"/>
              <w:bidi w:val="1"/>
            </w:pPr>
            <w:r>
              <w:rPr>
                <w:rFonts w:ascii="Times New Roman" w:hAnsi="Times New Roman" w:cs="B Nazanin"/>
                <w:b/>
                <w:sz w:val="13"/>
              </w:rPr>
              <w:t>ویژگی</w:t>
            </w:r>
          </w:p>
        </w:tc>
        <w:tc>
          <w:tcPr>
            <w:tcW w:type="dxa" w:w="2018"/>
            <w:vAlign w:val="center"/>
          </w:tcPr>
          <w:p>
            <w:pPr>
              <w:jc w:val="center"/>
              <w:bidi w:val="1"/>
            </w:pPr>
            <w:r>
              <w:rPr>
                <w:rFonts w:ascii="Times New Roman" w:hAnsi="Times New Roman" w:cs="B Nazanin"/>
                <w:b/>
                <w:sz w:val="13"/>
              </w:rPr>
              <w:t>پایداری</w:t>
            </w:r>
          </w:p>
        </w:tc>
      </w:tr>
      <w:tr>
        <w:tc>
          <w:tcPr>
            <w:tcW w:type="dxa" w:w="2018"/>
            <w:vAlign w:val="center"/>
          </w:tcPr>
          <w:p>
            <w:pPr>
              <w:jc w:val="center"/>
              <w:bidi w:val="1"/>
            </w:pPr>
            <w:r>
              <w:rPr>
                <w:rFonts w:ascii="Times New Roman" w:hAnsi="Times New Roman" w:cs="B Nazanin"/>
                <w:b w:val="0"/>
                <w:sz w:val="13"/>
              </w:rPr>
              <w:t>EHOA</w:t>
            </w:r>
          </w:p>
        </w:tc>
        <w:tc>
          <w:tcPr>
            <w:tcW w:type="dxa" w:w="2018"/>
            <w:vAlign w:val="center"/>
          </w:tcPr>
          <w:p>
            <w:pPr>
              <w:jc w:val="center"/>
              <w:bidi w:val="1"/>
            </w:pPr>
            <w:r>
              <w:rPr>
                <w:rFonts w:ascii="Times New Roman" w:hAnsi="Times New Roman" w:cs="B Nazanin"/>
                <w:b w:val="0"/>
                <w:sz w:val="13"/>
              </w:rPr>
              <w:t>0.8301</w:t>
            </w:r>
          </w:p>
        </w:tc>
        <w:tc>
          <w:tcPr>
            <w:tcW w:type="dxa" w:w="2018"/>
            <w:vAlign w:val="center"/>
          </w:tcPr>
          <w:p>
            <w:pPr>
              <w:jc w:val="center"/>
              <w:bidi w:val="1"/>
            </w:pPr>
            <w:r>
              <w:rPr>
                <w:rFonts w:ascii="Times New Roman" w:hAnsi="Times New Roman" w:cs="B Nazanin"/>
                <w:b w:val="0"/>
                <w:sz w:val="13"/>
              </w:rPr>
              <w:t>0.4782</w:t>
            </w:r>
          </w:p>
        </w:tc>
        <w:tc>
          <w:tcPr>
            <w:tcW w:type="dxa" w:w="2018"/>
            <w:vAlign w:val="center"/>
          </w:tcPr>
          <w:p>
            <w:pPr>
              <w:jc w:val="center"/>
              <w:bidi w:val="1"/>
            </w:pPr>
            <w:r>
              <w:rPr>
                <w:rFonts w:ascii="Times New Roman" w:hAnsi="Times New Roman" w:cs="B Nazanin"/>
                <w:b w:val="0"/>
                <w:sz w:val="13"/>
              </w:rPr>
              <w:t>42.07</w:t>
            </w:r>
          </w:p>
        </w:tc>
        <w:tc>
          <w:tcPr>
            <w:tcW w:type="dxa" w:w="2018"/>
            <w:vAlign w:val="center"/>
          </w:tcPr>
          <w:p>
            <w:pPr>
              <w:jc w:val="center"/>
              <w:bidi w:val="1"/>
            </w:pPr>
            <w:r>
              <w:rPr>
                <w:rFonts w:ascii="Times New Roman" w:hAnsi="Times New Roman" w:cs="B Nazanin"/>
                <w:b w:val="0"/>
                <w:sz w:val="13"/>
              </w:rPr>
              <w:t>0.1229</w:t>
            </w:r>
          </w:p>
        </w:tc>
      </w:tr>
      <w:tr>
        <w:tc>
          <w:tcPr>
            <w:tcW w:type="dxa" w:w="2018"/>
            <w:vAlign w:val="center"/>
          </w:tcPr>
          <w:p>
            <w:pPr>
              <w:jc w:val="center"/>
              <w:bidi w:val="1"/>
            </w:pPr>
            <w:r>
              <w:rPr>
                <w:rFonts w:ascii="Times New Roman" w:hAnsi="Times New Roman" w:cs="B Nazanin"/>
                <w:b w:val="0"/>
                <w:sz w:val="13"/>
              </w:rPr>
              <w:t>Budget-random</w:t>
            </w:r>
          </w:p>
        </w:tc>
        <w:tc>
          <w:tcPr>
            <w:tcW w:type="dxa" w:w="2018"/>
            <w:vAlign w:val="center"/>
          </w:tcPr>
          <w:p>
            <w:pPr>
              <w:jc w:val="center"/>
              <w:bidi w:val="1"/>
            </w:pPr>
            <w:r>
              <w:rPr>
                <w:rFonts w:ascii="Times New Roman" w:hAnsi="Times New Roman" w:cs="B Nazanin"/>
                <w:b w:val="0"/>
                <w:sz w:val="13"/>
              </w:rPr>
              <w:t>0.8288</w:t>
            </w:r>
          </w:p>
        </w:tc>
        <w:tc>
          <w:tcPr>
            <w:tcW w:type="dxa" w:w="2018"/>
            <w:vAlign w:val="center"/>
          </w:tcPr>
          <w:p>
            <w:pPr>
              <w:jc w:val="center"/>
              <w:bidi w:val="1"/>
            </w:pPr>
            <w:r>
              <w:rPr>
                <w:rFonts w:ascii="Times New Roman" w:hAnsi="Times New Roman" w:cs="B Nazanin"/>
                <w:b w:val="0"/>
                <w:sz w:val="13"/>
              </w:rPr>
              <w:t>0.2724</w:t>
            </w:r>
          </w:p>
        </w:tc>
        <w:tc>
          <w:tcPr>
            <w:tcW w:type="dxa" w:w="2018"/>
            <w:vAlign w:val="center"/>
          </w:tcPr>
          <w:p>
            <w:pPr>
              <w:jc w:val="center"/>
              <w:bidi w:val="1"/>
            </w:pPr>
            <w:r>
              <w:rPr>
                <w:rFonts w:ascii="Times New Roman" w:hAnsi="Times New Roman" w:cs="B Nazanin"/>
                <w:b w:val="0"/>
                <w:sz w:val="13"/>
              </w:rPr>
              <w:t>31.87</w:t>
            </w:r>
          </w:p>
        </w:tc>
        <w:tc>
          <w:tcPr>
            <w:tcW w:type="dxa" w:w="2018"/>
            <w:vAlign w:val="center"/>
          </w:tcPr>
          <w:p>
            <w:pPr>
              <w:jc w:val="center"/>
              <w:bidi w:val="1"/>
            </w:pPr>
            <w:r>
              <w:rPr>
                <w:rFonts w:ascii="Times New Roman" w:hAnsi="Times New Roman" w:cs="B Nazanin"/>
                <w:b w:val="0"/>
                <w:sz w:val="13"/>
              </w:rPr>
              <w:t>0.1403</w:t>
            </w:r>
          </w:p>
        </w:tc>
      </w:tr>
      <w:tr>
        <w:tc>
          <w:tcPr>
            <w:tcW w:type="dxa" w:w="2018"/>
            <w:vAlign w:val="center"/>
          </w:tcPr>
          <w:p>
            <w:pPr>
              <w:jc w:val="center"/>
              <w:bidi w:val="1"/>
            </w:pPr>
            <w:r>
              <w:rPr>
                <w:rFonts w:ascii="Times New Roman" w:hAnsi="Times New Roman" w:cs="B Nazanin"/>
                <w:b w:val="0"/>
                <w:sz w:val="13"/>
              </w:rPr>
              <w:t>Budget-cheapest</w:t>
            </w:r>
          </w:p>
        </w:tc>
        <w:tc>
          <w:tcPr>
            <w:tcW w:type="dxa" w:w="2018"/>
            <w:vAlign w:val="center"/>
          </w:tcPr>
          <w:p>
            <w:pPr>
              <w:jc w:val="center"/>
              <w:bidi w:val="1"/>
            </w:pPr>
            <w:r>
              <w:rPr>
                <w:rFonts w:ascii="Times New Roman" w:hAnsi="Times New Roman" w:cs="B Nazanin"/>
                <w:b w:val="0"/>
                <w:sz w:val="13"/>
              </w:rPr>
              <w:t>0.8324</w:t>
            </w:r>
          </w:p>
        </w:tc>
        <w:tc>
          <w:tcPr>
            <w:tcW w:type="dxa" w:w="2018"/>
            <w:vAlign w:val="center"/>
          </w:tcPr>
          <w:p>
            <w:pPr>
              <w:jc w:val="center"/>
              <w:bidi w:val="1"/>
            </w:pPr>
            <w:r>
              <w:rPr>
                <w:rFonts w:ascii="Times New Roman" w:hAnsi="Times New Roman" w:cs="B Nazanin"/>
                <w:b w:val="0"/>
                <w:sz w:val="13"/>
              </w:rPr>
              <w:t>0.2728</w:t>
            </w:r>
          </w:p>
        </w:tc>
        <w:tc>
          <w:tcPr>
            <w:tcW w:type="dxa" w:w="2018"/>
            <w:vAlign w:val="center"/>
          </w:tcPr>
          <w:p>
            <w:pPr>
              <w:jc w:val="center"/>
              <w:bidi w:val="1"/>
            </w:pPr>
            <w:r>
              <w:rPr>
                <w:rFonts w:ascii="Times New Roman" w:hAnsi="Times New Roman" w:cs="B Nazanin"/>
                <w:b w:val="0"/>
                <w:sz w:val="13"/>
              </w:rPr>
              <w:t>35.18</w:t>
            </w:r>
          </w:p>
        </w:tc>
        <w:tc>
          <w:tcPr>
            <w:tcW w:type="dxa" w:w="2018"/>
            <w:vAlign w:val="center"/>
          </w:tcPr>
          <w:p>
            <w:pPr>
              <w:jc w:val="center"/>
              <w:bidi w:val="1"/>
            </w:pPr>
            <w:r>
              <w:rPr>
                <w:rFonts w:ascii="Times New Roman" w:hAnsi="Times New Roman" w:cs="B Nazanin"/>
                <w:b w:val="0"/>
                <w:sz w:val="13"/>
              </w:rPr>
              <w:t>0.2552</w:t>
            </w:r>
          </w:p>
        </w:tc>
      </w:tr>
      <w:tr>
        <w:tc>
          <w:tcPr>
            <w:tcW w:type="dxa" w:w="2018"/>
            <w:vAlign w:val="center"/>
          </w:tcPr>
          <w:p>
            <w:pPr>
              <w:jc w:val="center"/>
              <w:bidi w:val="1"/>
            </w:pPr>
            <w:r>
              <w:rPr>
                <w:rFonts w:ascii="Times New Roman" w:hAnsi="Times New Roman" w:cs="B Nazanin"/>
                <w:b w:val="0"/>
                <w:sz w:val="13"/>
              </w:rPr>
              <w:t>Budget-MI</w:t>
            </w:r>
          </w:p>
        </w:tc>
        <w:tc>
          <w:tcPr>
            <w:tcW w:type="dxa" w:w="2018"/>
            <w:vAlign w:val="center"/>
          </w:tcPr>
          <w:p>
            <w:pPr>
              <w:jc w:val="center"/>
              <w:bidi w:val="1"/>
            </w:pPr>
            <w:r>
              <w:rPr>
                <w:rFonts w:ascii="Times New Roman" w:hAnsi="Times New Roman" w:cs="B Nazanin"/>
                <w:b w:val="0"/>
                <w:sz w:val="13"/>
              </w:rPr>
              <w:t>0.8331</w:t>
            </w:r>
          </w:p>
        </w:tc>
        <w:tc>
          <w:tcPr>
            <w:tcW w:type="dxa" w:w="2018"/>
            <w:vAlign w:val="center"/>
          </w:tcPr>
          <w:p>
            <w:pPr>
              <w:jc w:val="center"/>
              <w:bidi w:val="1"/>
            </w:pPr>
            <w:r>
              <w:rPr>
                <w:rFonts w:ascii="Times New Roman" w:hAnsi="Times New Roman" w:cs="B Nazanin"/>
                <w:b w:val="0"/>
                <w:sz w:val="13"/>
              </w:rPr>
              <w:t>0.2735</w:t>
            </w:r>
          </w:p>
        </w:tc>
        <w:tc>
          <w:tcPr>
            <w:tcW w:type="dxa" w:w="2018"/>
            <w:vAlign w:val="center"/>
          </w:tcPr>
          <w:p>
            <w:pPr>
              <w:jc w:val="center"/>
              <w:bidi w:val="1"/>
            </w:pPr>
            <w:r>
              <w:rPr>
                <w:rFonts w:ascii="Times New Roman" w:hAnsi="Times New Roman" w:cs="B Nazanin"/>
                <w:b w:val="0"/>
                <w:sz w:val="13"/>
              </w:rPr>
              <w:t>27.95</w:t>
            </w:r>
          </w:p>
        </w:tc>
        <w:tc>
          <w:tcPr>
            <w:tcW w:type="dxa" w:w="2018"/>
            <w:vAlign w:val="center"/>
          </w:tcPr>
          <w:p>
            <w:pPr>
              <w:jc w:val="center"/>
              <w:bidi w:val="1"/>
            </w:pPr>
            <w:r>
              <w:rPr>
                <w:rFonts w:ascii="Times New Roman" w:hAnsi="Times New Roman" w:cs="B Nazanin"/>
                <w:b w:val="0"/>
                <w:sz w:val="13"/>
              </w:rPr>
              <w:t>0.2335</w:t>
            </w:r>
          </w:p>
        </w:tc>
      </w:tr>
      <w:tr>
        <w:tc>
          <w:tcPr>
            <w:tcW w:type="dxa" w:w="2018"/>
            <w:vAlign w:val="center"/>
          </w:tcPr>
          <w:p>
            <w:pPr>
              <w:jc w:val="center"/>
              <w:bidi w:val="1"/>
            </w:pPr>
            <w:r>
              <w:rPr>
                <w:rFonts w:ascii="Times New Roman" w:hAnsi="Times New Roman" w:cs="B Nazanin"/>
                <w:b w:val="0"/>
                <w:sz w:val="13"/>
              </w:rPr>
              <w:t>Stable-LCB</w:t>
            </w:r>
          </w:p>
        </w:tc>
        <w:tc>
          <w:tcPr>
            <w:tcW w:type="dxa" w:w="2018"/>
            <w:vAlign w:val="center"/>
          </w:tcPr>
          <w:p>
            <w:pPr>
              <w:jc w:val="center"/>
              <w:bidi w:val="1"/>
            </w:pPr>
            <w:r>
              <w:rPr>
                <w:rFonts w:ascii="Times New Roman" w:hAnsi="Times New Roman" w:cs="B Nazanin"/>
                <w:b w:val="0"/>
                <w:sz w:val="13"/>
              </w:rPr>
              <w:t>0.8280</w:t>
            </w:r>
          </w:p>
        </w:tc>
        <w:tc>
          <w:tcPr>
            <w:tcW w:type="dxa" w:w="2018"/>
            <w:vAlign w:val="center"/>
          </w:tcPr>
          <w:p>
            <w:pPr>
              <w:jc w:val="center"/>
              <w:bidi w:val="1"/>
            </w:pPr>
            <w:r>
              <w:rPr>
                <w:rFonts w:ascii="Times New Roman" w:hAnsi="Times New Roman" w:cs="B Nazanin"/>
                <w:b w:val="0"/>
                <w:sz w:val="13"/>
              </w:rPr>
              <w:t>0.2775</w:t>
            </w:r>
          </w:p>
        </w:tc>
        <w:tc>
          <w:tcPr>
            <w:tcW w:type="dxa" w:w="2018"/>
            <w:vAlign w:val="center"/>
          </w:tcPr>
          <w:p>
            <w:pPr>
              <w:jc w:val="center"/>
              <w:bidi w:val="1"/>
            </w:pPr>
            <w:r>
              <w:rPr>
                <w:rFonts w:ascii="Times New Roman" w:hAnsi="Times New Roman" w:cs="B Nazanin"/>
                <w:b w:val="0"/>
                <w:sz w:val="13"/>
              </w:rPr>
              <w:t>30.98</w:t>
            </w:r>
          </w:p>
        </w:tc>
        <w:tc>
          <w:tcPr>
            <w:tcW w:type="dxa" w:w="2018"/>
            <w:vAlign w:val="center"/>
          </w:tcPr>
          <w:p>
            <w:pPr>
              <w:jc w:val="center"/>
              <w:bidi w:val="1"/>
            </w:pPr>
            <w:r>
              <w:rPr>
                <w:rFonts w:ascii="Times New Roman" w:hAnsi="Times New Roman" w:cs="B Nazanin"/>
                <w:b w:val="0"/>
                <w:sz w:val="13"/>
              </w:rPr>
              <w:t>0.2554</w:t>
            </w:r>
          </w:p>
        </w:tc>
      </w:tr>
    </w:tbl>
    <w:p>
      <w:pPr>
        <w:jc w:val="center"/>
      </w:pPr>
      <w:r>
        <w:drawing>
          <wp:inline xmlns:a="http://schemas.openxmlformats.org/drawingml/2006/main" xmlns:pic="http://schemas.openxmlformats.org/drawingml/2006/picture">
            <wp:extent cx="2808000" cy="1755000"/>
            <wp:docPr id="1" name="Picture 1"/>
            <wp:cNvGraphicFramePr>
              <a:graphicFrameLocks noChangeAspect="1"/>
            </wp:cNvGraphicFramePr>
            <a:graphic>
              <a:graphicData uri="http://schemas.openxmlformats.org/drawingml/2006/picture">
                <pic:pic>
                  <pic:nvPicPr>
                    <pic:cNvPr id="0" name="accuracy_cost_tradeoff.png"/>
                    <pic:cNvPicPr/>
                  </pic:nvPicPr>
                  <pic:blipFill>
                    <a:blip r:embed="rId18"/>
                    <a:stretch>
                      <a:fillRect/>
                    </a:stretch>
                  </pic:blipFill>
                  <pic:spPr>
                    <a:xfrm>
                      <a:off x="0" y="0"/>
                      <a:ext cx="2808000" cy="1755000"/>
                    </a:xfrm>
                    <a:prstGeom prst="rect"/>
                  </pic:spPr>
                </pic:pic>
              </a:graphicData>
            </a:graphic>
          </wp:inline>
        </w:drawing>
      </w:r>
    </w:p>
    <w:p>
      <w:pPr>
        <w:pStyle w:val="Caption"/>
        <w:spacing w:after="20" w:line="240" w:lineRule="auto"/>
        <w:jc w:val="center"/>
        <w:bidi w:val="1"/>
      </w:pPr>
      <w:r>
        <w:rPr>
          <w:rFonts w:ascii="Times New Roman" w:hAnsi="Times New Roman" w:cs="B Nazanin"/>
          <w:sz w:val="14"/>
        </w:rPr>
        <w:t>شکل ۱ - مبادله دقت و هزینه؛ جهت مطلوب، بالا و چپ است.</w:t>
      </w:r>
    </w:p>
    <w:p>
      <w:pPr>
        <w:pStyle w:val="Heading1"/>
        <w:spacing w:after="20" w:line="240" w:lineRule="auto"/>
        <w:jc w:val="center"/>
        <w:bidi w:val="1"/>
      </w:pPr>
      <w:r>
        <w:rPr>
          <w:rFonts w:ascii="Times New Roman" w:hAnsi="Times New Roman" w:cs="B Nazanin"/>
          <w:b/>
          <w:sz w:val="18"/>
        </w:rPr>
        <w:t>بحث</w:t>
      </w:r>
    </w:p>
    <w:p>
      <w:pPr>
        <w:spacing w:after="20" w:line="240" w:lineRule="auto"/>
        <w:jc w:val="both"/>
        <w:bidi w:val="1"/>
      </w:pPr>
      <w:r>
        <w:rPr>
          <w:rFonts w:ascii="Times New Roman" w:hAnsi="Times New Roman" w:cs="B Nazanin"/>
          <w:sz w:val="16"/>
        </w:rPr>
        <w:t>قوی‌ترین شواهد مربوط به دو هدفی است که EHOA بدون قید نادیده می‌گیرد. روش پیشنهادی حدود ۴۲ درصد هزینه انتخاب‌شده کمتری داشت و پایداری تصحیح‌شده نسبت به شانس را بیش از دو برابر کرد. عملکرد پیش‌بینی به‌طور متوسط نزدیک باقی ماند، اما نبود معناداری به‌معنای اثبات برابری نیست.</w:t>
      </w:r>
    </w:p>
    <w:p>
      <w:pPr>
        <w:spacing w:after="20" w:line="240" w:lineRule="auto"/>
        <w:jc w:val="both"/>
        <w:bidi w:val="1"/>
      </w:pPr>
      <w:r>
        <w:rPr>
          <w:rFonts w:ascii="Times New Roman" w:hAnsi="Times New Roman" w:cs="B Nazanin"/>
          <w:sz w:val="16"/>
        </w:rPr>
        <w:t>مرز نتیجه نیز مهم است. Budget-MI بالاترین دقت و کمترین اندازه متوسط را به‌دست آورد. بیشترین پایداری متوسط Stable-LCB به مزیت معنادار در برابر همه کنترل‌های بودجه‌ای تبدیل نشد. بنابراین عبارت‌هایی مانند «بهترین الگوریتم»، «افزایش عمومی دقت» یا «اولین انتخاب‌گر هزینه‌آگاه» پشتیبانی نمی‌شوند. سهم قابل دفاع، تعمیر دقیق کران پایین به‌ازای هزینه درون EHOA و رفتار ممیزی‌شده هزینه--پایداری آن است.</w:t>
      </w:r>
    </w:p>
    <w:p>
      <w:pPr>
        <w:pStyle w:val="Heading1"/>
        <w:spacing w:after="20" w:line="240" w:lineRule="auto"/>
        <w:jc w:val="center"/>
        <w:bidi w:val="1"/>
      </w:pPr>
      <w:r>
        <w:rPr>
          <w:rFonts w:ascii="Times New Roman" w:hAnsi="Times New Roman" w:cs="B Nazanin"/>
          <w:b/>
          <w:sz w:val="18"/>
        </w:rPr>
        <w:t>تهدیدهای اعتبار</w:t>
      </w:r>
    </w:p>
    <w:p>
      <w:pPr>
        <w:spacing w:after="20" w:line="240" w:lineRule="auto"/>
        <w:jc w:val="both"/>
        <w:bidi w:val="1"/>
      </w:pPr>
      <w:r>
        <w:rPr>
          <w:rFonts w:ascii="Times New Roman" w:hAnsi="Times New Roman" w:cs="B Nazanin"/>
          <w:sz w:val="16"/>
        </w:rPr>
        <w:t>هزینه‌های مصنوعی ممکن است هزینه‌های گروهی، هم‌بسته یا متغیر با زمان را بازنمایی نکنند. ده دیتاست توان آماری محدودی ایجاد می‌کنند. تنها دو بذر، سه چین بیرونی، یک طبقه‌بند اصلی و بودجه جست‌وجوی متوسط استفاده شد. اطلاعات متقابل ممکن است تعامل‌های چندمتغیره را کمتر برآورد کند. همچنین فقط یک نسبت بودجه ارزیابی شده است.</w:t>
      </w:r>
    </w:p>
    <w:p>
      <w:pPr>
        <w:pStyle w:val="Heading1"/>
        <w:spacing w:after="20" w:line="240" w:lineRule="auto"/>
        <w:jc w:val="center"/>
        <w:bidi w:val="1"/>
      </w:pPr>
      <w:r>
        <w:rPr>
          <w:rFonts w:ascii="Times New Roman" w:hAnsi="Times New Roman" w:cs="B Nazanin"/>
          <w:b/>
          <w:sz w:val="18"/>
        </w:rPr>
        <w:t>نتیجه‌گیری</w:t>
      </w:r>
    </w:p>
    <w:p>
      <w:pPr>
        <w:spacing w:after="20" w:line="240" w:lineRule="auto"/>
        <w:jc w:val="both"/>
        <w:bidi w:val="1"/>
      </w:pPr>
      <w:r>
        <w:rPr>
          <w:rFonts w:ascii="Times New Roman" w:hAnsi="Times New Roman" w:cs="B Nazanin"/>
          <w:sz w:val="16"/>
        </w:rPr>
        <w:t>CostStableEHOA در همه اجراها بودجه سخت را رعایت کرد و هزینه انتخاب‌شده و پایداری زیرمجموعه را نسبت به EHOA به‌طور معنادار بهبود داد، بدون آنکه تغییر معناداری در دقت متوازن دیده شود. برتری آن بر تعمیرهای بودجه‌ای ساده‌تر اثبات نشد. ازاین‌رو روش پیشنهادی باید سازوکاری افزایشی و بازتولیدپذیر برای مبادله هزینه--پایداری تلقی شود، نه پیش‌بینی‌کننده‌ای با برتری عمومی.</w:t>
      </w:r>
    </w:p>
    <w:p>
      <w:pPr>
        <w:pStyle w:val="Heading"/>
        <w:spacing w:after="20" w:line="240" w:lineRule="auto"/>
        <w:jc w:val="center"/>
        <w:bidi w:val="1"/>
      </w:pPr>
      <w:r>
        <w:rPr>
          <w:rFonts w:ascii="Times New Roman" w:hAnsi="Times New Roman" w:cs="B Nazanin"/>
          <w:b/>
          <w:sz w:val="18"/>
        </w:rPr>
        <w:t>مراجع</w:t>
      </w:r>
    </w:p>
    <w:p>
      <w:pPr>
        <w:spacing w:after="0" w:line="240" w:lineRule="auto"/>
        <w:jc w:val="left"/>
        <w:bidi w:val="1"/>
      </w:pPr>
      <w:r>
        <w:rPr>
          <w:rFonts w:ascii="Times New Roman" w:hAnsi="Times New Roman" w:cs="B Nazanin"/>
          <w:sz w:val="13"/>
        </w:rPr>
        <w:t>[1] S. Nogueira, K. Sechidis, and G. Brown, “On the stability of feature selection algorithms,” JMLR, vol. 18, no. 174, pp. 1-54, 2018.</w:t>
      </w:r>
    </w:p>
    <w:p>
      <w:pPr>
        <w:spacing w:after="0" w:line="240" w:lineRule="auto"/>
        <w:jc w:val="left"/>
        <w:bidi w:val="1"/>
      </w:pPr>
      <w:r>
        <w:rPr>
          <w:rFonts w:ascii="Times New Roman" w:hAnsi="Times New Roman" w:cs="B Nazanin"/>
          <w:sz w:val="13"/>
        </w:rPr>
        <w:t>[2] A. E. Hegazy et al., “An enhanced Hiking optimization algorithm for accurate and interpretable feature selection in medical data classification,” Cluster Computing, vol. 29, p. 244, 2026.</w:t>
      </w:r>
    </w:p>
    <w:p>
      <w:pPr>
        <w:spacing w:after="0" w:line="240" w:lineRule="auto"/>
        <w:jc w:val="left"/>
        <w:bidi w:val="1"/>
      </w:pPr>
      <w:r>
        <w:rPr>
          <w:rFonts w:ascii="Times New Roman" w:hAnsi="Times New Roman" w:cs="B Nazanin"/>
          <w:sz w:val="13"/>
        </w:rPr>
        <w:t>[3] R. Jagdhuber et al., “Cost-constrained feature selection in binary classification,” Computational Statistics, vol. 35, pp. 1419-1440, 2020.</w:t>
      </w:r>
    </w:p>
    <w:p>
      <w:pPr>
        <w:spacing w:after="0" w:line="240" w:lineRule="auto"/>
        <w:jc w:val="left"/>
        <w:bidi w:val="1"/>
      </w:pPr>
      <w:r>
        <w:rPr>
          <w:rFonts w:ascii="Times New Roman" w:hAnsi="Times New Roman" w:cs="B Nazanin"/>
          <w:sz w:val="13"/>
        </w:rPr>
        <w:t>[4] J. Demsar, “Statistical comparisons of classifiers over multiple data sets,” JMLR, vol. 7, pp. 1-30, 2006.</w:t>
      </w:r>
    </w:p>
    <w:sectPr>
      <w:type w:val="continuous"/>
      <w:pgSz w:w="11906" w:h="16838"/>
      <w:pgMar w:top="1077" w:bottom="1440" w:left="907" w:right="907"/>
      <w:cols w:num="2" w:space="3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6231F" w14:textId="77777777" w:rsidR="00580CBB" w:rsidRDefault="00580CBB" w:rsidP="00503D18">
      <w:r>
        <w:separator/>
      </w:r>
    </w:p>
  </w:endnote>
  <w:endnote w:type="continuationSeparator" w:id="0">
    <w:p w14:paraId="254330E8" w14:textId="77777777" w:rsidR="00580CBB" w:rsidRDefault="00580CBB" w:rsidP="00503D18">
      <w:r>
        <w:continuationSeparator/>
      </w:r>
    </w:p>
    <w:p w14:paraId="1DB80AAD" w14:textId="77777777" w:rsidR="00580CBB" w:rsidRDefault="00580CBB" w:rsidP="00503D18"/>
    <w:p w14:paraId="387E52E2" w14:textId="77777777" w:rsidR="00580CBB" w:rsidRDefault="00580CBB" w:rsidP="00503D18"/>
    <w:p w14:paraId="613E7F3E" w14:textId="77777777" w:rsidR="00580CBB" w:rsidRDefault="00580CBB" w:rsidP="00503D18"/>
    <w:p w14:paraId="35A450E1" w14:textId="77777777" w:rsidR="00580CBB" w:rsidRDefault="00580CBB" w:rsidP="00503D18">
      <w:pPr>
        <w:bidi w:val="0"/>
      </w:pPr>
    </w:p>
    <w:p w14:paraId="7BBF9C07" w14:textId="77777777" w:rsidR="00580CBB" w:rsidRDefault="00580CBB" w:rsidP="00503D18"/>
    <w:p w14:paraId="00D1C603" w14:textId="77777777" w:rsidR="00580CBB" w:rsidRDefault="00580CBB" w:rsidP="00503D18"/>
    <w:p w14:paraId="0AA6122C" w14:textId="77777777" w:rsidR="00580CBB" w:rsidRDefault="00580CBB" w:rsidP="00503D1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Traditional Arabic">
    <w:panose1 w:val="02020603050405020304"/>
    <w:charset w:val="00"/>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Lotus">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D9020" w14:textId="77777777" w:rsidR="00B96CBB" w:rsidRDefault="00B96CBB" w:rsidP="00503D18">
    <w:pPr>
      <w:pStyle w:val="Footer"/>
      <w:rPr>
        <w:rStyle w:val="PageNumber"/>
      </w:rPr>
    </w:pPr>
    <w:r>
      <w:rPr>
        <w:rStyle w:val="PageNumber"/>
        <w:rtl/>
      </w:rPr>
      <w:fldChar w:fldCharType="begin"/>
    </w:r>
    <w:r>
      <w:rPr>
        <w:rStyle w:val="PageNumber"/>
      </w:rPr>
      <w:instrText xml:space="preserve">PAGE  </w:instrText>
    </w:r>
    <w:r>
      <w:rPr>
        <w:rStyle w:val="PageNumber"/>
        <w:rtl/>
      </w:rPr>
      <w:fldChar w:fldCharType="separate"/>
    </w:r>
    <w:r>
      <w:rPr>
        <w:rStyle w:val="PageNumber"/>
        <w:noProof/>
        <w:rtl/>
      </w:rPr>
      <w:t>4</w:t>
    </w:r>
    <w:r>
      <w:rPr>
        <w:rStyle w:val="PageNumber"/>
        <w:rtl/>
      </w:rPr>
      <w:fldChar w:fldCharType="end"/>
    </w:r>
  </w:p>
  <w:p w14:paraId="3E3EE8CD" w14:textId="77777777" w:rsidR="00B96CBB" w:rsidRPr="001C5692" w:rsidRDefault="00B96CBB" w:rsidP="00503D18">
    <w:pPr>
      <w:pStyle w:val="Footer"/>
    </w:pPr>
    <w:r>
      <w:rPr>
        <w:rFonts w:hint="cs"/>
        <w:rtl/>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10CA7" w14:textId="4C88909F" w:rsidR="00B96CBB" w:rsidRDefault="00B96CBB" w:rsidP="00503D18">
    <w:pPr>
      <w:pStyle w:val="Footer"/>
    </w:pPr>
    <w:r>
      <w:rPr>
        <w:rStyle w:val="PageNumber"/>
        <w:rtl/>
      </w:rPr>
      <w:tab/>
    </w:r>
    <w:r>
      <w:rPr>
        <w:rStyle w:val="PageNumber"/>
        <w:rt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EE6E8" w14:textId="77777777" w:rsidR="00580CBB" w:rsidRPr="00183BC1" w:rsidRDefault="00580CBB" w:rsidP="00503D18">
      <w:pPr>
        <w:pStyle w:val="Footer"/>
      </w:pPr>
    </w:p>
  </w:footnote>
  <w:footnote w:type="continuationSeparator" w:id="0">
    <w:p w14:paraId="0F49F02E" w14:textId="77777777" w:rsidR="00580CBB" w:rsidRDefault="00580CBB" w:rsidP="00503D18">
      <w:r>
        <w:continuationSeparator/>
      </w:r>
    </w:p>
    <w:p w14:paraId="228FD90C" w14:textId="77777777" w:rsidR="00580CBB" w:rsidRDefault="00580CBB" w:rsidP="00503D18"/>
    <w:p w14:paraId="03866E04" w14:textId="77777777" w:rsidR="00580CBB" w:rsidRDefault="00580CBB" w:rsidP="00503D18"/>
    <w:p w14:paraId="57373BF6" w14:textId="77777777" w:rsidR="00580CBB" w:rsidRDefault="00580CBB" w:rsidP="00503D18"/>
    <w:p w14:paraId="7D042228" w14:textId="77777777" w:rsidR="00580CBB" w:rsidRDefault="00580CBB" w:rsidP="00503D18">
      <w:pPr>
        <w:bidi w:val="0"/>
      </w:pPr>
    </w:p>
    <w:p w14:paraId="229F57E9" w14:textId="77777777" w:rsidR="00580CBB" w:rsidRDefault="00580CBB" w:rsidP="00503D18"/>
    <w:p w14:paraId="55FC5764" w14:textId="77777777" w:rsidR="00580CBB" w:rsidRDefault="00580CBB" w:rsidP="00503D18"/>
    <w:p w14:paraId="4CB177AF" w14:textId="77777777" w:rsidR="00580CBB" w:rsidRDefault="00580CBB" w:rsidP="00503D1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AEC16" w14:textId="77777777" w:rsidR="00B96CBB" w:rsidRDefault="00B96CBB" w:rsidP="003444CE">
    <w:pPr>
      <w:pStyle w:val="Header"/>
      <w:rPr>
        <w:rtl/>
      </w:rPr>
    </w:pPr>
    <w:r>
      <w:tab/>
    </w:r>
    <w:r>
      <w:rPr>
        <w:rFonts w:hint="cs"/>
        <w:rtl/>
      </w:rPr>
      <w:t>11 تا 13 بهمن 1384، دانشگاه شیراز</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317105082"/>
      <w:docPartObj>
        <w:docPartGallery w:val="Page Numbers (Top of Page)"/>
        <w:docPartUnique/>
      </w:docPartObj>
    </w:sdtPr>
    <w:sdtEndPr>
      <w:rPr>
        <w:noProof/>
      </w:rPr>
    </w:sdtEndPr>
    <w:sdtContent>
      <w:p w14:paraId="44DC3395" w14:textId="75616952" w:rsidR="00D66C6A" w:rsidRPr="003444CE" w:rsidRDefault="00D66C6A" w:rsidP="00916B81">
        <w:pPr>
          <w:pStyle w:val="Header"/>
        </w:pPr>
        <w:r w:rsidRPr="003444CE">
          <w:rPr>
            <w:rtl/>
          </w:rPr>
          <w:tab/>
        </w:r>
      </w:p>
    </w:sdtContent>
  </w:sdt>
  <w:p w14:paraId="52B22097" w14:textId="1CA36EBE" w:rsidR="00636750" w:rsidRDefault="00636750" w:rsidP="003444CE">
    <w:pPr>
      <w:pStyle w:val="Header"/>
      <w:rPr>
        <w:rt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D5D16" w14:textId="5C459B3D" w:rsidR="00BF479B" w:rsidRDefault="00BF479B">
    <w:pPr>
      <w:pStyle w:val="Header"/>
    </w:pPr>
    <w:r>
      <w:rPr>
        <w:noProof/>
      </w:rPr>
      <w:drawing>
        <wp:anchor distT="0" distB="0" distL="114300" distR="114300" simplePos="0" relativeHeight="251658240" behindDoc="0" locked="0" layoutInCell="1" allowOverlap="1" wp14:anchorId="0DF1B93D" wp14:editId="00C954ED">
          <wp:simplePos x="0" y="0"/>
          <wp:positionH relativeFrom="column">
            <wp:posOffset>-233045</wp:posOffset>
          </wp:positionH>
          <wp:positionV relativeFrom="paragraph">
            <wp:posOffset>-445135</wp:posOffset>
          </wp:positionV>
          <wp:extent cx="7094863" cy="876300"/>
          <wp:effectExtent l="0" t="0" r="0" b="0"/>
          <wp:wrapNone/>
          <wp:docPr id="95707452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94863" cy="8763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86D21" w14:textId="77777777" w:rsidR="00CB17C4" w:rsidRDefault="00CB17C4" w:rsidP="00503D1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1F40F3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F16C5C4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9C78230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B4022FC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A112DAB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5EA2D1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7326E24"/>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BE5CE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34031E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B065A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04822C34"/>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2" w15:restartNumberingAfterBreak="0">
    <w:nsid w:val="094E2322"/>
    <w:multiLevelType w:val="multilevel"/>
    <w:tmpl w:val="3C04C07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3" w15:restartNumberingAfterBreak="0">
    <w:nsid w:val="0B4A3A18"/>
    <w:multiLevelType w:val="multilevel"/>
    <w:tmpl w:val="E76492CE"/>
    <w:lvl w:ilvl="0">
      <w:start w:val="1"/>
      <w:numFmt w:val="decimal"/>
      <w:pStyle w:val="Heading1"/>
      <w:isLgl/>
      <w:lvlText w:val="%1-"/>
      <w:lvlJc w:val="left"/>
      <w:pPr>
        <w:tabs>
          <w:tab w:val="num" w:pos="360"/>
        </w:tabs>
        <w:ind w:left="360" w:hanging="360"/>
      </w:pPr>
      <w:rPr>
        <w:rFonts w:ascii="Times New Roman" w:hAnsi="Times New Roman" w:cs="B Nazanin" w:hint="default"/>
        <w:b/>
        <w:bCs/>
        <w:i w:val="0"/>
        <w:iCs w:val="0"/>
        <w:sz w:val="24"/>
        <w:szCs w:val="24"/>
      </w:rPr>
    </w:lvl>
    <w:lvl w:ilvl="1">
      <w:start w:val="1"/>
      <w:numFmt w:val="decimal"/>
      <w:pStyle w:val="Heading2"/>
      <w:isLgl/>
      <w:lvlText w:val="%1-%2-"/>
      <w:lvlJc w:val="left"/>
      <w:pPr>
        <w:tabs>
          <w:tab w:val="num" w:pos="680"/>
        </w:tabs>
        <w:ind w:left="680" w:hanging="680"/>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4" w15:restartNumberingAfterBreak="0">
    <w:nsid w:val="0C3155DD"/>
    <w:multiLevelType w:val="hybridMultilevel"/>
    <w:tmpl w:val="9E525EB0"/>
    <w:lvl w:ilvl="0" w:tplc="CC78CB84">
      <w:start w:val="1"/>
      <w:numFmt w:val="decimal"/>
      <w:lvlText w:val="%1-"/>
      <w:lvlJc w:val="left"/>
      <w:pPr>
        <w:tabs>
          <w:tab w:val="num" w:pos="502"/>
        </w:tabs>
        <w:ind w:left="5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10E849BB"/>
    <w:multiLevelType w:val="multilevel"/>
    <w:tmpl w:val="B3A2DF08"/>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6" w15:restartNumberingAfterBreak="0">
    <w:nsid w:val="17861EDF"/>
    <w:multiLevelType w:val="multilevel"/>
    <w:tmpl w:val="12AE19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7" w15:restartNumberingAfterBreak="0">
    <w:nsid w:val="21D119B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245A5AE1"/>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9" w15:restartNumberingAfterBreak="0">
    <w:nsid w:val="29320DFC"/>
    <w:multiLevelType w:val="multilevel"/>
    <w:tmpl w:val="BEA425A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20" w15:restartNumberingAfterBreak="0">
    <w:nsid w:val="2AB9310D"/>
    <w:multiLevelType w:val="multilevel"/>
    <w:tmpl w:val="3118CFE2"/>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pStyle w:val="Heading3"/>
      <w:isLgl/>
      <w:lvlText w:val="%1-%2-%3-"/>
      <w:lvlJc w:val="left"/>
      <w:pPr>
        <w:tabs>
          <w:tab w:val="num" w:pos="737"/>
        </w:tabs>
        <w:ind w:left="737" w:hanging="737"/>
      </w:pPr>
      <w:rPr>
        <w:rFonts w:ascii="Times New Roman" w:hAnsi="Times New Roman" w:cs="B Nazanin" w:hint="default"/>
        <w:b/>
        <w:bCs/>
        <w:i w:val="0"/>
        <w:iCs w:val="0"/>
        <w:sz w:val="22"/>
        <w:szCs w:val="26"/>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1" w15:restartNumberingAfterBreak="0">
    <w:nsid w:val="2FF05066"/>
    <w:multiLevelType w:val="multilevel"/>
    <w:tmpl w:val="F058EAC4"/>
    <w:lvl w:ilvl="0">
      <w:start w:val="1"/>
      <w:numFmt w:val="decimal"/>
      <w:lvlText w:val="%1."/>
      <w:lvlJc w:val="left"/>
      <w:pPr>
        <w:tabs>
          <w:tab w:val="num" w:pos="76"/>
        </w:tabs>
        <w:ind w:left="76" w:hanging="360"/>
      </w:pPr>
      <w:rPr>
        <w:rFonts w:hint="default"/>
      </w:rPr>
    </w:lvl>
    <w:lvl w:ilvl="1">
      <w:start w:val="1"/>
      <w:numFmt w:val="decimal"/>
      <w:lvlText w:val="%1-%2"/>
      <w:lvlJc w:val="right"/>
      <w:pPr>
        <w:tabs>
          <w:tab w:val="num" w:pos="567"/>
        </w:tabs>
        <w:ind w:left="567" w:hanging="279"/>
      </w:pPr>
      <w:rPr>
        <w:rFonts w:hint="default"/>
      </w:rPr>
    </w:lvl>
    <w:lvl w:ilvl="2">
      <w:start w:val="1"/>
      <w:numFmt w:val="decimal"/>
      <w:lvlText w:val="%1.%2.%3."/>
      <w:lvlJc w:val="left"/>
      <w:pPr>
        <w:tabs>
          <w:tab w:val="num" w:pos="1156"/>
        </w:tabs>
        <w:ind w:left="940" w:hanging="504"/>
      </w:pPr>
      <w:rPr>
        <w:rFonts w:hint="default"/>
      </w:rPr>
    </w:lvl>
    <w:lvl w:ilvl="3">
      <w:start w:val="1"/>
      <w:numFmt w:val="decimal"/>
      <w:lvlText w:val="%1.%2.%3.%4."/>
      <w:lvlJc w:val="left"/>
      <w:pPr>
        <w:tabs>
          <w:tab w:val="num" w:pos="1876"/>
        </w:tabs>
        <w:ind w:left="1444" w:hanging="648"/>
      </w:pPr>
      <w:rPr>
        <w:rFonts w:hint="default"/>
      </w:rPr>
    </w:lvl>
    <w:lvl w:ilvl="4">
      <w:start w:val="1"/>
      <w:numFmt w:val="decimal"/>
      <w:lvlText w:val="%1.%2.%3.%4.%5."/>
      <w:lvlJc w:val="left"/>
      <w:pPr>
        <w:tabs>
          <w:tab w:val="num" w:pos="2596"/>
        </w:tabs>
        <w:ind w:left="1948" w:hanging="792"/>
      </w:pPr>
      <w:rPr>
        <w:rFonts w:hint="default"/>
      </w:rPr>
    </w:lvl>
    <w:lvl w:ilvl="5">
      <w:start w:val="1"/>
      <w:numFmt w:val="decimal"/>
      <w:lvlText w:val="%1.%2.%3.%4.%5.%6."/>
      <w:lvlJc w:val="left"/>
      <w:pPr>
        <w:tabs>
          <w:tab w:val="num" w:pos="3316"/>
        </w:tabs>
        <w:ind w:left="2452" w:hanging="936"/>
      </w:pPr>
      <w:rPr>
        <w:rFonts w:hint="default"/>
      </w:rPr>
    </w:lvl>
    <w:lvl w:ilvl="6">
      <w:start w:val="1"/>
      <w:numFmt w:val="decimal"/>
      <w:lvlText w:val="%1.%2.%3.%4.%5.%6.%7."/>
      <w:lvlJc w:val="left"/>
      <w:pPr>
        <w:tabs>
          <w:tab w:val="num" w:pos="3676"/>
        </w:tabs>
        <w:ind w:left="2956" w:hanging="1080"/>
      </w:pPr>
      <w:rPr>
        <w:rFonts w:hint="default"/>
      </w:rPr>
    </w:lvl>
    <w:lvl w:ilvl="7">
      <w:start w:val="1"/>
      <w:numFmt w:val="decimal"/>
      <w:lvlText w:val="%1.%2.%3.%4.%5.%6.%7.%8."/>
      <w:lvlJc w:val="left"/>
      <w:pPr>
        <w:tabs>
          <w:tab w:val="num" w:pos="4396"/>
        </w:tabs>
        <w:ind w:left="3460" w:hanging="1224"/>
      </w:pPr>
      <w:rPr>
        <w:rFonts w:hint="default"/>
      </w:rPr>
    </w:lvl>
    <w:lvl w:ilvl="8">
      <w:start w:val="1"/>
      <w:numFmt w:val="decimal"/>
      <w:lvlText w:val="%1.%2.%3.%4.%5.%6.%7.%8.%9."/>
      <w:lvlJc w:val="left"/>
      <w:pPr>
        <w:tabs>
          <w:tab w:val="num" w:pos="5116"/>
        </w:tabs>
        <w:ind w:left="4036" w:hanging="1440"/>
      </w:pPr>
      <w:rPr>
        <w:rFonts w:hint="default"/>
      </w:rPr>
    </w:lvl>
  </w:abstractNum>
  <w:abstractNum w:abstractNumId="22" w15:restartNumberingAfterBreak="0">
    <w:nsid w:val="37EF0EA9"/>
    <w:multiLevelType w:val="multilevel"/>
    <w:tmpl w:val="7C30A00C"/>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3" w15:restartNumberingAfterBreak="0">
    <w:nsid w:val="42600CBF"/>
    <w:multiLevelType w:val="hybridMultilevel"/>
    <w:tmpl w:val="C5FE2F54"/>
    <w:lvl w:ilvl="0" w:tplc="3A4AB0E6">
      <w:start w:val="1"/>
      <w:numFmt w:val="decimal"/>
      <w:pStyle w:val="References"/>
      <w:lvlText w:val="[%1]"/>
      <w:lvlJc w:val="left"/>
      <w:pPr>
        <w:tabs>
          <w:tab w:val="num" w:pos="360"/>
        </w:tabs>
        <w:ind w:left="357" w:hanging="35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5CE2601"/>
    <w:multiLevelType w:val="multilevel"/>
    <w:tmpl w:val="9D94CF48"/>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5" w15:restartNumberingAfterBreak="0">
    <w:nsid w:val="672073A1"/>
    <w:multiLevelType w:val="multilevel"/>
    <w:tmpl w:val="06D0CF62"/>
    <w:lvl w:ilvl="0">
      <w:start w:val="2"/>
      <w:numFmt w:val="decimal"/>
      <w:isLg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6" w15:restartNumberingAfterBreak="0">
    <w:nsid w:val="6A296B19"/>
    <w:multiLevelType w:val="singleLevel"/>
    <w:tmpl w:val="DC40357A"/>
    <w:lvl w:ilvl="0">
      <w:start w:val="1"/>
      <w:numFmt w:val="decimal"/>
      <w:lvlText w:val="[%1]"/>
      <w:legacy w:legacy="1" w:legacySpace="120" w:legacyIndent="360"/>
      <w:lvlJc w:val="left"/>
      <w:pPr>
        <w:ind w:left="360" w:hanging="360"/>
      </w:pPr>
    </w:lvl>
  </w:abstractNum>
  <w:abstractNum w:abstractNumId="27" w15:restartNumberingAfterBreak="0">
    <w:nsid w:val="6DDF4635"/>
    <w:multiLevelType w:val="multilevel"/>
    <w:tmpl w:val="DE5C1620"/>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isLgl/>
      <w:lvlText w:val="%1-%2-%3-"/>
      <w:lvlJc w:val="left"/>
      <w:pPr>
        <w:tabs>
          <w:tab w:val="num" w:pos="851"/>
        </w:tabs>
        <w:ind w:left="851" w:hanging="851"/>
      </w:pPr>
      <w:rPr>
        <w:rFonts w:ascii="Times New Roman" w:hAnsi="Times New Roman" w:cs="B Nazanin" w:hint="default"/>
        <w:b/>
        <w:bCs/>
        <w:i w:val="0"/>
        <w:iCs w:val="0"/>
        <w:sz w:val="22"/>
        <w:szCs w:val="26"/>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8" w15:restartNumberingAfterBreak="0">
    <w:nsid w:val="737641B5"/>
    <w:multiLevelType w:val="multilevel"/>
    <w:tmpl w:val="1C20535A"/>
    <w:lvl w:ilvl="0">
      <w:start w:val="2"/>
      <w:numFmt w:val="decimal"/>
      <w:lvlText w:val="%1-"/>
      <w:lvlJc w:val="left"/>
      <w:pPr>
        <w:tabs>
          <w:tab w:val="num" w:pos="465"/>
        </w:tabs>
        <w:ind w:right="465" w:hanging="465"/>
      </w:pPr>
      <w:rPr>
        <w:rFonts w:hint="default"/>
        <w:sz w:val="24"/>
      </w:rPr>
    </w:lvl>
    <w:lvl w:ilvl="1">
      <w:start w:val="2"/>
      <w:numFmt w:val="decimal"/>
      <w:lvlText w:val="%1-%2."/>
      <w:lvlJc w:val="left"/>
      <w:pPr>
        <w:tabs>
          <w:tab w:val="num" w:pos="720"/>
        </w:tabs>
        <w:ind w:right="720" w:hanging="720"/>
      </w:pPr>
      <w:rPr>
        <w:rFonts w:hint="default"/>
        <w:sz w:val="24"/>
      </w:rPr>
    </w:lvl>
    <w:lvl w:ilvl="2">
      <w:start w:val="1"/>
      <w:numFmt w:val="decimal"/>
      <w:lvlText w:val="%1-%2.%3."/>
      <w:lvlJc w:val="left"/>
      <w:pPr>
        <w:tabs>
          <w:tab w:val="num" w:pos="720"/>
        </w:tabs>
        <w:ind w:right="720" w:hanging="720"/>
      </w:pPr>
      <w:rPr>
        <w:rFonts w:hint="default"/>
        <w:sz w:val="24"/>
      </w:rPr>
    </w:lvl>
    <w:lvl w:ilvl="3">
      <w:start w:val="1"/>
      <w:numFmt w:val="decimal"/>
      <w:lvlText w:val="%1-%2.%3.%4."/>
      <w:lvlJc w:val="left"/>
      <w:pPr>
        <w:tabs>
          <w:tab w:val="num" w:pos="1080"/>
        </w:tabs>
        <w:ind w:right="1080" w:hanging="1080"/>
      </w:pPr>
      <w:rPr>
        <w:rFonts w:hint="default"/>
        <w:sz w:val="24"/>
      </w:rPr>
    </w:lvl>
    <w:lvl w:ilvl="4">
      <w:start w:val="1"/>
      <w:numFmt w:val="decimal"/>
      <w:lvlText w:val="%1-%2.%3.%4.%5."/>
      <w:lvlJc w:val="left"/>
      <w:pPr>
        <w:tabs>
          <w:tab w:val="num" w:pos="1440"/>
        </w:tabs>
        <w:ind w:right="1440" w:hanging="1440"/>
      </w:pPr>
      <w:rPr>
        <w:rFonts w:hint="default"/>
        <w:sz w:val="24"/>
      </w:rPr>
    </w:lvl>
    <w:lvl w:ilvl="5">
      <w:start w:val="1"/>
      <w:numFmt w:val="decimal"/>
      <w:lvlText w:val="%1-%2.%3.%4.%5.%6."/>
      <w:lvlJc w:val="left"/>
      <w:pPr>
        <w:tabs>
          <w:tab w:val="num" w:pos="1440"/>
        </w:tabs>
        <w:ind w:right="1440" w:hanging="1440"/>
      </w:pPr>
      <w:rPr>
        <w:rFonts w:hint="default"/>
        <w:sz w:val="24"/>
      </w:rPr>
    </w:lvl>
    <w:lvl w:ilvl="6">
      <w:start w:val="1"/>
      <w:numFmt w:val="decimal"/>
      <w:lvlText w:val="%1-%2.%3.%4.%5.%6.%7."/>
      <w:lvlJc w:val="left"/>
      <w:pPr>
        <w:tabs>
          <w:tab w:val="num" w:pos="1800"/>
        </w:tabs>
        <w:ind w:right="1800" w:hanging="1800"/>
      </w:pPr>
      <w:rPr>
        <w:rFonts w:hint="default"/>
        <w:sz w:val="24"/>
      </w:rPr>
    </w:lvl>
    <w:lvl w:ilvl="7">
      <w:start w:val="1"/>
      <w:numFmt w:val="decimal"/>
      <w:lvlText w:val="%1-%2.%3.%4.%5.%6.%7.%8."/>
      <w:lvlJc w:val="left"/>
      <w:pPr>
        <w:tabs>
          <w:tab w:val="num" w:pos="1800"/>
        </w:tabs>
        <w:ind w:right="1800" w:hanging="1800"/>
      </w:pPr>
      <w:rPr>
        <w:rFonts w:hint="default"/>
        <w:sz w:val="24"/>
      </w:rPr>
    </w:lvl>
    <w:lvl w:ilvl="8">
      <w:start w:val="1"/>
      <w:numFmt w:val="decimal"/>
      <w:lvlText w:val="%1-%2.%3.%4.%5.%6.%7.%8.%9."/>
      <w:lvlJc w:val="left"/>
      <w:pPr>
        <w:tabs>
          <w:tab w:val="num" w:pos="2160"/>
        </w:tabs>
        <w:ind w:right="2160" w:hanging="2160"/>
      </w:pPr>
      <w:rPr>
        <w:rFonts w:hint="default"/>
        <w:sz w:val="24"/>
      </w:rPr>
    </w:lvl>
  </w:abstractNum>
  <w:abstractNum w:abstractNumId="29" w15:restartNumberingAfterBreak="0">
    <w:nsid w:val="7B5D7B0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461847197">
    <w:abstractNumId w:val="28"/>
  </w:num>
  <w:num w:numId="2" w16cid:durableId="721365443">
    <w:abstractNumId w:val="26"/>
  </w:num>
  <w:num w:numId="3" w16cid:durableId="848179853">
    <w:abstractNumId w:val="10"/>
  </w:num>
  <w:num w:numId="4" w16cid:durableId="193494844">
    <w:abstractNumId w:val="10"/>
  </w:num>
  <w:num w:numId="5" w16cid:durableId="163596818">
    <w:abstractNumId w:val="10"/>
  </w:num>
  <w:num w:numId="6" w16cid:durableId="1298535770">
    <w:abstractNumId w:val="10"/>
  </w:num>
  <w:num w:numId="7" w16cid:durableId="927421653">
    <w:abstractNumId w:val="10"/>
  </w:num>
  <w:num w:numId="8" w16cid:durableId="718241127">
    <w:abstractNumId w:val="10"/>
  </w:num>
  <w:num w:numId="9" w16cid:durableId="1219321125">
    <w:abstractNumId w:val="10"/>
  </w:num>
  <w:num w:numId="10" w16cid:durableId="1095051795">
    <w:abstractNumId w:val="10"/>
  </w:num>
  <w:num w:numId="11" w16cid:durableId="1336500044">
    <w:abstractNumId w:val="10"/>
  </w:num>
  <w:num w:numId="12" w16cid:durableId="2030914419">
    <w:abstractNumId w:val="23"/>
  </w:num>
  <w:num w:numId="13" w16cid:durableId="2102951418">
    <w:abstractNumId w:val="14"/>
  </w:num>
  <w:num w:numId="14" w16cid:durableId="266432006">
    <w:abstractNumId w:val="13"/>
  </w:num>
  <w:num w:numId="15" w16cid:durableId="868297980">
    <w:abstractNumId w:val="21"/>
  </w:num>
  <w:num w:numId="16" w16cid:durableId="1260220024">
    <w:abstractNumId w:val="13"/>
  </w:num>
  <w:num w:numId="17" w16cid:durableId="1533153035">
    <w:abstractNumId w:val="19"/>
  </w:num>
  <w:num w:numId="18" w16cid:durableId="1198083856">
    <w:abstractNumId w:val="12"/>
  </w:num>
  <w:num w:numId="19" w16cid:durableId="41373301">
    <w:abstractNumId w:val="16"/>
  </w:num>
  <w:num w:numId="20" w16cid:durableId="1429959287">
    <w:abstractNumId w:val="25"/>
  </w:num>
  <w:num w:numId="21" w16cid:durableId="1110784686">
    <w:abstractNumId w:val="17"/>
  </w:num>
  <w:num w:numId="22" w16cid:durableId="376979192">
    <w:abstractNumId w:val="22"/>
  </w:num>
  <w:num w:numId="23" w16cid:durableId="980501636">
    <w:abstractNumId w:val="24"/>
  </w:num>
  <w:num w:numId="24" w16cid:durableId="491531804">
    <w:abstractNumId w:val="15"/>
  </w:num>
  <w:num w:numId="25" w16cid:durableId="587806431">
    <w:abstractNumId w:val="20"/>
  </w:num>
  <w:num w:numId="26" w16cid:durableId="328142012">
    <w:abstractNumId w:val="27"/>
  </w:num>
  <w:num w:numId="27" w16cid:durableId="1501386158">
    <w:abstractNumId w:val="11"/>
  </w:num>
  <w:num w:numId="28" w16cid:durableId="1738088865">
    <w:abstractNumId w:val="29"/>
  </w:num>
  <w:num w:numId="29" w16cid:durableId="511606517">
    <w:abstractNumId w:val="18"/>
  </w:num>
  <w:num w:numId="30" w16cid:durableId="280572542">
    <w:abstractNumId w:val="9"/>
  </w:num>
  <w:num w:numId="31" w16cid:durableId="986738032">
    <w:abstractNumId w:val="7"/>
  </w:num>
  <w:num w:numId="32" w16cid:durableId="1866095250">
    <w:abstractNumId w:val="6"/>
  </w:num>
  <w:num w:numId="33" w16cid:durableId="109397820">
    <w:abstractNumId w:val="5"/>
  </w:num>
  <w:num w:numId="34" w16cid:durableId="438918907">
    <w:abstractNumId w:val="4"/>
  </w:num>
  <w:num w:numId="35" w16cid:durableId="1226768561">
    <w:abstractNumId w:val="8"/>
  </w:num>
  <w:num w:numId="36" w16cid:durableId="128592077">
    <w:abstractNumId w:val="3"/>
  </w:num>
  <w:num w:numId="37" w16cid:durableId="1003821115">
    <w:abstractNumId w:val="2"/>
  </w:num>
  <w:num w:numId="38" w16cid:durableId="1668822381">
    <w:abstractNumId w:val="1"/>
  </w:num>
  <w:num w:numId="39" w16cid:durableId="663094107">
    <w:abstractNumId w:val="0"/>
  </w:num>
  <w:num w:numId="40" w16cid:durableId="1366756390">
    <w:abstractNumId w:val="13"/>
  </w:num>
  <w:num w:numId="41" w16cid:durableId="780565401">
    <w:abstractNumId w:val="23"/>
  </w:num>
  <w:num w:numId="42" w16cid:durableId="165795764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jAwNTc1MjAzMDGzMDVS0lEKTi0uzszPAykwrAUAl6jVJCwAAAA="/>
  </w:docVars>
  <w:rsids>
    <w:rsidRoot w:val="002F66C7"/>
    <w:rsid w:val="00003AF1"/>
    <w:rsid w:val="00021577"/>
    <w:rsid w:val="000405D8"/>
    <w:rsid w:val="000405D9"/>
    <w:rsid w:val="00042A36"/>
    <w:rsid w:val="00054D08"/>
    <w:rsid w:val="0006276E"/>
    <w:rsid w:val="000631DC"/>
    <w:rsid w:val="0006449B"/>
    <w:rsid w:val="0008462B"/>
    <w:rsid w:val="00085749"/>
    <w:rsid w:val="00086BC3"/>
    <w:rsid w:val="000C5806"/>
    <w:rsid w:val="000C5AF8"/>
    <w:rsid w:val="000C719D"/>
    <w:rsid w:val="000E6911"/>
    <w:rsid w:val="001037C5"/>
    <w:rsid w:val="001053B0"/>
    <w:rsid w:val="00111E9C"/>
    <w:rsid w:val="00112BBB"/>
    <w:rsid w:val="00116E9F"/>
    <w:rsid w:val="00130114"/>
    <w:rsid w:val="00132F97"/>
    <w:rsid w:val="00156FBC"/>
    <w:rsid w:val="00171046"/>
    <w:rsid w:val="00174015"/>
    <w:rsid w:val="00175D91"/>
    <w:rsid w:val="00183BC1"/>
    <w:rsid w:val="001909EA"/>
    <w:rsid w:val="00191DA5"/>
    <w:rsid w:val="00195380"/>
    <w:rsid w:val="001A02F4"/>
    <w:rsid w:val="001A70CF"/>
    <w:rsid w:val="001B7C88"/>
    <w:rsid w:val="001C3E15"/>
    <w:rsid w:val="001C5692"/>
    <w:rsid w:val="001D5D16"/>
    <w:rsid w:val="001E5140"/>
    <w:rsid w:val="001F57AE"/>
    <w:rsid w:val="002013CA"/>
    <w:rsid w:val="0023447C"/>
    <w:rsid w:val="00246608"/>
    <w:rsid w:val="00246D0A"/>
    <w:rsid w:val="00250A60"/>
    <w:rsid w:val="002629E7"/>
    <w:rsid w:val="002705A9"/>
    <w:rsid w:val="00285F61"/>
    <w:rsid w:val="002934F8"/>
    <w:rsid w:val="002A51C1"/>
    <w:rsid w:val="002A75B4"/>
    <w:rsid w:val="002A789E"/>
    <w:rsid w:val="002C28A8"/>
    <w:rsid w:val="002D441E"/>
    <w:rsid w:val="002E1B8F"/>
    <w:rsid w:val="002E38AA"/>
    <w:rsid w:val="002F66C7"/>
    <w:rsid w:val="00332875"/>
    <w:rsid w:val="00334B34"/>
    <w:rsid w:val="003444CE"/>
    <w:rsid w:val="00350A09"/>
    <w:rsid w:val="0035114F"/>
    <w:rsid w:val="003535BB"/>
    <w:rsid w:val="00355BB5"/>
    <w:rsid w:val="00365BBE"/>
    <w:rsid w:val="0037408A"/>
    <w:rsid w:val="00383EAF"/>
    <w:rsid w:val="00385583"/>
    <w:rsid w:val="00386EFE"/>
    <w:rsid w:val="0039127C"/>
    <w:rsid w:val="003A42DA"/>
    <w:rsid w:val="003A60BD"/>
    <w:rsid w:val="003B5249"/>
    <w:rsid w:val="003B5838"/>
    <w:rsid w:val="003C4306"/>
    <w:rsid w:val="003C4758"/>
    <w:rsid w:val="003C6AE4"/>
    <w:rsid w:val="003D6C7F"/>
    <w:rsid w:val="003E7FC9"/>
    <w:rsid w:val="003F28C9"/>
    <w:rsid w:val="003F554F"/>
    <w:rsid w:val="004040DD"/>
    <w:rsid w:val="004065A9"/>
    <w:rsid w:val="00411B03"/>
    <w:rsid w:val="00414E9A"/>
    <w:rsid w:val="00420A2B"/>
    <w:rsid w:val="00421D13"/>
    <w:rsid w:val="00425C2A"/>
    <w:rsid w:val="00427244"/>
    <w:rsid w:val="00433BF5"/>
    <w:rsid w:val="004409BD"/>
    <w:rsid w:val="004518F4"/>
    <w:rsid w:val="00455FE8"/>
    <w:rsid w:val="00457C0E"/>
    <w:rsid w:val="0046313E"/>
    <w:rsid w:val="004702E6"/>
    <w:rsid w:val="00473B28"/>
    <w:rsid w:val="00476B26"/>
    <w:rsid w:val="004822AA"/>
    <w:rsid w:val="00483AB6"/>
    <w:rsid w:val="004844F3"/>
    <w:rsid w:val="00487C7D"/>
    <w:rsid w:val="004904F2"/>
    <w:rsid w:val="004A38A3"/>
    <w:rsid w:val="004A520A"/>
    <w:rsid w:val="004A63AA"/>
    <w:rsid w:val="004B751B"/>
    <w:rsid w:val="004C6181"/>
    <w:rsid w:val="004D56AC"/>
    <w:rsid w:val="004D67B2"/>
    <w:rsid w:val="004E71B3"/>
    <w:rsid w:val="004F5D77"/>
    <w:rsid w:val="00503D18"/>
    <w:rsid w:val="00505079"/>
    <w:rsid w:val="00516BF2"/>
    <w:rsid w:val="0052739B"/>
    <w:rsid w:val="00533F18"/>
    <w:rsid w:val="00536B4E"/>
    <w:rsid w:val="0054560B"/>
    <w:rsid w:val="0055301C"/>
    <w:rsid w:val="00576803"/>
    <w:rsid w:val="00580CBB"/>
    <w:rsid w:val="00597616"/>
    <w:rsid w:val="005A4FD8"/>
    <w:rsid w:val="005A7EB5"/>
    <w:rsid w:val="005B4E2B"/>
    <w:rsid w:val="005C7802"/>
    <w:rsid w:val="005D6B7D"/>
    <w:rsid w:val="005E711F"/>
    <w:rsid w:val="005F296A"/>
    <w:rsid w:val="00615DFD"/>
    <w:rsid w:val="00617593"/>
    <w:rsid w:val="006313FC"/>
    <w:rsid w:val="006332BF"/>
    <w:rsid w:val="006339C7"/>
    <w:rsid w:val="00636750"/>
    <w:rsid w:val="00667183"/>
    <w:rsid w:val="006907BA"/>
    <w:rsid w:val="00692F78"/>
    <w:rsid w:val="006A5910"/>
    <w:rsid w:val="006A689A"/>
    <w:rsid w:val="006A701B"/>
    <w:rsid w:val="006C3627"/>
    <w:rsid w:val="006C4CB2"/>
    <w:rsid w:val="00703209"/>
    <w:rsid w:val="0071130F"/>
    <w:rsid w:val="00723217"/>
    <w:rsid w:val="00742A9A"/>
    <w:rsid w:val="007545CB"/>
    <w:rsid w:val="00754AC5"/>
    <w:rsid w:val="00761F78"/>
    <w:rsid w:val="00764652"/>
    <w:rsid w:val="00772A4A"/>
    <w:rsid w:val="00775C82"/>
    <w:rsid w:val="0079750B"/>
    <w:rsid w:val="007A3CAD"/>
    <w:rsid w:val="007B25B6"/>
    <w:rsid w:val="007F10B4"/>
    <w:rsid w:val="007F4C0E"/>
    <w:rsid w:val="007F7BB9"/>
    <w:rsid w:val="008024AF"/>
    <w:rsid w:val="00803922"/>
    <w:rsid w:val="00814AA7"/>
    <w:rsid w:val="00825C83"/>
    <w:rsid w:val="00834BFA"/>
    <w:rsid w:val="0085389B"/>
    <w:rsid w:val="008548EA"/>
    <w:rsid w:val="00855894"/>
    <w:rsid w:val="00867C08"/>
    <w:rsid w:val="008730CE"/>
    <w:rsid w:val="00875B03"/>
    <w:rsid w:val="008764A8"/>
    <w:rsid w:val="00893AA3"/>
    <w:rsid w:val="008B5C3E"/>
    <w:rsid w:val="008C050A"/>
    <w:rsid w:val="008C5020"/>
    <w:rsid w:val="008D6790"/>
    <w:rsid w:val="008E0CFB"/>
    <w:rsid w:val="008E2D12"/>
    <w:rsid w:val="008E37AF"/>
    <w:rsid w:val="0090043C"/>
    <w:rsid w:val="00900C71"/>
    <w:rsid w:val="00901221"/>
    <w:rsid w:val="009072D9"/>
    <w:rsid w:val="00914E9B"/>
    <w:rsid w:val="00916B81"/>
    <w:rsid w:val="009252E5"/>
    <w:rsid w:val="00930965"/>
    <w:rsid w:val="0093769A"/>
    <w:rsid w:val="00941D58"/>
    <w:rsid w:val="009430C8"/>
    <w:rsid w:val="00943792"/>
    <w:rsid w:val="0095084E"/>
    <w:rsid w:val="00951612"/>
    <w:rsid w:val="00953ABD"/>
    <w:rsid w:val="0096453C"/>
    <w:rsid w:val="009666F7"/>
    <w:rsid w:val="00972672"/>
    <w:rsid w:val="00987691"/>
    <w:rsid w:val="009904D3"/>
    <w:rsid w:val="00993383"/>
    <w:rsid w:val="009954E1"/>
    <w:rsid w:val="009C5943"/>
    <w:rsid w:val="009D50A0"/>
    <w:rsid w:val="009D543E"/>
    <w:rsid w:val="009D711C"/>
    <w:rsid w:val="009D7388"/>
    <w:rsid w:val="009E488D"/>
    <w:rsid w:val="009E5E4C"/>
    <w:rsid w:val="009F5112"/>
    <w:rsid w:val="00A10A52"/>
    <w:rsid w:val="00A117D5"/>
    <w:rsid w:val="00A30F7A"/>
    <w:rsid w:val="00A43E52"/>
    <w:rsid w:val="00A44964"/>
    <w:rsid w:val="00A54B9F"/>
    <w:rsid w:val="00A76E11"/>
    <w:rsid w:val="00A87162"/>
    <w:rsid w:val="00A96024"/>
    <w:rsid w:val="00A9614F"/>
    <w:rsid w:val="00AA24BB"/>
    <w:rsid w:val="00AA5969"/>
    <w:rsid w:val="00AD0323"/>
    <w:rsid w:val="00AE0790"/>
    <w:rsid w:val="00AE4045"/>
    <w:rsid w:val="00AF1A59"/>
    <w:rsid w:val="00AF6820"/>
    <w:rsid w:val="00B04747"/>
    <w:rsid w:val="00B0572B"/>
    <w:rsid w:val="00B10D8B"/>
    <w:rsid w:val="00B10DB3"/>
    <w:rsid w:val="00B13220"/>
    <w:rsid w:val="00B14FB6"/>
    <w:rsid w:val="00B21BC8"/>
    <w:rsid w:val="00B25248"/>
    <w:rsid w:val="00B50725"/>
    <w:rsid w:val="00B5369F"/>
    <w:rsid w:val="00B53764"/>
    <w:rsid w:val="00B55697"/>
    <w:rsid w:val="00B5781E"/>
    <w:rsid w:val="00B65AF6"/>
    <w:rsid w:val="00B6744A"/>
    <w:rsid w:val="00B70A40"/>
    <w:rsid w:val="00B7482D"/>
    <w:rsid w:val="00B80145"/>
    <w:rsid w:val="00B80705"/>
    <w:rsid w:val="00B861B6"/>
    <w:rsid w:val="00B87093"/>
    <w:rsid w:val="00B879C5"/>
    <w:rsid w:val="00B96CBB"/>
    <w:rsid w:val="00BA1D8C"/>
    <w:rsid w:val="00BA4F17"/>
    <w:rsid w:val="00BB042B"/>
    <w:rsid w:val="00BC6409"/>
    <w:rsid w:val="00BD7C19"/>
    <w:rsid w:val="00BE696B"/>
    <w:rsid w:val="00BF479B"/>
    <w:rsid w:val="00BF64DB"/>
    <w:rsid w:val="00C17941"/>
    <w:rsid w:val="00C34F75"/>
    <w:rsid w:val="00C3584A"/>
    <w:rsid w:val="00C52A09"/>
    <w:rsid w:val="00C6552D"/>
    <w:rsid w:val="00C75C50"/>
    <w:rsid w:val="00C83ABD"/>
    <w:rsid w:val="00C91CFF"/>
    <w:rsid w:val="00C96ABE"/>
    <w:rsid w:val="00C9733D"/>
    <w:rsid w:val="00CA6AD5"/>
    <w:rsid w:val="00CA76FD"/>
    <w:rsid w:val="00CB17C4"/>
    <w:rsid w:val="00CB5BD9"/>
    <w:rsid w:val="00CC5C24"/>
    <w:rsid w:val="00CD5D4B"/>
    <w:rsid w:val="00CE7CBA"/>
    <w:rsid w:val="00CF47FC"/>
    <w:rsid w:val="00D01DDB"/>
    <w:rsid w:val="00D100E7"/>
    <w:rsid w:val="00D14067"/>
    <w:rsid w:val="00D4263E"/>
    <w:rsid w:val="00D521DD"/>
    <w:rsid w:val="00D53C11"/>
    <w:rsid w:val="00D57387"/>
    <w:rsid w:val="00D57EF7"/>
    <w:rsid w:val="00D66C6A"/>
    <w:rsid w:val="00D678F8"/>
    <w:rsid w:val="00D91B0A"/>
    <w:rsid w:val="00D942C0"/>
    <w:rsid w:val="00D9654A"/>
    <w:rsid w:val="00DA50E9"/>
    <w:rsid w:val="00DD4AB6"/>
    <w:rsid w:val="00DD4EB7"/>
    <w:rsid w:val="00DE12CF"/>
    <w:rsid w:val="00DF2085"/>
    <w:rsid w:val="00DF583D"/>
    <w:rsid w:val="00E074F6"/>
    <w:rsid w:val="00E136F2"/>
    <w:rsid w:val="00E22E78"/>
    <w:rsid w:val="00E24AC3"/>
    <w:rsid w:val="00E26458"/>
    <w:rsid w:val="00E3557D"/>
    <w:rsid w:val="00E41CB0"/>
    <w:rsid w:val="00E50042"/>
    <w:rsid w:val="00E63CDE"/>
    <w:rsid w:val="00E86105"/>
    <w:rsid w:val="00EA363D"/>
    <w:rsid w:val="00EA5114"/>
    <w:rsid w:val="00EA79B5"/>
    <w:rsid w:val="00EC07E0"/>
    <w:rsid w:val="00EC4684"/>
    <w:rsid w:val="00EC552F"/>
    <w:rsid w:val="00EE103F"/>
    <w:rsid w:val="00EF0347"/>
    <w:rsid w:val="00F059B4"/>
    <w:rsid w:val="00F22833"/>
    <w:rsid w:val="00F5690B"/>
    <w:rsid w:val="00F61257"/>
    <w:rsid w:val="00F63851"/>
    <w:rsid w:val="00F7023D"/>
    <w:rsid w:val="00F750FD"/>
    <w:rsid w:val="00F7540B"/>
    <w:rsid w:val="00F82CB4"/>
    <w:rsid w:val="00F9172B"/>
    <w:rsid w:val="00F935F3"/>
    <w:rsid w:val="00F96FCE"/>
    <w:rsid w:val="00FB71D2"/>
    <w:rsid w:val="00FC37BE"/>
    <w:rsid w:val="00FD37B0"/>
    <w:rsid w:val="00FD5F4A"/>
    <w:rsid w:val="00FD7894"/>
    <w:rsid w:val="00FF0D67"/>
    <w:rsid w:val="00FF4447"/>
  </w:rsids>
  <m:mathPr>
    <m:mathFont m:val="Cambria Math"/>
    <m:brkBin m:val="before"/>
    <m:brkBinSub m:val="--"/>
    <m:smallFrac m:val="0"/>
    <m:dispDef/>
    <m:lMargin m:val="0"/>
    <m:rMargin m:val="0"/>
    <m:defJc m:val="right"/>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91C175"/>
  <w15:docId w15:val="{2368ED06-56A0-49F3-B4B2-662AAB110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utoRedefine/>
    <w:qFormat/>
    <w:rsid w:val="00503D18"/>
    <w:pPr>
      <w:widowControl w:val="0"/>
      <w:overflowPunct w:val="0"/>
      <w:autoSpaceDE w:val="0"/>
      <w:autoSpaceDN w:val="0"/>
      <w:bidi/>
      <w:adjustRightInd w:val="0"/>
      <w:ind w:firstLine="340"/>
      <w:jc w:val="both"/>
      <w:textAlignment w:val="baseline"/>
    </w:pPr>
    <w:rPr>
      <w:rFonts w:cs="B Nazanin"/>
      <w:szCs w:val="24"/>
      <w:lang w:bidi="fa-IR"/>
    </w:rPr>
  </w:style>
  <w:style w:type="paragraph" w:styleId="Heading1">
    <w:name w:val="heading 1"/>
    <w:basedOn w:val="Normal"/>
    <w:autoRedefine/>
    <w:qFormat/>
    <w:rsid w:val="008764A8"/>
    <w:pPr>
      <w:keepNext/>
      <w:numPr>
        <w:numId w:val="14"/>
      </w:numPr>
      <w:spacing w:before="360" w:after="120"/>
      <w:ind w:left="357" w:hanging="357"/>
      <w:jc w:val="left"/>
      <w:outlineLvl w:val="0"/>
    </w:pPr>
    <w:rPr>
      <w:b/>
      <w:bCs/>
      <w:kern w:val="28"/>
      <w:sz w:val="24"/>
    </w:rPr>
  </w:style>
  <w:style w:type="paragraph" w:styleId="Heading2">
    <w:name w:val="heading 2"/>
    <w:basedOn w:val="Heading1"/>
    <w:link w:val="Heading2Char"/>
    <w:autoRedefine/>
    <w:qFormat/>
    <w:rsid w:val="00BB042B"/>
    <w:pPr>
      <w:numPr>
        <w:ilvl w:val="1"/>
      </w:numPr>
      <w:spacing w:before="240" w:after="60"/>
      <w:outlineLvl w:val="1"/>
    </w:pPr>
  </w:style>
  <w:style w:type="paragraph" w:styleId="Heading3">
    <w:name w:val="heading 3"/>
    <w:basedOn w:val="Heading2"/>
    <w:autoRedefine/>
    <w:qFormat/>
    <w:rsid w:val="00042A36"/>
    <w:pPr>
      <w:numPr>
        <w:ilvl w:val="2"/>
        <w:numId w:val="25"/>
      </w:numPr>
      <w:outlineLvl w:val="2"/>
    </w:pPr>
    <w:rPr>
      <w:smallCaps/>
    </w:rPr>
  </w:style>
  <w:style w:type="paragraph" w:styleId="Heading4">
    <w:name w:val="heading 4"/>
    <w:basedOn w:val="Normal"/>
    <w:next w:val="Normal"/>
    <w:qFormat/>
    <w:pPr>
      <w:keepNext/>
      <w:spacing w:before="120" w:after="60"/>
      <w:outlineLvl w:val="3"/>
    </w:pPr>
    <w:rPr>
      <w:i/>
      <w:sz w:val="18"/>
    </w:rPr>
  </w:style>
  <w:style w:type="paragraph" w:styleId="Heading5">
    <w:name w:val="heading 5"/>
    <w:basedOn w:val="Normal"/>
    <w:next w:val="Normal"/>
    <w:qFormat/>
    <w:pPr>
      <w:spacing w:before="240" w:after="60"/>
      <w:outlineLvl w:val="4"/>
    </w:pPr>
    <w:rPr>
      <w:rFonts w:cs="Times New Roman"/>
      <w:sz w:val="18"/>
      <w:szCs w:val="18"/>
    </w:rPr>
  </w:style>
  <w:style w:type="paragraph" w:styleId="Heading6">
    <w:name w:val="heading 6"/>
    <w:basedOn w:val="Normal"/>
    <w:next w:val="Normal"/>
    <w:qFormat/>
    <w:pPr>
      <w:spacing w:before="240" w:after="60"/>
      <w:outlineLvl w:val="5"/>
    </w:pPr>
    <w:rPr>
      <w:rFonts w:cs="Times New Roman"/>
      <w:i/>
      <w:iCs/>
      <w:sz w:val="16"/>
      <w:szCs w:val="16"/>
    </w:rPr>
  </w:style>
  <w:style w:type="paragraph" w:styleId="Heading7">
    <w:name w:val="heading 7"/>
    <w:basedOn w:val="Normal"/>
    <w:next w:val="Normal"/>
    <w:qFormat/>
    <w:pPr>
      <w:spacing w:before="240" w:after="60"/>
      <w:outlineLvl w:val="6"/>
    </w:pPr>
    <w:rPr>
      <w:rFonts w:cs="Times New Roman"/>
      <w:sz w:val="16"/>
      <w:szCs w:val="16"/>
    </w:rPr>
  </w:style>
  <w:style w:type="paragraph" w:styleId="Heading8">
    <w:name w:val="heading 8"/>
    <w:basedOn w:val="Normal"/>
    <w:next w:val="Normal"/>
    <w:qFormat/>
    <w:pPr>
      <w:spacing w:before="240" w:after="60"/>
      <w:outlineLvl w:val="7"/>
    </w:pPr>
    <w:rPr>
      <w:rFonts w:cs="Times New Roman"/>
      <w:i/>
      <w:iCs/>
      <w:sz w:val="16"/>
      <w:szCs w:val="16"/>
    </w:rPr>
  </w:style>
  <w:style w:type="paragraph" w:styleId="Heading9">
    <w:name w:val="heading 9"/>
    <w:basedOn w:val="Normal"/>
    <w:next w:val="Normal"/>
    <w:qFormat/>
    <w:pPr>
      <w:spacing w:before="240" w:after="60"/>
      <w:outlineLvl w:val="8"/>
    </w:pPr>
    <w:rPr>
      <w:rFonts w:cs="Times New Roman"/>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BB042B"/>
    <w:rPr>
      <w:rFonts w:cs="B Nazanin"/>
      <w:b/>
      <w:bCs/>
      <w:kern w:val="28"/>
      <w:sz w:val="24"/>
      <w:szCs w:val="24"/>
      <w:lang w:bidi="fa-IR"/>
    </w:rPr>
  </w:style>
  <w:style w:type="paragraph" w:styleId="PlainText">
    <w:name w:val="Plain Text"/>
    <w:basedOn w:val="Normal"/>
    <w:autoRedefine/>
    <w:semiHidden/>
    <w:rsid w:val="003A42DA"/>
  </w:style>
  <w:style w:type="paragraph" w:styleId="FootnoteText">
    <w:name w:val="footnote text"/>
    <w:basedOn w:val="Normal"/>
    <w:pPr>
      <w:bidi w:val="0"/>
      <w:spacing w:line="252" w:lineRule="auto"/>
      <w:ind w:firstLine="202"/>
    </w:pPr>
    <w:rPr>
      <w:sz w:val="16"/>
      <w:szCs w:val="20"/>
    </w:rPr>
  </w:style>
  <w:style w:type="character" w:styleId="FootnoteReference">
    <w:name w:val="footnote reference"/>
    <w:rsid w:val="00867C08"/>
    <w:rPr>
      <w:rFonts w:ascii="Times New Roman" w:hAnsi="Times New Roman" w:cs="B Nazanin"/>
      <w:sz w:val="16"/>
      <w:szCs w:val="20"/>
      <w:vertAlign w:val="superscript"/>
    </w:rPr>
  </w:style>
  <w:style w:type="paragraph" w:styleId="Header">
    <w:name w:val="header"/>
    <w:basedOn w:val="Normal"/>
    <w:link w:val="HeaderChar"/>
    <w:autoRedefine/>
    <w:uiPriority w:val="99"/>
    <w:rsid w:val="003444CE"/>
    <w:pPr>
      <w:tabs>
        <w:tab w:val="right" w:pos="9354"/>
        <w:tab w:val="right" w:pos="9638"/>
      </w:tabs>
      <w:jc w:val="left"/>
    </w:pPr>
    <w:rPr>
      <w:szCs w:val="20"/>
    </w:rPr>
  </w:style>
  <w:style w:type="paragraph" w:styleId="Footer">
    <w:name w:val="footer"/>
    <w:basedOn w:val="Normal"/>
    <w:autoRedefine/>
    <w:rsid w:val="006C3627"/>
    <w:pPr>
      <w:tabs>
        <w:tab w:val="center" w:pos="4536"/>
        <w:tab w:val="right" w:pos="9072"/>
      </w:tabs>
      <w:jc w:val="center"/>
    </w:pPr>
  </w:style>
  <w:style w:type="paragraph" w:styleId="Title">
    <w:name w:val="Title"/>
    <w:basedOn w:val="Normal"/>
    <w:link w:val="TitleChar"/>
    <w:autoRedefine/>
    <w:qFormat/>
    <w:rsid w:val="00D57EF7"/>
    <w:pPr>
      <w:spacing w:before="1200" w:after="240"/>
      <w:jc w:val="center"/>
    </w:pPr>
    <w:rPr>
      <w:b/>
      <w:bCs/>
      <w:kern w:val="28"/>
      <w:sz w:val="24"/>
      <w:szCs w:val="28"/>
    </w:rPr>
  </w:style>
  <w:style w:type="character" w:customStyle="1" w:styleId="TitleChar">
    <w:name w:val="Title Char"/>
    <w:link w:val="Title"/>
    <w:rsid w:val="00D57EF7"/>
    <w:rPr>
      <w:rFonts w:cs="B Nazanin"/>
      <w:b/>
      <w:bCs/>
      <w:kern w:val="28"/>
      <w:sz w:val="24"/>
      <w:szCs w:val="28"/>
      <w:lang w:bidi="fa-IR"/>
    </w:rPr>
  </w:style>
  <w:style w:type="paragraph" w:customStyle="1" w:styleId="Authors">
    <w:name w:val="Authors"/>
    <w:basedOn w:val="Normal"/>
    <w:link w:val="AuthorsChar"/>
    <w:autoRedefine/>
    <w:rsid w:val="008764A8"/>
    <w:pPr>
      <w:framePr w:wrap="around" w:vAnchor="text" w:hAnchor="text" w:xAlign="center" w:y="1"/>
      <w:jc w:val="center"/>
    </w:pPr>
  </w:style>
  <w:style w:type="character" w:styleId="Hyperlink">
    <w:name w:val="Hyperlink"/>
    <w:semiHidden/>
    <w:rPr>
      <w:color w:val="0000FF"/>
      <w:u w:val="single"/>
    </w:rPr>
  </w:style>
  <w:style w:type="paragraph" w:customStyle="1" w:styleId="Paragraph">
    <w:name w:val="Paragraph"/>
    <w:basedOn w:val="Normal"/>
    <w:autoRedefine/>
    <w:rsid w:val="00AF6820"/>
  </w:style>
  <w:style w:type="paragraph" w:customStyle="1" w:styleId="References">
    <w:name w:val="References"/>
    <w:basedOn w:val="Normal"/>
    <w:rsid w:val="00414E9A"/>
    <w:pPr>
      <w:numPr>
        <w:numId w:val="12"/>
      </w:numPr>
      <w:bidi w:val="0"/>
    </w:pPr>
    <w:rPr>
      <w:rFonts w:cs="Times New Roman"/>
      <w:sz w:val="16"/>
      <w:szCs w:val="20"/>
    </w:rPr>
  </w:style>
  <w:style w:type="character" w:styleId="PageNumber">
    <w:name w:val="page number"/>
    <w:rsid w:val="003A42DA"/>
    <w:rPr>
      <w:rFonts w:ascii="Times New Roman" w:hAnsi="Times New Roman" w:cs="B Nazanin"/>
      <w:sz w:val="20"/>
      <w:szCs w:val="24"/>
      <w:lang w:bidi="fa-IR"/>
    </w:rPr>
  </w:style>
  <w:style w:type="paragraph" w:customStyle="1" w:styleId="Abstract">
    <w:name w:val="Abstract"/>
    <w:basedOn w:val="Normal"/>
    <w:link w:val="AbstractChar"/>
    <w:autoRedefine/>
    <w:rsid w:val="009430C8"/>
    <w:pPr>
      <w:overflowPunct/>
      <w:autoSpaceDE/>
      <w:autoSpaceDN/>
      <w:adjustRightInd/>
      <w:textAlignment w:val="auto"/>
    </w:pPr>
    <w:rPr>
      <w:bCs/>
      <w:i/>
      <w:sz w:val="18"/>
      <w:szCs w:val="20"/>
    </w:rPr>
  </w:style>
  <w:style w:type="paragraph" w:customStyle="1" w:styleId="Equation">
    <w:name w:val="Equation"/>
    <w:basedOn w:val="Normal"/>
    <w:link w:val="EquationChar"/>
    <w:autoRedefine/>
    <w:rsid w:val="00B87093"/>
    <w:pPr>
      <w:tabs>
        <w:tab w:val="right" w:pos="4309"/>
        <w:tab w:val="right" w:pos="4649"/>
      </w:tabs>
      <w:spacing w:before="60" w:after="100" w:afterAutospacing="1"/>
    </w:pPr>
  </w:style>
  <w:style w:type="paragraph" w:customStyle="1" w:styleId="FigurePosition">
    <w:name w:val="Figure Position"/>
    <w:basedOn w:val="Normal"/>
    <w:autoRedefine/>
    <w:rsid w:val="00111E9C"/>
    <w:pPr>
      <w:jc w:val="center"/>
    </w:pPr>
    <w:rPr>
      <w:sz w:val="16"/>
      <w:szCs w:val="20"/>
    </w:rPr>
  </w:style>
  <w:style w:type="character" w:styleId="FollowedHyperlink">
    <w:name w:val="FollowedHyperlink"/>
    <w:semiHidden/>
    <w:rPr>
      <w:color w:val="800080"/>
      <w:u w:val="single"/>
    </w:rPr>
  </w:style>
  <w:style w:type="paragraph" w:customStyle="1" w:styleId="Index">
    <w:name w:val="Index"/>
    <w:basedOn w:val="Normal"/>
    <w:autoRedefine/>
    <w:rsid w:val="008764A8"/>
    <w:pPr>
      <w:overflowPunct/>
      <w:autoSpaceDE/>
      <w:autoSpaceDN/>
      <w:adjustRightInd/>
      <w:spacing w:after="90"/>
      <w:jc w:val="left"/>
      <w:textAlignment w:val="auto"/>
    </w:pPr>
    <w:rPr>
      <w:sz w:val="16"/>
      <w:szCs w:val="20"/>
    </w:rPr>
  </w:style>
  <w:style w:type="paragraph" w:customStyle="1" w:styleId="Heading">
    <w:name w:val="Heading"/>
    <w:basedOn w:val="Normal"/>
    <w:autoRedefine/>
    <w:rsid w:val="008764A8"/>
    <w:pPr>
      <w:keepNext/>
      <w:overflowPunct/>
      <w:autoSpaceDE/>
      <w:autoSpaceDN/>
      <w:adjustRightInd/>
      <w:spacing w:before="360" w:after="120"/>
      <w:textAlignment w:val="auto"/>
    </w:pPr>
    <w:rPr>
      <w:rFonts w:ascii="Courier New" w:hAnsi="Courier New"/>
      <w:b/>
      <w:bCs/>
      <w:kern w:val="28"/>
      <w:sz w:val="24"/>
    </w:rPr>
  </w:style>
  <w:style w:type="paragraph" w:customStyle="1" w:styleId="TableTitle">
    <w:name w:val="Table Title"/>
    <w:basedOn w:val="Normal"/>
    <w:semiHidden/>
    <w:pPr>
      <w:jc w:val="center"/>
    </w:pPr>
    <w:rPr>
      <w:smallCaps/>
      <w:sz w:val="16"/>
      <w:szCs w:val="16"/>
    </w:rPr>
  </w:style>
  <w:style w:type="paragraph" w:customStyle="1" w:styleId="Affiliations">
    <w:name w:val="Affiliations"/>
    <w:basedOn w:val="Normal"/>
    <w:autoRedefine/>
    <w:rsid w:val="00AF6820"/>
    <w:pPr>
      <w:framePr w:wrap="around" w:vAnchor="text" w:hAnchor="text" w:xAlign="center" w:y="1"/>
      <w:jc w:val="center"/>
    </w:pPr>
  </w:style>
  <w:style w:type="numbering" w:styleId="111111">
    <w:name w:val="Outline List 2"/>
    <w:basedOn w:val="NoList"/>
    <w:semiHidden/>
    <w:rsid w:val="00867C08"/>
    <w:pPr>
      <w:numPr>
        <w:numId w:val="27"/>
      </w:numPr>
    </w:pPr>
  </w:style>
  <w:style w:type="numbering" w:styleId="1ai">
    <w:name w:val="Outline List 1"/>
    <w:basedOn w:val="NoList"/>
    <w:semiHidden/>
    <w:rsid w:val="00867C08"/>
    <w:pPr>
      <w:numPr>
        <w:numId w:val="28"/>
      </w:numPr>
    </w:pPr>
  </w:style>
  <w:style w:type="numbering" w:styleId="ArticleSection">
    <w:name w:val="Outline List 3"/>
    <w:basedOn w:val="NoList"/>
    <w:semiHidden/>
    <w:rsid w:val="00867C08"/>
    <w:pPr>
      <w:numPr>
        <w:numId w:val="29"/>
      </w:numPr>
    </w:pPr>
  </w:style>
  <w:style w:type="paragraph" w:styleId="BlockText">
    <w:name w:val="Block Text"/>
    <w:basedOn w:val="Normal"/>
    <w:semiHidden/>
    <w:rsid w:val="00867C08"/>
    <w:pPr>
      <w:spacing w:after="120"/>
      <w:ind w:left="1440" w:right="1440"/>
    </w:pPr>
  </w:style>
  <w:style w:type="paragraph" w:styleId="BodyText">
    <w:name w:val="Body Text"/>
    <w:basedOn w:val="Normal"/>
    <w:semiHidden/>
    <w:rsid w:val="00867C08"/>
    <w:pPr>
      <w:spacing w:after="120"/>
    </w:pPr>
  </w:style>
  <w:style w:type="paragraph" w:styleId="BodyText2">
    <w:name w:val="Body Text 2"/>
    <w:basedOn w:val="Normal"/>
    <w:semiHidden/>
    <w:rsid w:val="00867C08"/>
    <w:pPr>
      <w:spacing w:after="120" w:line="480" w:lineRule="auto"/>
    </w:pPr>
  </w:style>
  <w:style w:type="paragraph" w:styleId="BodyText3">
    <w:name w:val="Body Text 3"/>
    <w:basedOn w:val="Normal"/>
    <w:semiHidden/>
    <w:rsid w:val="00867C08"/>
    <w:pPr>
      <w:spacing w:after="120"/>
    </w:pPr>
    <w:rPr>
      <w:sz w:val="16"/>
      <w:szCs w:val="16"/>
    </w:rPr>
  </w:style>
  <w:style w:type="paragraph" w:styleId="BodyTextFirstIndent">
    <w:name w:val="Body Text First Indent"/>
    <w:basedOn w:val="BodyText"/>
    <w:semiHidden/>
    <w:rsid w:val="00867C08"/>
    <w:pPr>
      <w:ind w:firstLine="210"/>
    </w:pPr>
  </w:style>
  <w:style w:type="paragraph" w:styleId="BodyTextIndent">
    <w:name w:val="Body Text Indent"/>
    <w:basedOn w:val="Normal"/>
    <w:semiHidden/>
    <w:rsid w:val="00867C08"/>
    <w:pPr>
      <w:spacing w:after="120"/>
      <w:ind w:left="283"/>
    </w:pPr>
  </w:style>
  <w:style w:type="paragraph" w:styleId="BodyTextFirstIndent2">
    <w:name w:val="Body Text First Indent 2"/>
    <w:basedOn w:val="BodyTextIndent"/>
    <w:semiHidden/>
    <w:rsid w:val="00867C08"/>
    <w:pPr>
      <w:ind w:firstLine="210"/>
    </w:pPr>
  </w:style>
  <w:style w:type="paragraph" w:styleId="BodyTextIndent2">
    <w:name w:val="Body Text Indent 2"/>
    <w:basedOn w:val="Normal"/>
    <w:semiHidden/>
    <w:rsid w:val="00867C08"/>
    <w:pPr>
      <w:spacing w:after="120" w:line="480" w:lineRule="auto"/>
      <w:ind w:left="283"/>
    </w:pPr>
  </w:style>
  <w:style w:type="paragraph" w:styleId="BodyTextIndent3">
    <w:name w:val="Body Text Indent 3"/>
    <w:basedOn w:val="Normal"/>
    <w:semiHidden/>
    <w:rsid w:val="00867C08"/>
    <w:pPr>
      <w:spacing w:after="120"/>
      <w:ind w:left="283"/>
    </w:pPr>
    <w:rPr>
      <w:sz w:val="16"/>
      <w:szCs w:val="16"/>
    </w:rPr>
  </w:style>
  <w:style w:type="paragraph" w:styleId="Caption">
    <w:name w:val="caption"/>
    <w:next w:val="FigurePosition"/>
    <w:autoRedefine/>
    <w:qFormat/>
    <w:rsid w:val="008730CE"/>
    <w:pPr>
      <w:bidi/>
      <w:spacing w:after="240"/>
      <w:jc w:val="center"/>
    </w:pPr>
    <w:rPr>
      <w:rFonts w:cs="B Nazanin"/>
      <w:sz w:val="16"/>
    </w:rPr>
  </w:style>
  <w:style w:type="paragraph" w:styleId="Closing">
    <w:name w:val="Closing"/>
    <w:basedOn w:val="Normal"/>
    <w:semiHidden/>
    <w:rsid w:val="00867C08"/>
    <w:pPr>
      <w:ind w:left="4252"/>
    </w:pPr>
  </w:style>
  <w:style w:type="paragraph" w:styleId="Date">
    <w:name w:val="Date"/>
    <w:basedOn w:val="Normal"/>
    <w:next w:val="Normal"/>
    <w:semiHidden/>
    <w:rsid w:val="00867C08"/>
  </w:style>
  <w:style w:type="character" w:styleId="Emphasis">
    <w:name w:val="Emphasis"/>
    <w:qFormat/>
    <w:rsid w:val="00867C08"/>
    <w:rPr>
      <w:i/>
      <w:iCs/>
    </w:rPr>
  </w:style>
  <w:style w:type="character" w:styleId="EndnoteReference">
    <w:name w:val="endnote reference"/>
    <w:rsid w:val="00867C08"/>
    <w:rPr>
      <w:vertAlign w:val="superscript"/>
    </w:rPr>
  </w:style>
  <w:style w:type="paragraph" w:styleId="EndnoteText">
    <w:name w:val="endnote text"/>
    <w:basedOn w:val="Normal"/>
    <w:rsid w:val="00867C08"/>
    <w:rPr>
      <w:szCs w:val="20"/>
    </w:rPr>
  </w:style>
  <w:style w:type="paragraph" w:styleId="EnvelopeAddress">
    <w:name w:val="envelope address"/>
    <w:basedOn w:val="Normal"/>
    <w:semiHidden/>
    <w:rsid w:val="00867C08"/>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semiHidden/>
    <w:rsid w:val="00867C08"/>
    <w:rPr>
      <w:rFonts w:ascii="Arial" w:hAnsi="Arial" w:cs="Arial"/>
      <w:szCs w:val="20"/>
    </w:rPr>
  </w:style>
  <w:style w:type="character" w:styleId="HTMLAcronym">
    <w:name w:val="HTML Acronym"/>
    <w:basedOn w:val="DefaultParagraphFont"/>
    <w:semiHidden/>
    <w:rsid w:val="00867C08"/>
  </w:style>
  <w:style w:type="paragraph" w:styleId="HTMLAddress">
    <w:name w:val="HTML Address"/>
    <w:basedOn w:val="Normal"/>
    <w:semiHidden/>
    <w:rsid w:val="00867C08"/>
    <w:rPr>
      <w:i/>
      <w:iCs/>
    </w:rPr>
  </w:style>
  <w:style w:type="character" w:styleId="HTMLCite">
    <w:name w:val="HTML Cite"/>
    <w:semiHidden/>
    <w:rsid w:val="00867C08"/>
    <w:rPr>
      <w:i/>
      <w:iCs/>
    </w:rPr>
  </w:style>
  <w:style w:type="character" w:styleId="HTMLCode">
    <w:name w:val="HTML Code"/>
    <w:semiHidden/>
    <w:rsid w:val="00867C08"/>
    <w:rPr>
      <w:rFonts w:ascii="Courier New" w:hAnsi="Courier New" w:cs="Courier New"/>
      <w:sz w:val="20"/>
      <w:szCs w:val="20"/>
    </w:rPr>
  </w:style>
  <w:style w:type="character" w:styleId="HTMLDefinition">
    <w:name w:val="HTML Definition"/>
    <w:semiHidden/>
    <w:rsid w:val="00867C08"/>
    <w:rPr>
      <w:i/>
      <w:iCs/>
    </w:rPr>
  </w:style>
  <w:style w:type="character" w:styleId="HTMLKeyboard">
    <w:name w:val="HTML Keyboard"/>
    <w:semiHidden/>
    <w:rsid w:val="00867C08"/>
    <w:rPr>
      <w:rFonts w:ascii="Courier New" w:hAnsi="Courier New" w:cs="Courier New"/>
      <w:sz w:val="20"/>
      <w:szCs w:val="20"/>
    </w:rPr>
  </w:style>
  <w:style w:type="paragraph" w:styleId="HTMLPreformatted">
    <w:name w:val="HTML Preformatted"/>
    <w:basedOn w:val="Normal"/>
    <w:semiHidden/>
    <w:rsid w:val="00867C08"/>
    <w:rPr>
      <w:rFonts w:ascii="Courier New" w:hAnsi="Courier New" w:cs="Courier New"/>
      <w:szCs w:val="20"/>
    </w:rPr>
  </w:style>
  <w:style w:type="character" w:styleId="HTMLSample">
    <w:name w:val="HTML Sample"/>
    <w:semiHidden/>
    <w:rsid w:val="00867C08"/>
    <w:rPr>
      <w:rFonts w:ascii="Courier New" w:hAnsi="Courier New" w:cs="Courier New"/>
    </w:rPr>
  </w:style>
  <w:style w:type="character" w:styleId="HTMLTypewriter">
    <w:name w:val="HTML Typewriter"/>
    <w:semiHidden/>
    <w:rsid w:val="00867C08"/>
    <w:rPr>
      <w:rFonts w:ascii="Courier New" w:hAnsi="Courier New" w:cs="Courier New"/>
      <w:sz w:val="20"/>
      <w:szCs w:val="20"/>
    </w:rPr>
  </w:style>
  <w:style w:type="character" w:styleId="HTMLVariable">
    <w:name w:val="HTML Variable"/>
    <w:semiHidden/>
    <w:rsid w:val="00867C08"/>
    <w:rPr>
      <w:i/>
      <w:iCs/>
    </w:rPr>
  </w:style>
  <w:style w:type="character" w:styleId="LineNumber">
    <w:name w:val="line number"/>
    <w:basedOn w:val="DefaultParagraphFont"/>
    <w:semiHidden/>
    <w:rsid w:val="00867C08"/>
  </w:style>
  <w:style w:type="paragraph" w:styleId="List">
    <w:name w:val="List"/>
    <w:basedOn w:val="Normal"/>
    <w:semiHidden/>
    <w:rsid w:val="00867C08"/>
    <w:pPr>
      <w:ind w:left="283" w:hanging="283"/>
    </w:pPr>
  </w:style>
  <w:style w:type="paragraph" w:styleId="List2">
    <w:name w:val="List 2"/>
    <w:basedOn w:val="Normal"/>
    <w:semiHidden/>
    <w:rsid w:val="00867C08"/>
    <w:pPr>
      <w:ind w:left="566" w:hanging="283"/>
    </w:pPr>
  </w:style>
  <w:style w:type="paragraph" w:styleId="List3">
    <w:name w:val="List 3"/>
    <w:basedOn w:val="Normal"/>
    <w:semiHidden/>
    <w:rsid w:val="00867C08"/>
    <w:pPr>
      <w:ind w:left="849" w:hanging="283"/>
    </w:pPr>
  </w:style>
  <w:style w:type="paragraph" w:styleId="List4">
    <w:name w:val="List 4"/>
    <w:basedOn w:val="Normal"/>
    <w:semiHidden/>
    <w:rsid w:val="00867C08"/>
    <w:pPr>
      <w:ind w:left="1132" w:hanging="283"/>
    </w:pPr>
  </w:style>
  <w:style w:type="paragraph" w:styleId="List5">
    <w:name w:val="List 5"/>
    <w:basedOn w:val="Normal"/>
    <w:semiHidden/>
    <w:rsid w:val="00867C08"/>
    <w:pPr>
      <w:ind w:left="1415" w:hanging="283"/>
    </w:pPr>
  </w:style>
  <w:style w:type="paragraph" w:styleId="ListBullet">
    <w:name w:val="List Bullet"/>
    <w:basedOn w:val="Normal"/>
    <w:semiHidden/>
    <w:rsid w:val="00867C08"/>
    <w:pPr>
      <w:numPr>
        <w:numId w:val="30"/>
      </w:numPr>
    </w:pPr>
  </w:style>
  <w:style w:type="paragraph" w:styleId="ListBullet2">
    <w:name w:val="List Bullet 2"/>
    <w:basedOn w:val="Normal"/>
    <w:semiHidden/>
    <w:rsid w:val="00867C08"/>
    <w:pPr>
      <w:numPr>
        <w:numId w:val="31"/>
      </w:numPr>
    </w:pPr>
  </w:style>
  <w:style w:type="paragraph" w:styleId="ListBullet3">
    <w:name w:val="List Bullet 3"/>
    <w:basedOn w:val="Normal"/>
    <w:semiHidden/>
    <w:rsid w:val="00867C08"/>
    <w:pPr>
      <w:numPr>
        <w:numId w:val="32"/>
      </w:numPr>
    </w:pPr>
  </w:style>
  <w:style w:type="paragraph" w:styleId="ListBullet4">
    <w:name w:val="List Bullet 4"/>
    <w:basedOn w:val="Normal"/>
    <w:semiHidden/>
    <w:rsid w:val="00867C08"/>
    <w:pPr>
      <w:numPr>
        <w:numId w:val="33"/>
      </w:numPr>
    </w:pPr>
  </w:style>
  <w:style w:type="paragraph" w:styleId="ListBullet5">
    <w:name w:val="List Bullet 5"/>
    <w:basedOn w:val="Normal"/>
    <w:semiHidden/>
    <w:rsid w:val="00867C08"/>
    <w:pPr>
      <w:numPr>
        <w:numId w:val="34"/>
      </w:numPr>
    </w:pPr>
  </w:style>
  <w:style w:type="paragraph" w:styleId="ListContinue">
    <w:name w:val="List Continue"/>
    <w:basedOn w:val="Normal"/>
    <w:semiHidden/>
    <w:rsid w:val="00867C08"/>
    <w:pPr>
      <w:spacing w:after="120"/>
      <w:ind w:left="283"/>
    </w:pPr>
  </w:style>
  <w:style w:type="paragraph" w:styleId="ListContinue2">
    <w:name w:val="List Continue 2"/>
    <w:basedOn w:val="Normal"/>
    <w:semiHidden/>
    <w:rsid w:val="00867C08"/>
    <w:pPr>
      <w:spacing w:after="120"/>
      <w:ind w:left="566"/>
    </w:pPr>
  </w:style>
  <w:style w:type="paragraph" w:styleId="ListContinue3">
    <w:name w:val="List Continue 3"/>
    <w:basedOn w:val="Normal"/>
    <w:semiHidden/>
    <w:rsid w:val="00867C08"/>
    <w:pPr>
      <w:spacing w:after="120"/>
      <w:ind w:left="849"/>
    </w:pPr>
  </w:style>
  <w:style w:type="paragraph" w:styleId="ListContinue4">
    <w:name w:val="List Continue 4"/>
    <w:basedOn w:val="Normal"/>
    <w:semiHidden/>
    <w:rsid w:val="00867C08"/>
    <w:pPr>
      <w:spacing w:after="120"/>
      <w:ind w:left="1132"/>
    </w:pPr>
  </w:style>
  <w:style w:type="paragraph" w:styleId="ListContinue5">
    <w:name w:val="List Continue 5"/>
    <w:basedOn w:val="Normal"/>
    <w:semiHidden/>
    <w:rsid w:val="00867C08"/>
    <w:pPr>
      <w:spacing w:after="120"/>
      <w:ind w:left="1415"/>
    </w:pPr>
  </w:style>
  <w:style w:type="paragraph" w:styleId="ListNumber">
    <w:name w:val="List Number"/>
    <w:basedOn w:val="Normal"/>
    <w:semiHidden/>
    <w:rsid w:val="00867C08"/>
    <w:pPr>
      <w:numPr>
        <w:numId w:val="35"/>
      </w:numPr>
    </w:pPr>
  </w:style>
  <w:style w:type="paragraph" w:styleId="ListNumber2">
    <w:name w:val="List Number 2"/>
    <w:basedOn w:val="Normal"/>
    <w:semiHidden/>
    <w:rsid w:val="00867C08"/>
    <w:pPr>
      <w:numPr>
        <w:numId w:val="36"/>
      </w:numPr>
    </w:pPr>
  </w:style>
  <w:style w:type="paragraph" w:styleId="ListNumber3">
    <w:name w:val="List Number 3"/>
    <w:basedOn w:val="Normal"/>
    <w:semiHidden/>
    <w:rsid w:val="00867C08"/>
    <w:pPr>
      <w:numPr>
        <w:numId w:val="37"/>
      </w:numPr>
    </w:pPr>
  </w:style>
  <w:style w:type="paragraph" w:styleId="ListNumber4">
    <w:name w:val="List Number 4"/>
    <w:basedOn w:val="Normal"/>
    <w:semiHidden/>
    <w:rsid w:val="00867C08"/>
    <w:pPr>
      <w:numPr>
        <w:numId w:val="38"/>
      </w:numPr>
    </w:pPr>
  </w:style>
  <w:style w:type="paragraph" w:styleId="ListNumber5">
    <w:name w:val="List Number 5"/>
    <w:basedOn w:val="Normal"/>
    <w:semiHidden/>
    <w:rsid w:val="00867C08"/>
    <w:pPr>
      <w:numPr>
        <w:numId w:val="39"/>
      </w:numPr>
    </w:pPr>
  </w:style>
  <w:style w:type="paragraph" w:styleId="MessageHeader">
    <w:name w:val="Message Header"/>
    <w:basedOn w:val="Normal"/>
    <w:semiHidden/>
    <w:rsid w:val="00867C08"/>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rPr>
  </w:style>
  <w:style w:type="paragraph" w:styleId="NormalWeb">
    <w:name w:val="Normal (Web)"/>
    <w:basedOn w:val="Normal"/>
    <w:uiPriority w:val="99"/>
    <w:semiHidden/>
    <w:rsid w:val="00867C08"/>
    <w:rPr>
      <w:rFonts w:cs="Times New Roman"/>
      <w:sz w:val="24"/>
    </w:rPr>
  </w:style>
  <w:style w:type="paragraph" w:styleId="NormalIndent">
    <w:name w:val="Normal Indent"/>
    <w:basedOn w:val="Normal"/>
    <w:semiHidden/>
    <w:rsid w:val="00867C08"/>
    <w:pPr>
      <w:ind w:left="720"/>
    </w:pPr>
  </w:style>
  <w:style w:type="paragraph" w:styleId="NoteHeading">
    <w:name w:val="Note Heading"/>
    <w:basedOn w:val="Normal"/>
    <w:next w:val="Normal"/>
    <w:semiHidden/>
    <w:rsid w:val="00867C08"/>
  </w:style>
  <w:style w:type="paragraph" w:styleId="Salutation">
    <w:name w:val="Salutation"/>
    <w:basedOn w:val="Normal"/>
    <w:next w:val="Normal"/>
    <w:semiHidden/>
    <w:rsid w:val="00867C08"/>
  </w:style>
  <w:style w:type="paragraph" w:styleId="Signature">
    <w:name w:val="Signature"/>
    <w:basedOn w:val="Normal"/>
    <w:semiHidden/>
    <w:rsid w:val="00867C08"/>
    <w:pPr>
      <w:ind w:left="4252"/>
    </w:pPr>
  </w:style>
  <w:style w:type="character" w:styleId="Strong">
    <w:name w:val="Strong"/>
    <w:qFormat/>
    <w:rsid w:val="00867C08"/>
    <w:rPr>
      <w:b/>
      <w:bCs/>
    </w:rPr>
  </w:style>
  <w:style w:type="table" w:styleId="Table3Deffects1">
    <w:name w:val="Table 3D effects 1"/>
    <w:basedOn w:val="TableNormal"/>
    <w:semiHidden/>
    <w:rsid w:val="00867C08"/>
    <w:pPr>
      <w:overflowPunct w:val="0"/>
      <w:autoSpaceDE w:val="0"/>
      <w:autoSpaceDN w:val="0"/>
      <w:bidi/>
      <w:adjustRightInd w:val="0"/>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867C08"/>
    <w:pPr>
      <w:overflowPunct w:val="0"/>
      <w:autoSpaceDE w:val="0"/>
      <w:autoSpaceDN w:val="0"/>
      <w:bidi/>
      <w:adjustRightInd w:val="0"/>
      <w:jc w:val="both"/>
      <w:textAlignment w:val="baseline"/>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867C08"/>
    <w:pPr>
      <w:overflowPunct w:val="0"/>
      <w:autoSpaceDE w:val="0"/>
      <w:autoSpaceDN w:val="0"/>
      <w:bidi/>
      <w:adjustRightInd w:val="0"/>
      <w:jc w:val="both"/>
      <w:textAlignment w:val="baseline"/>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867C08"/>
    <w:pPr>
      <w:overflowPunct w:val="0"/>
      <w:autoSpaceDE w:val="0"/>
      <w:autoSpaceDN w:val="0"/>
      <w:bidi/>
      <w:adjustRightInd w:val="0"/>
      <w:jc w:val="both"/>
      <w:textAlignment w:val="baseline"/>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867C08"/>
    <w:pPr>
      <w:overflowPunct w:val="0"/>
      <w:autoSpaceDE w:val="0"/>
      <w:autoSpaceDN w:val="0"/>
      <w:bidi/>
      <w:adjustRightInd w:val="0"/>
      <w:jc w:val="both"/>
      <w:textAlignment w:val="baseline"/>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867C08"/>
    <w:pPr>
      <w:overflowPunct w:val="0"/>
      <w:autoSpaceDE w:val="0"/>
      <w:autoSpaceDN w:val="0"/>
      <w:bidi/>
      <w:adjustRightInd w:val="0"/>
      <w:jc w:val="both"/>
      <w:textAlignment w:val="baseline"/>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867C08"/>
    <w:pPr>
      <w:overflowPunct w:val="0"/>
      <w:autoSpaceDE w:val="0"/>
      <w:autoSpaceDN w:val="0"/>
      <w:bidi/>
      <w:adjustRightInd w:val="0"/>
      <w:jc w:val="both"/>
      <w:textAlignment w:val="baseline"/>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867C08"/>
    <w:pPr>
      <w:overflowPunct w:val="0"/>
      <w:autoSpaceDE w:val="0"/>
      <w:autoSpaceDN w:val="0"/>
      <w:bidi/>
      <w:adjustRightInd w:val="0"/>
      <w:jc w:val="both"/>
      <w:textAlignment w:val="baseline"/>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867C08"/>
    <w:pPr>
      <w:overflowPunct w:val="0"/>
      <w:autoSpaceDE w:val="0"/>
      <w:autoSpaceDN w:val="0"/>
      <w:bidi/>
      <w:adjustRightInd w:val="0"/>
      <w:jc w:val="both"/>
      <w:textAlignment w:val="baseline"/>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867C08"/>
    <w:pPr>
      <w:overflowPunct w:val="0"/>
      <w:autoSpaceDE w:val="0"/>
      <w:autoSpaceDN w:val="0"/>
      <w:bidi/>
      <w:adjustRightInd w:val="0"/>
      <w:jc w:val="both"/>
      <w:textAlignment w:val="baseline"/>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867C08"/>
    <w:pPr>
      <w:overflowPunct w:val="0"/>
      <w:autoSpaceDE w:val="0"/>
      <w:autoSpaceDN w:val="0"/>
      <w:bidi/>
      <w:adjustRightInd w:val="0"/>
      <w:jc w:val="both"/>
      <w:textAlignment w:val="baseline"/>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867C08"/>
    <w:pPr>
      <w:overflowPunct w:val="0"/>
      <w:autoSpaceDE w:val="0"/>
      <w:autoSpaceDN w:val="0"/>
      <w:bidi/>
      <w:adjustRightInd w:val="0"/>
      <w:jc w:val="both"/>
      <w:textAlignment w:val="baseline"/>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867C08"/>
    <w:pPr>
      <w:overflowPunct w:val="0"/>
      <w:autoSpaceDE w:val="0"/>
      <w:autoSpaceDN w:val="0"/>
      <w:bidi/>
      <w:adjustRightInd w:val="0"/>
      <w:jc w:val="both"/>
      <w:textAlignment w:val="baseline"/>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867C08"/>
    <w:pPr>
      <w:overflowPunct w:val="0"/>
      <w:autoSpaceDE w:val="0"/>
      <w:autoSpaceDN w:val="0"/>
      <w:bidi/>
      <w:adjustRightInd w:val="0"/>
      <w:jc w:val="both"/>
      <w:textAlignment w:val="baseline"/>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867C08"/>
    <w:pPr>
      <w:overflowPunct w:val="0"/>
      <w:autoSpaceDE w:val="0"/>
      <w:autoSpaceDN w:val="0"/>
      <w:bidi/>
      <w:adjustRightInd w:val="0"/>
      <w:jc w:val="both"/>
      <w:textAlignment w:val="baseline"/>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867C08"/>
    <w:pPr>
      <w:overflowPunct w:val="0"/>
      <w:autoSpaceDE w:val="0"/>
      <w:autoSpaceDN w:val="0"/>
      <w:bidi/>
      <w:adjustRightInd w:val="0"/>
      <w:jc w:val="both"/>
      <w:textAlignment w:val="baseline"/>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867C08"/>
    <w:pPr>
      <w:overflowPunct w:val="0"/>
      <w:autoSpaceDE w:val="0"/>
      <w:autoSpaceDN w:val="0"/>
      <w:bidi/>
      <w:adjustRightInd w:val="0"/>
      <w:jc w:val="both"/>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semiHidden/>
    <w:rsid w:val="00867C08"/>
    <w:pPr>
      <w:overflowPunct w:val="0"/>
      <w:autoSpaceDE w:val="0"/>
      <w:autoSpaceDN w:val="0"/>
      <w:bidi/>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867C08"/>
    <w:pPr>
      <w:overflowPunct w:val="0"/>
      <w:autoSpaceDE w:val="0"/>
      <w:autoSpaceDN w:val="0"/>
      <w:bidi/>
      <w:adjustRightInd w:val="0"/>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867C08"/>
    <w:pPr>
      <w:overflowPunct w:val="0"/>
      <w:autoSpaceDE w:val="0"/>
      <w:autoSpaceDN w:val="0"/>
      <w:bidi/>
      <w:adjustRightInd w:val="0"/>
      <w:jc w:val="both"/>
      <w:textAlignment w:val="baseline"/>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867C08"/>
    <w:pPr>
      <w:overflowPunct w:val="0"/>
      <w:autoSpaceDE w:val="0"/>
      <w:autoSpaceDN w:val="0"/>
      <w:bidi/>
      <w:adjustRightInd w:val="0"/>
      <w:jc w:val="both"/>
      <w:textAlignment w:val="baseline"/>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867C08"/>
    <w:pPr>
      <w:overflowPunct w:val="0"/>
      <w:autoSpaceDE w:val="0"/>
      <w:autoSpaceDN w:val="0"/>
      <w:bidi/>
      <w:adjustRightInd w:val="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867C08"/>
    <w:pPr>
      <w:overflowPunct w:val="0"/>
      <w:autoSpaceDE w:val="0"/>
      <w:autoSpaceDN w:val="0"/>
      <w:bidi/>
      <w:adjustRightInd w:val="0"/>
      <w:jc w:val="both"/>
      <w:textAlignment w:val="baseline"/>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867C08"/>
    <w:pPr>
      <w:overflowPunct w:val="0"/>
      <w:autoSpaceDE w:val="0"/>
      <w:autoSpaceDN w:val="0"/>
      <w:bidi/>
      <w:adjustRightInd w:val="0"/>
      <w:jc w:val="both"/>
      <w:textAlignment w:val="baseline"/>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867C08"/>
    <w:pPr>
      <w:overflowPunct w:val="0"/>
      <w:autoSpaceDE w:val="0"/>
      <w:autoSpaceDN w:val="0"/>
      <w:bidi/>
      <w:adjustRightInd w:val="0"/>
      <w:jc w:val="both"/>
      <w:textAlignment w:val="baseline"/>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867C08"/>
    <w:pPr>
      <w:overflowPunct w:val="0"/>
      <w:autoSpaceDE w:val="0"/>
      <w:autoSpaceDN w:val="0"/>
      <w:bidi/>
      <w:adjustRightInd w:val="0"/>
      <w:jc w:val="both"/>
      <w:textAlignment w:val="baseline"/>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867C08"/>
    <w:pPr>
      <w:overflowPunct w:val="0"/>
      <w:autoSpaceDE w:val="0"/>
      <w:autoSpaceDN w:val="0"/>
      <w:bidi/>
      <w:adjustRightInd w:val="0"/>
      <w:jc w:val="both"/>
      <w:textAlignment w:val="baseline"/>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867C08"/>
    <w:pPr>
      <w:overflowPunct w:val="0"/>
      <w:autoSpaceDE w:val="0"/>
      <w:autoSpaceDN w:val="0"/>
      <w:bidi/>
      <w:adjustRightInd w:val="0"/>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867C08"/>
    <w:pPr>
      <w:overflowPunct w:val="0"/>
      <w:autoSpaceDE w:val="0"/>
      <w:autoSpaceDN w:val="0"/>
      <w:bidi/>
      <w:adjustRightInd w:val="0"/>
      <w:jc w:val="both"/>
      <w:textAlignment w:val="baseline"/>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867C08"/>
    <w:pPr>
      <w:overflowPunct w:val="0"/>
      <w:autoSpaceDE w:val="0"/>
      <w:autoSpaceDN w:val="0"/>
      <w:bidi/>
      <w:adjustRightInd w:val="0"/>
      <w:jc w:val="both"/>
      <w:textAlignment w:val="baseline"/>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867C08"/>
    <w:pPr>
      <w:overflowPunct w:val="0"/>
      <w:autoSpaceDE w:val="0"/>
      <w:autoSpaceDN w:val="0"/>
      <w:bidi/>
      <w:adjustRightInd w:val="0"/>
      <w:jc w:val="both"/>
      <w:textAlignment w:val="baseline"/>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867C08"/>
    <w:pPr>
      <w:overflowPunct w:val="0"/>
      <w:autoSpaceDE w:val="0"/>
      <w:autoSpaceDN w:val="0"/>
      <w:bidi/>
      <w:adjustRightInd w:val="0"/>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867C08"/>
    <w:pPr>
      <w:overflowPunct w:val="0"/>
      <w:autoSpaceDE w:val="0"/>
      <w:autoSpaceDN w:val="0"/>
      <w:bidi/>
      <w:adjustRightInd w:val="0"/>
      <w:jc w:val="both"/>
      <w:textAlignment w:val="baseline"/>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867C08"/>
    <w:pPr>
      <w:overflowPunct w:val="0"/>
      <w:autoSpaceDE w:val="0"/>
      <w:autoSpaceDN w:val="0"/>
      <w:bidi/>
      <w:adjustRightInd w:val="0"/>
      <w:jc w:val="both"/>
      <w:textAlignment w:val="baseline"/>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867C08"/>
    <w:pPr>
      <w:overflowPunct w:val="0"/>
      <w:autoSpaceDE w:val="0"/>
      <w:autoSpaceDN w:val="0"/>
      <w:bidi/>
      <w:adjustRightInd w:val="0"/>
      <w:jc w:val="both"/>
      <w:textAlignment w:val="baseline"/>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867C08"/>
    <w:pPr>
      <w:overflowPunct w:val="0"/>
      <w:autoSpaceDE w:val="0"/>
      <w:autoSpaceDN w:val="0"/>
      <w:bidi/>
      <w:adjustRightInd w:val="0"/>
      <w:jc w:val="both"/>
      <w:textAlignment w:val="baseline"/>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867C08"/>
    <w:pPr>
      <w:overflowPunct w:val="0"/>
      <w:autoSpaceDE w:val="0"/>
      <w:autoSpaceDN w:val="0"/>
      <w:bidi/>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867C08"/>
    <w:pPr>
      <w:overflowPunct w:val="0"/>
      <w:autoSpaceDE w:val="0"/>
      <w:autoSpaceDN w:val="0"/>
      <w:bidi/>
      <w:adjustRightInd w:val="0"/>
      <w:jc w:val="both"/>
      <w:textAlignment w:val="baseline"/>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867C08"/>
    <w:pPr>
      <w:overflowPunct w:val="0"/>
      <w:autoSpaceDE w:val="0"/>
      <w:autoSpaceDN w:val="0"/>
      <w:bidi/>
      <w:adjustRightInd w:val="0"/>
      <w:jc w:val="both"/>
      <w:textAlignment w:val="baseline"/>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867C08"/>
    <w:pPr>
      <w:overflowPunct w:val="0"/>
      <w:autoSpaceDE w:val="0"/>
      <w:autoSpaceDN w:val="0"/>
      <w:bidi/>
      <w:adjustRightInd w:val="0"/>
      <w:jc w:val="both"/>
      <w:textAlignment w:val="baseline"/>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Subtitle">
    <w:name w:val="Subtitle"/>
    <w:basedOn w:val="Normal"/>
    <w:qFormat/>
    <w:rsid w:val="00B7482D"/>
    <w:pPr>
      <w:spacing w:after="60"/>
      <w:jc w:val="center"/>
      <w:outlineLvl w:val="1"/>
    </w:pPr>
    <w:rPr>
      <w:rFonts w:ascii="Arial" w:hAnsi="Arial" w:cs="Arial"/>
      <w:sz w:val="24"/>
    </w:rPr>
  </w:style>
  <w:style w:type="paragraph" w:customStyle="1" w:styleId="CaptionC">
    <w:name w:val="Caption(C)"/>
    <w:basedOn w:val="Caption"/>
    <w:autoRedefine/>
    <w:rsid w:val="00A43E52"/>
  </w:style>
  <w:style w:type="paragraph" w:customStyle="1" w:styleId="CaptionFramed">
    <w:name w:val="Caption(Framed)"/>
    <w:basedOn w:val="CaptionC"/>
    <w:autoRedefine/>
    <w:rsid w:val="004040DD"/>
    <w:pPr>
      <w:framePr w:wrap="around" w:vAnchor="text" w:hAnchor="margin" w:xAlign="center" w:y="1"/>
    </w:pPr>
    <w:rPr>
      <w:lang w:bidi="fa-IR"/>
    </w:rPr>
  </w:style>
  <w:style w:type="paragraph" w:customStyle="1" w:styleId="ReferencesFarsi">
    <w:name w:val="ReferencesFarsi"/>
    <w:basedOn w:val="References"/>
    <w:rsid w:val="00F5690B"/>
  </w:style>
  <w:style w:type="paragraph" w:customStyle="1" w:styleId="FramedFigure">
    <w:name w:val="Framed Figure"/>
    <w:basedOn w:val="FigurePosition"/>
    <w:autoRedefine/>
    <w:rsid w:val="008764A8"/>
    <w:pPr>
      <w:framePr w:w="7052" w:wrap="around" w:hAnchor="page" w:x="2422" w:yAlign="top"/>
    </w:pPr>
  </w:style>
  <w:style w:type="paragraph" w:customStyle="1" w:styleId="ReferencesFarsi0">
    <w:name w:val="References(Farsi)"/>
    <w:basedOn w:val="ReferencesFarsi"/>
    <w:rsid w:val="0037408A"/>
    <w:pPr>
      <w:bidi/>
    </w:pPr>
  </w:style>
  <w:style w:type="paragraph" w:customStyle="1" w:styleId="AbstractEnglish">
    <w:name w:val="Abstract(English)"/>
    <w:basedOn w:val="Abstract"/>
    <w:autoRedefine/>
    <w:rsid w:val="009D543E"/>
  </w:style>
  <w:style w:type="paragraph" w:customStyle="1" w:styleId="TitleEnglish">
    <w:name w:val="Title(English)"/>
    <w:basedOn w:val="Title"/>
    <w:autoRedefine/>
    <w:rsid w:val="0023447C"/>
    <w:pPr>
      <w:bidi w:val="0"/>
    </w:pPr>
  </w:style>
  <w:style w:type="paragraph" w:customStyle="1" w:styleId="AuthorsEnglish">
    <w:name w:val="Authors( English)"/>
    <w:basedOn w:val="Authors"/>
    <w:next w:val="AbstractEnglish"/>
    <w:autoRedefine/>
    <w:rsid w:val="0023447C"/>
    <w:pPr>
      <w:framePr w:wrap="auto" w:vAnchor="margin" w:xAlign="left" w:yAlign="inline"/>
      <w:bidi w:val="0"/>
    </w:pPr>
  </w:style>
  <w:style w:type="paragraph" w:customStyle="1" w:styleId="AffiliationsEnglish">
    <w:name w:val="Affiliations(English)"/>
    <w:basedOn w:val="Affiliations"/>
    <w:autoRedefine/>
    <w:rsid w:val="0023447C"/>
    <w:pPr>
      <w:framePr w:wrap="auto" w:vAnchor="margin" w:xAlign="left" w:yAlign="inline"/>
      <w:bidi w:val="0"/>
    </w:pPr>
  </w:style>
  <w:style w:type="paragraph" w:customStyle="1" w:styleId="AuthorsEnglisht">
    <w:name w:val="Authors( English)t"/>
    <w:basedOn w:val="AuthorsEnglish"/>
    <w:rsid w:val="0023447C"/>
    <w:rPr>
      <w:szCs w:val="20"/>
    </w:rPr>
  </w:style>
  <w:style w:type="paragraph" w:styleId="BalloonText">
    <w:name w:val="Balloon Text"/>
    <w:basedOn w:val="Normal"/>
    <w:link w:val="BalloonTextChar"/>
    <w:rsid w:val="00D14067"/>
    <w:rPr>
      <w:rFonts w:ascii="Tahoma" w:hAnsi="Tahoma" w:cs="Tahoma"/>
      <w:sz w:val="16"/>
      <w:szCs w:val="16"/>
    </w:rPr>
  </w:style>
  <w:style w:type="character" w:customStyle="1" w:styleId="BalloonTextChar">
    <w:name w:val="Balloon Text Char"/>
    <w:basedOn w:val="DefaultParagraphFont"/>
    <w:link w:val="BalloonText"/>
    <w:rsid w:val="00D14067"/>
    <w:rPr>
      <w:rFonts w:ascii="Tahoma" w:hAnsi="Tahoma" w:cs="Tahoma"/>
      <w:sz w:val="16"/>
      <w:szCs w:val="16"/>
    </w:rPr>
  </w:style>
  <w:style w:type="paragraph" w:customStyle="1" w:styleId="Author">
    <w:name w:val="Author"/>
    <w:basedOn w:val="Authors"/>
    <w:link w:val="AuthorChar"/>
    <w:autoRedefine/>
    <w:qFormat/>
    <w:rsid w:val="009430C8"/>
    <w:pPr>
      <w:framePr w:wrap="auto" w:vAnchor="margin" w:xAlign="left" w:yAlign="inline"/>
    </w:pPr>
  </w:style>
  <w:style w:type="paragraph" w:customStyle="1" w:styleId="abstract0">
    <w:name w:val="abstract"/>
    <w:basedOn w:val="Abstract"/>
    <w:link w:val="abstractChar0"/>
    <w:autoRedefine/>
    <w:qFormat/>
    <w:rsid w:val="00D66C6A"/>
  </w:style>
  <w:style w:type="character" w:customStyle="1" w:styleId="AuthorsChar">
    <w:name w:val="Authors Char"/>
    <w:basedOn w:val="DefaultParagraphFont"/>
    <w:link w:val="Authors"/>
    <w:rsid w:val="009430C8"/>
    <w:rPr>
      <w:rFonts w:cs="B Nazanin"/>
      <w:szCs w:val="24"/>
      <w:lang w:bidi="fa-IR"/>
    </w:rPr>
  </w:style>
  <w:style w:type="character" w:customStyle="1" w:styleId="AuthorChar">
    <w:name w:val="Author Char"/>
    <w:basedOn w:val="AuthorsChar"/>
    <w:link w:val="Author"/>
    <w:rsid w:val="009430C8"/>
    <w:rPr>
      <w:rFonts w:cs="B Nazanin"/>
      <w:szCs w:val="24"/>
      <w:lang w:bidi="fa-IR"/>
    </w:rPr>
  </w:style>
  <w:style w:type="paragraph" w:customStyle="1" w:styleId="equation0">
    <w:name w:val="equation"/>
    <w:basedOn w:val="Equation"/>
    <w:link w:val="equationChar0"/>
    <w:autoRedefine/>
    <w:qFormat/>
    <w:rsid w:val="00503D18"/>
    <w:pPr>
      <w:tabs>
        <w:tab w:val="clear" w:pos="4309"/>
        <w:tab w:val="clear" w:pos="4649"/>
        <w:tab w:val="right" w:pos="4876"/>
      </w:tabs>
      <w:spacing w:after="60" w:afterAutospacing="0"/>
      <w:ind w:firstLine="0"/>
      <w:jc w:val="center"/>
    </w:pPr>
  </w:style>
  <w:style w:type="character" w:customStyle="1" w:styleId="AbstractChar">
    <w:name w:val="Abstract Char"/>
    <w:basedOn w:val="DefaultParagraphFont"/>
    <w:link w:val="Abstract"/>
    <w:rsid w:val="009430C8"/>
    <w:rPr>
      <w:rFonts w:cs="B Nazanin"/>
      <w:bCs/>
      <w:i/>
      <w:sz w:val="18"/>
      <w:lang w:bidi="fa-IR"/>
    </w:rPr>
  </w:style>
  <w:style w:type="character" w:customStyle="1" w:styleId="abstractChar0">
    <w:name w:val="abstract Char"/>
    <w:basedOn w:val="AbstractChar"/>
    <w:link w:val="abstract0"/>
    <w:rsid w:val="00D66C6A"/>
    <w:rPr>
      <w:rFonts w:cs="B Nazanin"/>
      <w:bCs/>
      <w:i/>
      <w:sz w:val="18"/>
      <w:lang w:bidi="fa-IR"/>
    </w:rPr>
  </w:style>
  <w:style w:type="character" w:styleId="PlaceholderText">
    <w:name w:val="Placeholder Text"/>
    <w:basedOn w:val="DefaultParagraphFont"/>
    <w:uiPriority w:val="99"/>
    <w:semiHidden/>
    <w:rsid w:val="006C3627"/>
    <w:rPr>
      <w:color w:val="808080"/>
    </w:rPr>
  </w:style>
  <w:style w:type="character" w:customStyle="1" w:styleId="EquationChar">
    <w:name w:val="Equation Char"/>
    <w:basedOn w:val="DefaultParagraphFont"/>
    <w:link w:val="Equation"/>
    <w:rsid w:val="006C3627"/>
    <w:rPr>
      <w:rFonts w:cs="B Nazanin"/>
      <w:szCs w:val="24"/>
      <w:lang w:bidi="fa-IR"/>
    </w:rPr>
  </w:style>
  <w:style w:type="character" w:customStyle="1" w:styleId="equationChar0">
    <w:name w:val="equation Char"/>
    <w:basedOn w:val="EquationChar"/>
    <w:link w:val="equation0"/>
    <w:rsid w:val="00503D18"/>
    <w:rPr>
      <w:rFonts w:cs="B Nazanin"/>
      <w:szCs w:val="24"/>
      <w:lang w:bidi="fa-IR"/>
    </w:rPr>
  </w:style>
  <w:style w:type="character" w:styleId="CommentReference">
    <w:name w:val="annotation reference"/>
    <w:basedOn w:val="DefaultParagraphFont"/>
    <w:semiHidden/>
    <w:unhideWhenUsed/>
    <w:rsid w:val="001A70CF"/>
    <w:rPr>
      <w:sz w:val="16"/>
      <w:szCs w:val="16"/>
    </w:rPr>
  </w:style>
  <w:style w:type="paragraph" w:styleId="CommentText">
    <w:name w:val="annotation text"/>
    <w:basedOn w:val="Normal"/>
    <w:link w:val="CommentTextChar"/>
    <w:semiHidden/>
    <w:unhideWhenUsed/>
    <w:rsid w:val="001A70CF"/>
    <w:rPr>
      <w:szCs w:val="20"/>
    </w:rPr>
  </w:style>
  <w:style w:type="character" w:customStyle="1" w:styleId="CommentTextChar">
    <w:name w:val="Comment Text Char"/>
    <w:basedOn w:val="DefaultParagraphFont"/>
    <w:link w:val="CommentText"/>
    <w:semiHidden/>
    <w:rsid w:val="001A70CF"/>
    <w:rPr>
      <w:rFonts w:cs="B Nazanin"/>
      <w:lang w:bidi="fa-IR"/>
    </w:rPr>
  </w:style>
  <w:style w:type="paragraph" w:styleId="CommentSubject">
    <w:name w:val="annotation subject"/>
    <w:basedOn w:val="CommentText"/>
    <w:next w:val="CommentText"/>
    <w:link w:val="CommentSubjectChar"/>
    <w:semiHidden/>
    <w:unhideWhenUsed/>
    <w:rsid w:val="001A70CF"/>
    <w:rPr>
      <w:b/>
      <w:bCs/>
    </w:rPr>
  </w:style>
  <w:style w:type="character" w:customStyle="1" w:styleId="CommentSubjectChar">
    <w:name w:val="Comment Subject Char"/>
    <w:basedOn w:val="CommentTextChar"/>
    <w:link w:val="CommentSubject"/>
    <w:semiHidden/>
    <w:rsid w:val="001A70CF"/>
    <w:rPr>
      <w:rFonts w:cs="B Nazanin"/>
      <w:b/>
      <w:bCs/>
      <w:lang w:bidi="fa-IR"/>
    </w:rPr>
  </w:style>
  <w:style w:type="character" w:customStyle="1" w:styleId="HeaderChar">
    <w:name w:val="Header Char"/>
    <w:basedOn w:val="DefaultParagraphFont"/>
    <w:link w:val="Header"/>
    <w:uiPriority w:val="99"/>
    <w:rsid w:val="003444CE"/>
    <w:rPr>
      <w:rFonts w:cs="B Nazanin"/>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15316">
      <w:bodyDiv w:val="1"/>
      <w:marLeft w:val="0"/>
      <w:marRight w:val="0"/>
      <w:marTop w:val="0"/>
      <w:marBottom w:val="0"/>
      <w:divBdr>
        <w:top w:val="none" w:sz="0" w:space="0" w:color="auto"/>
        <w:left w:val="none" w:sz="0" w:space="0" w:color="auto"/>
        <w:bottom w:val="none" w:sz="0" w:space="0" w:color="auto"/>
        <w:right w:val="none" w:sz="0" w:space="0" w:color="auto"/>
      </w:divBdr>
      <w:divsChild>
        <w:div w:id="621570869">
          <w:marLeft w:val="0"/>
          <w:marRight w:val="0"/>
          <w:marTop w:val="0"/>
          <w:marBottom w:val="0"/>
          <w:divBdr>
            <w:top w:val="none" w:sz="0" w:space="0" w:color="auto"/>
            <w:left w:val="none" w:sz="0" w:space="0" w:color="auto"/>
            <w:bottom w:val="none" w:sz="0" w:space="0" w:color="auto"/>
            <w:right w:val="none" w:sz="0" w:space="0" w:color="auto"/>
          </w:divBdr>
        </w:div>
        <w:div w:id="946472599">
          <w:marLeft w:val="0"/>
          <w:marRight w:val="0"/>
          <w:marTop w:val="0"/>
          <w:marBottom w:val="0"/>
          <w:divBdr>
            <w:top w:val="none" w:sz="0" w:space="0" w:color="auto"/>
            <w:left w:val="none" w:sz="0" w:space="0" w:color="auto"/>
            <w:bottom w:val="none" w:sz="0" w:space="0" w:color="auto"/>
            <w:right w:val="none" w:sz="0" w:space="0" w:color="auto"/>
          </w:divBdr>
        </w:div>
        <w:div w:id="1144665552">
          <w:marLeft w:val="0"/>
          <w:marRight w:val="0"/>
          <w:marTop w:val="0"/>
          <w:marBottom w:val="0"/>
          <w:divBdr>
            <w:top w:val="none" w:sz="0" w:space="0" w:color="auto"/>
            <w:left w:val="none" w:sz="0" w:space="0" w:color="auto"/>
            <w:bottom w:val="none" w:sz="0" w:space="0" w:color="auto"/>
            <w:right w:val="none" w:sz="0" w:space="0" w:color="auto"/>
          </w:divBdr>
        </w:div>
        <w:div w:id="1443723607">
          <w:marLeft w:val="0"/>
          <w:marRight w:val="0"/>
          <w:marTop w:val="0"/>
          <w:marBottom w:val="0"/>
          <w:divBdr>
            <w:top w:val="none" w:sz="0" w:space="0" w:color="auto"/>
            <w:left w:val="none" w:sz="0" w:space="0" w:color="auto"/>
            <w:bottom w:val="none" w:sz="0" w:space="0" w:color="auto"/>
            <w:right w:val="none" w:sz="0" w:space="0" w:color="auto"/>
          </w:divBdr>
        </w:div>
        <w:div w:id="1662269075">
          <w:marLeft w:val="0"/>
          <w:marRight w:val="0"/>
          <w:marTop w:val="0"/>
          <w:marBottom w:val="0"/>
          <w:divBdr>
            <w:top w:val="none" w:sz="0" w:space="0" w:color="auto"/>
            <w:left w:val="none" w:sz="0" w:space="0" w:color="auto"/>
            <w:bottom w:val="none" w:sz="0" w:space="0" w:color="auto"/>
            <w:right w:val="none" w:sz="0" w:space="0" w:color="auto"/>
          </w:divBdr>
        </w:div>
        <w:div w:id="1810004136">
          <w:marLeft w:val="0"/>
          <w:marRight w:val="0"/>
          <w:marTop w:val="0"/>
          <w:marBottom w:val="0"/>
          <w:divBdr>
            <w:top w:val="none" w:sz="0" w:space="0" w:color="auto"/>
            <w:left w:val="none" w:sz="0" w:space="0" w:color="auto"/>
            <w:bottom w:val="none" w:sz="0" w:space="0" w:color="auto"/>
            <w:right w:val="none" w:sz="0" w:space="0" w:color="auto"/>
          </w:divBdr>
        </w:div>
      </w:divsChild>
    </w:div>
    <w:div w:id="866912625">
      <w:bodyDiv w:val="1"/>
      <w:marLeft w:val="0"/>
      <w:marRight w:val="0"/>
      <w:marTop w:val="0"/>
      <w:marBottom w:val="0"/>
      <w:divBdr>
        <w:top w:val="none" w:sz="0" w:space="0" w:color="auto"/>
        <w:left w:val="none" w:sz="0" w:space="0" w:color="auto"/>
        <w:bottom w:val="none" w:sz="0" w:space="0" w:color="auto"/>
        <w:right w:val="none" w:sz="0" w:space="0" w:color="auto"/>
      </w:divBdr>
      <w:divsChild>
        <w:div w:id="751125113">
          <w:marLeft w:val="0"/>
          <w:marRight w:val="0"/>
          <w:marTop w:val="0"/>
          <w:marBottom w:val="0"/>
          <w:divBdr>
            <w:top w:val="none" w:sz="0" w:space="0" w:color="auto"/>
            <w:left w:val="none" w:sz="0" w:space="0" w:color="auto"/>
            <w:bottom w:val="none" w:sz="0" w:space="0" w:color="auto"/>
            <w:right w:val="none" w:sz="0" w:space="0" w:color="auto"/>
          </w:divBdr>
        </w:div>
        <w:div w:id="1216307572">
          <w:marLeft w:val="0"/>
          <w:marRight w:val="0"/>
          <w:marTop w:val="0"/>
          <w:marBottom w:val="0"/>
          <w:divBdr>
            <w:top w:val="none" w:sz="0" w:space="0" w:color="auto"/>
            <w:left w:val="none" w:sz="0" w:space="0" w:color="auto"/>
            <w:bottom w:val="none" w:sz="0" w:space="0" w:color="auto"/>
            <w:right w:val="none" w:sz="0" w:space="0" w:color="auto"/>
          </w:divBdr>
        </w:div>
      </w:divsChild>
    </w:div>
    <w:div w:id="1472015715">
      <w:bodyDiv w:val="1"/>
      <w:marLeft w:val="0"/>
      <w:marRight w:val="0"/>
      <w:marTop w:val="0"/>
      <w:marBottom w:val="0"/>
      <w:divBdr>
        <w:top w:val="none" w:sz="0" w:space="0" w:color="auto"/>
        <w:left w:val="none" w:sz="0" w:space="0" w:color="auto"/>
        <w:bottom w:val="none" w:sz="0" w:space="0" w:color="auto"/>
        <w:right w:val="none" w:sz="0" w:space="0" w:color="auto"/>
      </w:divBdr>
      <w:divsChild>
        <w:div w:id="91320131">
          <w:marLeft w:val="0"/>
          <w:marRight w:val="0"/>
          <w:marTop w:val="0"/>
          <w:marBottom w:val="0"/>
          <w:divBdr>
            <w:top w:val="none" w:sz="0" w:space="0" w:color="auto"/>
            <w:left w:val="none" w:sz="0" w:space="0" w:color="auto"/>
            <w:bottom w:val="none" w:sz="0" w:space="0" w:color="auto"/>
            <w:right w:val="none" w:sz="0" w:space="0" w:color="auto"/>
          </w:divBdr>
        </w:div>
        <w:div w:id="291904187">
          <w:marLeft w:val="0"/>
          <w:marRight w:val="0"/>
          <w:marTop w:val="0"/>
          <w:marBottom w:val="0"/>
          <w:divBdr>
            <w:top w:val="none" w:sz="0" w:space="0" w:color="auto"/>
            <w:left w:val="none" w:sz="0" w:space="0" w:color="auto"/>
            <w:bottom w:val="none" w:sz="0" w:space="0" w:color="auto"/>
            <w:right w:val="none" w:sz="0" w:space="0" w:color="auto"/>
          </w:divBdr>
        </w:div>
        <w:div w:id="388040613">
          <w:marLeft w:val="0"/>
          <w:marRight w:val="0"/>
          <w:marTop w:val="0"/>
          <w:marBottom w:val="0"/>
          <w:divBdr>
            <w:top w:val="none" w:sz="0" w:space="0" w:color="auto"/>
            <w:left w:val="none" w:sz="0" w:space="0" w:color="auto"/>
            <w:bottom w:val="none" w:sz="0" w:space="0" w:color="auto"/>
            <w:right w:val="none" w:sz="0" w:space="0" w:color="auto"/>
          </w:divBdr>
        </w:div>
        <w:div w:id="993140040">
          <w:marLeft w:val="0"/>
          <w:marRight w:val="0"/>
          <w:marTop w:val="0"/>
          <w:marBottom w:val="0"/>
          <w:divBdr>
            <w:top w:val="none" w:sz="0" w:space="0" w:color="auto"/>
            <w:left w:val="none" w:sz="0" w:space="0" w:color="auto"/>
            <w:bottom w:val="none" w:sz="0" w:space="0" w:color="auto"/>
            <w:right w:val="none" w:sz="0" w:space="0" w:color="auto"/>
          </w:divBdr>
        </w:div>
        <w:div w:id="1808008836">
          <w:marLeft w:val="0"/>
          <w:marRight w:val="0"/>
          <w:marTop w:val="0"/>
          <w:marBottom w:val="0"/>
          <w:divBdr>
            <w:top w:val="none" w:sz="0" w:space="0" w:color="auto"/>
            <w:left w:val="none" w:sz="0" w:space="0" w:color="auto"/>
            <w:bottom w:val="none" w:sz="0" w:space="0" w:color="auto"/>
            <w:right w:val="none" w:sz="0" w:space="0" w:color="auto"/>
          </w:divBdr>
        </w:div>
      </w:divsChild>
    </w:div>
    <w:div w:id="1566649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emf"/><Relationship Id="rId18"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CE98A3-0899-4B0F-8000-32D97A6578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3</Pages>
  <Words>1221</Words>
  <Characters>6961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Paper template</vt:lpstr>
    </vt:vector>
  </TitlesOfParts>
  <Company>ICEE2012</Company>
  <LinksUpToDate>false</LinksUpToDate>
  <CharactersWithSpaces>8166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انتخاب ویژگی هزینه‌آگاه و پایدار با کران پایین سودمندی بازنمونه‌گیری‌شده با روش CostStableEHOA</dc:title>
  <dc:subject>مقاله کنگره</dc:subject>
  <dc:creator>امیررضا غفاریان</dc:creator>
  <cp:keywords/>
  <dc:description/>
  <cp:lastModifiedBy>Amirhossein Maddah</cp:lastModifiedBy>
  <cp:revision>2</cp:revision>
  <cp:lastPrinted>2017-10-31T12:21:00Z</cp:lastPrinted>
  <dcterms:created xsi:type="dcterms:W3CDTF">2023-11-09T12:25:00Z</dcterms:created>
  <dcterms:modified xsi:type="dcterms:W3CDTF">2025-12-08T16:55:00Z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6db9681d-066a-4a71-bf89-d5d443260a23</vt:lpwstr>
  </property>
</Properties>
</file>