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651D" w14:textId="77777777" w:rsidR="008F216A" w:rsidRDefault="00F31E98">
      <w:pPr>
        <w:spacing w:after="120" w:line="259" w:lineRule="auto"/>
        <w:ind w:left="-62" w:right="-63" w:firstLine="0"/>
        <w:jc w:val="left"/>
      </w:pPr>
      <w:r>
        <w:rPr>
          <w:noProof/>
        </w:rPr>
        <w:drawing>
          <wp:inline distT="0" distB="0" distL="0" distR="0" wp14:anchorId="36783807" wp14:editId="3D0A3A7C">
            <wp:extent cx="6529272" cy="80299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6529272" cy="802995"/>
                    </a:xfrm>
                    <a:prstGeom prst="rect">
                      <a:avLst/>
                    </a:prstGeom>
                  </pic:spPr>
                </pic:pic>
              </a:graphicData>
            </a:graphic>
          </wp:inline>
        </w:drawing>
      </w:r>
    </w:p>
    <w:p w14:paraId="1159BF1D" w14:textId="77777777" w:rsidR="008F216A" w:rsidRDefault="00F31E98">
      <w:pPr>
        <w:spacing w:after="20" w:line="229" w:lineRule="auto"/>
        <w:ind w:left="10" w:hanging="10"/>
        <w:jc w:val="center"/>
      </w:pPr>
      <w:r>
        <w:rPr>
          <w:sz w:val="48"/>
        </w:rPr>
        <w:t>CostStableEHOA: Budget-Feasible and</w:t>
      </w:r>
    </w:p>
    <w:p w14:paraId="3B056A24" w14:textId="77777777" w:rsidR="008F216A" w:rsidRDefault="00F31E98">
      <w:pPr>
        <w:spacing w:after="40" w:line="229" w:lineRule="auto"/>
        <w:ind w:left="10" w:hanging="10"/>
        <w:jc w:val="center"/>
      </w:pPr>
      <w:r>
        <w:rPr>
          <w:sz w:val="48"/>
        </w:rPr>
        <w:t>Stability-Aware Feature Selection Using Resampled Lower-Confidence Utility</w:t>
      </w:r>
    </w:p>
    <w:p w14:paraId="59C5C02B" w14:textId="77777777" w:rsidR="008F216A" w:rsidRDefault="00F31E98">
      <w:pPr>
        <w:spacing w:after="0" w:line="259" w:lineRule="auto"/>
        <w:ind w:left="10" w:hanging="10"/>
        <w:jc w:val="center"/>
      </w:pPr>
      <w:r>
        <w:rPr>
          <w:sz w:val="22"/>
        </w:rPr>
        <w:t>Amirreza Ghaffarian</w:t>
      </w:r>
    </w:p>
    <w:p w14:paraId="126A0A57" w14:textId="77777777" w:rsidR="008F216A" w:rsidRDefault="00F31E98">
      <w:pPr>
        <w:spacing w:after="40" w:line="259" w:lineRule="auto"/>
        <w:ind w:left="10" w:hanging="10"/>
        <w:jc w:val="center"/>
      </w:pPr>
      <w:r>
        <w:rPr>
          <w:sz w:val="22"/>
        </w:rPr>
        <w:t>Graduate Student, Islamic Azad University</w:t>
      </w:r>
    </w:p>
    <w:p w14:paraId="091B617C" w14:textId="77777777" w:rsidR="008F216A" w:rsidRDefault="008F216A">
      <w:pPr>
        <w:sectPr w:rsidR="008F216A">
          <w:headerReference w:type="even" r:id="rId8"/>
          <w:headerReference w:type="default" r:id="rId9"/>
          <w:headerReference w:type="first" r:id="rId10"/>
          <w:pgSz w:w="11906" w:h="16838"/>
          <w:pgMar w:top="1209" w:right="874" w:bottom="1877" w:left="874" w:header="530" w:footer="720" w:gutter="0"/>
          <w:cols w:space="720"/>
        </w:sectPr>
      </w:pPr>
    </w:p>
    <w:p w14:paraId="7A777629" w14:textId="77777777" w:rsidR="008F216A" w:rsidRDefault="00F31E98">
      <w:pPr>
        <w:spacing w:after="125" w:line="220" w:lineRule="auto"/>
        <w:ind w:left="-15"/>
      </w:pPr>
      <w:r>
        <w:rPr>
          <w:i/>
          <w:sz w:val="18"/>
        </w:rPr>
        <w:t>Abstract</w:t>
      </w:r>
      <w:r>
        <w:rPr>
          <w:sz w:val="18"/>
        </w:rPr>
        <w:t xml:space="preserve">—Wrapper feature selection can produce accurate but costly and unstable subsets. This paper presents CostStableEHOA, a constrained extension of the Enhanced Hiking Optimization Algorithm (EHOA). Candidate masks that violate a hard acquisition budget are repaired by removing the active feature with the smallest stability-adjusted utility-to-cost ratio. Utility is the lower confidence bound (LCB) of mutual information estimated over training-only bootstrap resamples; the original EHOA fitness is unchanged. A </w:t>
      </w:r>
      <w:r>
        <w:rPr>
          <w:sz w:val="18"/>
        </w:rPr>
        <w:t>confirmatory nested evaluation compared EHOA with random, cheapest-first, mutualinformation, and stable-LCB repairs on ten public classification data sets. The experiment retained 300 complete runs and 300 masks, with no duplicate keys, missing values, failed runs, or budget violations. Across data-set aggregates, stable-LCB reduced selected-cost ratio from 0.4782 to 0.2775 and increased Nogueira stability from 0.1229 to 0.2554 relative to EHOA. Twosided Wilcoxon tests remained significant after within-metr</w:t>
      </w:r>
      <w:r>
        <w:rPr>
          <w:sz w:val="18"/>
        </w:rPr>
        <w:t>ic Holm correction (</w:t>
      </w:r>
      <w:r>
        <w:rPr>
          <w:rFonts w:ascii="Cambria" w:eastAsia="Cambria" w:hAnsi="Cambria" w:cs="Cambria"/>
          <w:i/>
          <w:sz w:val="18"/>
        </w:rPr>
        <w:t xml:space="preserve">p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0078 </w:t>
      </w:r>
      <w:r>
        <w:rPr>
          <w:sz w:val="18"/>
        </w:rPr>
        <w:t xml:space="preserve">for cost and </w:t>
      </w:r>
      <w:r>
        <w:rPr>
          <w:rFonts w:ascii="Cambria" w:eastAsia="Cambria" w:hAnsi="Cambria" w:cs="Cambria"/>
          <w:i/>
          <w:sz w:val="18"/>
        </w:rPr>
        <w:t xml:space="preserve">p </w:t>
      </w:r>
      <w:r>
        <w:rPr>
          <w:rFonts w:ascii="Cambria" w:eastAsia="Cambria" w:hAnsi="Cambria" w:cs="Cambria"/>
          <w:sz w:val="18"/>
        </w:rPr>
        <w:t>= 0</w:t>
      </w:r>
      <w:r>
        <w:rPr>
          <w:rFonts w:ascii="Cambria" w:eastAsia="Cambria" w:hAnsi="Cambria" w:cs="Cambria"/>
          <w:i/>
          <w:sz w:val="18"/>
        </w:rPr>
        <w:t>.</w:t>
      </w:r>
      <w:r>
        <w:rPr>
          <w:rFonts w:ascii="Cambria" w:eastAsia="Cambria" w:hAnsi="Cambria" w:cs="Cambria"/>
          <w:sz w:val="18"/>
        </w:rPr>
        <w:t xml:space="preserve">0156 </w:t>
      </w:r>
      <w:r>
        <w:rPr>
          <w:sz w:val="18"/>
        </w:rPr>
        <w:t>for stability). Balanced accuracy changed from 0.8301 to 0.8280 and was not significant (</w:t>
      </w:r>
      <w:r>
        <w:rPr>
          <w:rFonts w:ascii="Cambria" w:eastAsia="Cambria" w:hAnsi="Cambria" w:cs="Cambria"/>
          <w:i/>
          <w:sz w:val="18"/>
        </w:rPr>
        <w:t xml:space="preserve">p </w:t>
      </w:r>
      <w:r>
        <w:rPr>
          <w:rFonts w:ascii="Cambria" w:eastAsia="Cambria" w:hAnsi="Cambria" w:cs="Cambria"/>
          <w:sz w:val="18"/>
        </w:rPr>
        <w:t>= 1</w:t>
      </w:r>
      <w:r>
        <w:rPr>
          <w:rFonts w:ascii="Cambria" w:eastAsia="Cambria" w:hAnsi="Cambria" w:cs="Cambria"/>
          <w:i/>
          <w:sz w:val="18"/>
        </w:rPr>
        <w:t>.</w:t>
      </w:r>
      <w:r>
        <w:rPr>
          <w:rFonts w:ascii="Cambria" w:eastAsia="Cambria" w:hAnsi="Cambria" w:cs="Cambria"/>
          <w:sz w:val="18"/>
        </w:rPr>
        <w:t xml:space="preserve">0 </w:t>
      </w:r>
      <w:r>
        <w:rPr>
          <w:sz w:val="18"/>
        </w:rPr>
        <w:t>after correction). StableLCB was not significantly superior to simpler budget repairs. The evidence therefore supports a cost–stability trade-off, not universal predictive superiority.</w:t>
      </w:r>
    </w:p>
    <w:p w14:paraId="53FCF1DD" w14:textId="77777777" w:rsidR="008F216A" w:rsidRDefault="00F31E98">
      <w:pPr>
        <w:spacing w:after="518" w:line="220" w:lineRule="auto"/>
        <w:ind w:left="-15"/>
      </w:pPr>
      <w:r>
        <w:rPr>
          <w:i/>
          <w:sz w:val="18"/>
        </w:rPr>
        <w:t>Index Terms</w:t>
      </w:r>
      <w:r>
        <w:rPr>
          <w:sz w:val="18"/>
        </w:rPr>
        <w:t>—feature selection, acquisition cost, stability, mutual information, lower confidence bound, EHOA, nested validation</w:t>
      </w:r>
    </w:p>
    <w:p w14:paraId="29D78593" w14:textId="77777777" w:rsidR="008F216A" w:rsidRDefault="00F31E98">
      <w:pPr>
        <w:pStyle w:val="Heading1"/>
        <w:spacing w:after="138"/>
      </w:pPr>
      <w:r>
        <w:rPr>
          <w:sz w:val="20"/>
        </w:rPr>
        <w:t>I. I</w:t>
      </w:r>
      <w:r>
        <w:t>NTRODUCTION</w:t>
      </w:r>
    </w:p>
    <w:p w14:paraId="4C2C2D85" w14:textId="77777777" w:rsidR="008F216A" w:rsidRDefault="00F31E98">
      <w:pPr>
        <w:ind w:left="-15" w:right="-15"/>
      </w:pPr>
      <w:r>
        <w:t xml:space="preserve">Feature selection reduces dimensionality, measurement burden, and model complexity. Wrapper methods directly optimize downstream predictive behavior but can be computationally expensive and sensitive to small changes in the training sample. This sensitivity is important whenever selected variables are interpreted or repeatedly acquired. Nogueira </w:t>
      </w:r>
      <w:r>
        <w:rPr>
          <w:i/>
        </w:rPr>
        <w:t xml:space="preserve">et al. </w:t>
      </w:r>
      <w:r>
        <w:t>formalized a chance-corrected stability measure suitable for selectors returning subsets of varying size [2].</w:t>
      </w:r>
    </w:p>
    <w:p w14:paraId="55DB2E58" w14:textId="77777777" w:rsidR="008F216A" w:rsidRDefault="00F31E98">
      <w:pPr>
        <w:spacing w:after="68"/>
        <w:ind w:left="-15" w:right="-15"/>
      </w:pPr>
      <w:r>
        <w:t xml:space="preserve">EHOA combines chaotic initialization, dynamic sweep control, velocity-inspired movement, and binary transfer for medical feature selection [1]. Its objective balances cross-validated error and subset size, but it does not impose a hard featureacquisition budget or explicitly prefer evidence that is reproducible under resampling. Cost-constrained feature </w:t>
      </w:r>
      <w:r>
        <w:t>selection has been studied independently [3]; therefore neither cost nor repair is claimed as novel in isolation.</w:t>
      </w:r>
    </w:p>
    <w:p w14:paraId="548DB671" w14:textId="77777777" w:rsidR="008F216A" w:rsidRDefault="00F31E98">
      <w:pPr>
        <w:spacing w:after="928"/>
        <w:ind w:left="-15" w:right="-15"/>
      </w:pPr>
      <w:r>
        <w:t>This work makes three scoped contributions: (1) a hardbudget repair integrated into every EHOA candidate evaluation; (2) a stability-adjusted utility defined as a resampled mutual-information LCB divided by feature cost; and (3) a paired confirmatory comparison against three simpler repairs under a common budget and unchanged wrapper fitness. The claim is incremental and mechanism-specific.</w:t>
      </w:r>
    </w:p>
    <w:p w14:paraId="5B9CEA09" w14:textId="77777777" w:rsidR="008F216A" w:rsidRDefault="00F31E98">
      <w:pPr>
        <w:pStyle w:val="Heading1"/>
        <w:spacing w:after="502"/>
      </w:pPr>
      <w:r>
        <w:rPr>
          <w:sz w:val="20"/>
        </w:rPr>
        <w:t>II. R</w:t>
      </w:r>
      <w:r>
        <w:t xml:space="preserve">ELATED </w:t>
      </w:r>
      <w:r>
        <w:rPr>
          <w:sz w:val="20"/>
        </w:rPr>
        <w:t>W</w:t>
      </w:r>
      <w:r>
        <w:t>ORK</w:t>
      </w:r>
    </w:p>
    <w:p w14:paraId="2DCB4512" w14:textId="77777777" w:rsidR="008F216A" w:rsidRDefault="00F31E98">
      <w:pPr>
        <w:spacing w:after="68"/>
        <w:ind w:left="-15" w:right="-15"/>
      </w:pPr>
      <w:r>
        <w:t>Metaheuristic feature selection searches a combinatorial mask space while using a predictive model as a subset evaluator. Recent methods employ multiple strategies, adaptive control, and relevance guidance; these are established concepts rather than isolated novelties.</w:t>
      </w:r>
    </w:p>
    <w:p w14:paraId="6A25894C" w14:textId="77777777" w:rsidR="008F216A" w:rsidRDefault="00F31E98">
      <w:pPr>
        <w:spacing w:after="95"/>
        <w:ind w:left="-15" w:right="-15"/>
      </w:pPr>
      <w:r>
        <w:t>Cost-sensitive selection introduces nonuniform acquisition costs, often through constrained optimization or a penalty term [3]. A penalty, however, may still return an infeasible mask and requires tuning a trade-off coefficient. A repair operator enforces feasibility exactly. The present method differs from cheapest-first or single-sample relevance repair by discounting relevance estimates that vary across resamples.</w:t>
      </w:r>
    </w:p>
    <w:p w14:paraId="3D110692" w14:textId="77777777" w:rsidR="008F216A" w:rsidRDefault="00F31E98">
      <w:pPr>
        <w:ind w:left="-15" w:right="-15"/>
      </w:pPr>
      <w:r>
        <w:t>Feature-selection stability is distinct from accuracy. Nogueira’s estimator corrects overlap for chance and accommodates different subset cardinalities [2]. We use it only as an external outcome; it is not inserted into EHOA’s fitness, avoiding a change to the baseline objective.</w:t>
      </w:r>
    </w:p>
    <w:p w14:paraId="5135E056" w14:textId="77777777" w:rsidR="008F216A" w:rsidRDefault="00F31E98">
      <w:pPr>
        <w:spacing w:after="29" w:line="220" w:lineRule="auto"/>
        <w:ind w:left="-15" w:firstLine="0"/>
      </w:pPr>
      <w:r>
        <w:rPr>
          <w:sz w:val="18"/>
        </w:rPr>
        <w:t>Stable-LCB repair</w:t>
      </w:r>
    </w:p>
    <w:p w14:paraId="1AEC2028" w14:textId="77777777" w:rsidR="008F216A" w:rsidRDefault="00F31E98">
      <w:pPr>
        <w:spacing w:after="36" w:line="254" w:lineRule="auto"/>
        <w:ind w:left="-5" w:right="1433" w:hanging="10"/>
        <w:jc w:val="left"/>
      </w:pPr>
      <w:r>
        <w:rPr>
          <w:i/>
          <w:sz w:val="18"/>
        </w:rPr>
        <w:t xml:space="preserve">Input: </w:t>
      </w:r>
      <w:r>
        <w:rPr>
          <w:sz w:val="18"/>
        </w:rPr>
        <w:t xml:space="preserve">mask </w:t>
      </w:r>
      <w:r>
        <w:rPr>
          <w:rFonts w:ascii="Cambria" w:eastAsia="Cambria" w:hAnsi="Cambria" w:cs="Cambria"/>
          <w:b/>
          <w:sz w:val="18"/>
        </w:rPr>
        <w:t>z</w:t>
      </w:r>
      <w:r>
        <w:rPr>
          <w:sz w:val="18"/>
        </w:rPr>
        <w:t xml:space="preserve">, costs </w:t>
      </w:r>
      <w:r>
        <w:rPr>
          <w:rFonts w:ascii="Cambria" w:eastAsia="Cambria" w:hAnsi="Cambria" w:cs="Cambria"/>
          <w:b/>
          <w:sz w:val="18"/>
        </w:rPr>
        <w:t>c</w:t>
      </w:r>
      <w:r>
        <w:rPr>
          <w:sz w:val="18"/>
        </w:rPr>
        <w:t xml:space="preserve">, budget </w:t>
      </w:r>
      <w:r>
        <w:rPr>
          <w:rFonts w:ascii="Cambria" w:eastAsia="Cambria" w:hAnsi="Cambria" w:cs="Cambria"/>
          <w:i/>
          <w:sz w:val="18"/>
        </w:rPr>
        <w:t>B</w:t>
      </w:r>
      <w:r>
        <w:rPr>
          <w:sz w:val="18"/>
        </w:rPr>
        <w:t xml:space="preserve">, utility </w:t>
      </w:r>
      <w:r>
        <w:rPr>
          <w:rFonts w:ascii="Cambria" w:eastAsia="Cambria" w:hAnsi="Cambria" w:cs="Cambria"/>
          <w:b/>
          <w:sz w:val="18"/>
        </w:rPr>
        <w:t xml:space="preserve">u </w:t>
      </w:r>
      <w:r>
        <w:rPr>
          <w:sz w:val="18"/>
        </w:rPr>
        <w:t xml:space="preserve">while </w:t>
      </w:r>
      <w:r>
        <w:rPr>
          <w:rFonts w:ascii="Cambria" w:eastAsia="Cambria" w:hAnsi="Cambria" w:cs="Cambria"/>
          <w:b/>
          <w:sz w:val="18"/>
        </w:rPr>
        <w:t>c</w:t>
      </w:r>
      <w:r>
        <w:rPr>
          <w:rFonts w:ascii="Cambria" w:eastAsia="Cambria" w:hAnsi="Cambria" w:cs="Cambria"/>
          <w:i/>
          <w:sz w:val="18"/>
          <w:vertAlign w:val="superscript"/>
        </w:rPr>
        <w:t>T</w:t>
      </w:r>
      <w:r>
        <w:rPr>
          <w:rFonts w:ascii="Cambria" w:eastAsia="Cambria" w:hAnsi="Cambria" w:cs="Cambria"/>
          <w:b/>
          <w:sz w:val="18"/>
        </w:rPr>
        <w:t xml:space="preserve">z </w:t>
      </w:r>
      <w:r>
        <w:rPr>
          <w:rFonts w:ascii="Cambria" w:eastAsia="Cambria" w:hAnsi="Cambria" w:cs="Cambria"/>
          <w:i/>
          <w:sz w:val="18"/>
        </w:rPr>
        <w:t xml:space="preserve">&gt; B </w:t>
      </w:r>
      <w:r>
        <w:rPr>
          <w:sz w:val="18"/>
        </w:rPr>
        <w:t>do</w:t>
      </w:r>
    </w:p>
    <w:p w14:paraId="6F9A5AFF" w14:textId="77777777" w:rsidR="008F216A" w:rsidRDefault="00F31E98">
      <w:pPr>
        <w:spacing w:after="13" w:line="259" w:lineRule="auto"/>
        <w:ind w:left="179" w:firstLine="0"/>
        <w:jc w:val="left"/>
      </w:pPr>
      <w:r>
        <w:rPr>
          <w:rFonts w:ascii="Cambria" w:eastAsia="Cambria" w:hAnsi="Cambria" w:cs="Cambria"/>
          <w:i/>
          <w:sz w:val="18"/>
        </w:rPr>
        <w:lastRenderedPageBreak/>
        <w:t xml:space="preserve">j </w:t>
      </w:r>
      <w:r>
        <w:rPr>
          <w:rFonts w:ascii="Cambria" w:eastAsia="Cambria" w:hAnsi="Cambria" w:cs="Cambria"/>
          <w:sz w:val="18"/>
        </w:rPr>
        <w:t>← argmin</w:t>
      </w:r>
      <w:r>
        <w:rPr>
          <w:rFonts w:ascii="Cambria" w:eastAsia="Cambria" w:hAnsi="Cambria" w:cs="Cambria"/>
          <w:i/>
          <w:sz w:val="18"/>
          <w:vertAlign w:val="subscript"/>
        </w:rPr>
        <w:t>k</w:t>
      </w:r>
      <w:r>
        <w:rPr>
          <w:rFonts w:ascii="Cambria" w:eastAsia="Cambria" w:hAnsi="Cambria" w:cs="Cambria"/>
          <w:sz w:val="18"/>
          <w:vertAlign w:val="subscript"/>
        </w:rPr>
        <w:t>:</w:t>
      </w:r>
      <w:r>
        <w:rPr>
          <w:rFonts w:ascii="Cambria" w:eastAsia="Cambria" w:hAnsi="Cambria" w:cs="Cambria"/>
          <w:i/>
          <w:sz w:val="18"/>
          <w:vertAlign w:val="subscript"/>
        </w:rPr>
        <w:t>z</w:t>
      </w:r>
      <w:r>
        <w:rPr>
          <w:rFonts w:ascii="Cambria" w:eastAsia="Cambria" w:hAnsi="Cambria" w:cs="Cambria"/>
          <w:i/>
          <w:sz w:val="15"/>
          <w:vertAlign w:val="subscript"/>
        </w:rPr>
        <w:t>k</w:t>
      </w:r>
      <w:r>
        <w:rPr>
          <w:rFonts w:ascii="Cambria" w:eastAsia="Cambria" w:hAnsi="Cambria" w:cs="Cambria"/>
          <w:sz w:val="12"/>
        </w:rPr>
        <w:t xml:space="preserve">=1 </w:t>
      </w:r>
      <w:r>
        <w:rPr>
          <w:rFonts w:ascii="Cambria" w:eastAsia="Cambria" w:hAnsi="Cambria" w:cs="Cambria"/>
          <w:i/>
          <w:sz w:val="18"/>
        </w:rPr>
        <w:t>u</w:t>
      </w:r>
      <w:r>
        <w:rPr>
          <w:rFonts w:ascii="Cambria" w:eastAsia="Cambria" w:hAnsi="Cambria" w:cs="Cambria"/>
          <w:i/>
          <w:sz w:val="18"/>
          <w:vertAlign w:val="subscript"/>
        </w:rPr>
        <w:t>k</w:t>
      </w:r>
      <w:r>
        <w:rPr>
          <w:rFonts w:ascii="Cambria" w:eastAsia="Cambria" w:hAnsi="Cambria" w:cs="Cambria"/>
          <w:i/>
          <w:sz w:val="18"/>
        </w:rPr>
        <w:t>/</w:t>
      </w:r>
      <w:r>
        <w:rPr>
          <w:rFonts w:ascii="Cambria" w:eastAsia="Cambria" w:hAnsi="Cambria" w:cs="Cambria"/>
          <w:sz w:val="18"/>
        </w:rPr>
        <w:t>(</w:t>
      </w:r>
      <w:r>
        <w:rPr>
          <w:rFonts w:ascii="Cambria" w:eastAsia="Cambria" w:hAnsi="Cambria" w:cs="Cambria"/>
          <w:i/>
          <w:sz w:val="18"/>
        </w:rPr>
        <w:t>c</w:t>
      </w:r>
      <w:r>
        <w:rPr>
          <w:rFonts w:ascii="Cambria" w:eastAsia="Cambria" w:hAnsi="Cambria" w:cs="Cambria"/>
          <w:i/>
          <w:sz w:val="18"/>
          <w:vertAlign w:val="subscript"/>
        </w:rPr>
        <w:t xml:space="preserve">k </w:t>
      </w:r>
      <w:r>
        <w:rPr>
          <w:rFonts w:ascii="Cambria" w:eastAsia="Cambria" w:hAnsi="Cambria" w:cs="Cambria"/>
          <w:sz w:val="18"/>
        </w:rPr>
        <w:t xml:space="preserve">+ </w:t>
      </w:r>
      <w:r>
        <w:rPr>
          <w:rFonts w:ascii="Cambria" w:eastAsia="Cambria" w:hAnsi="Cambria" w:cs="Cambria"/>
          <w:i/>
          <w:sz w:val="18"/>
        </w:rPr>
        <w:t>ϵ</w:t>
      </w:r>
      <w:r>
        <w:rPr>
          <w:rFonts w:ascii="Cambria" w:eastAsia="Cambria" w:hAnsi="Cambria" w:cs="Cambria"/>
          <w:sz w:val="18"/>
        </w:rPr>
        <w:t>)</w:t>
      </w:r>
      <w:r>
        <w:rPr>
          <w:sz w:val="18"/>
        </w:rPr>
        <w:t xml:space="preserve">; </w:t>
      </w:r>
      <w:r>
        <w:rPr>
          <w:rFonts w:ascii="Cambria" w:eastAsia="Cambria" w:hAnsi="Cambria" w:cs="Cambria"/>
          <w:i/>
          <w:sz w:val="18"/>
        </w:rPr>
        <w:t>z</w:t>
      </w:r>
      <w:r>
        <w:rPr>
          <w:rFonts w:ascii="Cambria" w:eastAsia="Cambria" w:hAnsi="Cambria" w:cs="Cambria"/>
          <w:i/>
          <w:sz w:val="18"/>
          <w:vertAlign w:val="subscript"/>
        </w:rPr>
        <w:t xml:space="preserve">j </w:t>
      </w:r>
      <w:r>
        <w:rPr>
          <w:rFonts w:ascii="Cambria" w:eastAsia="Cambria" w:hAnsi="Cambria" w:cs="Cambria"/>
          <w:sz w:val="18"/>
        </w:rPr>
        <w:t>← 0</w:t>
      </w:r>
    </w:p>
    <w:p w14:paraId="0FA1D8E2" w14:textId="77777777" w:rsidR="008F216A" w:rsidRDefault="00F31E98">
      <w:pPr>
        <w:spacing w:after="0" w:line="254" w:lineRule="auto"/>
        <w:ind w:left="-5" w:hanging="10"/>
        <w:jc w:val="left"/>
      </w:pPr>
      <w:r>
        <w:rPr>
          <w:sz w:val="18"/>
        </w:rPr>
        <w:t xml:space="preserve">if </w:t>
      </w:r>
      <w:r>
        <w:rPr>
          <w:rFonts w:ascii="Cambria" w:eastAsia="Cambria" w:hAnsi="Cambria" w:cs="Cambria"/>
          <w:sz w:val="18"/>
        </w:rPr>
        <w:t>∥</w:t>
      </w:r>
      <w:r>
        <w:rPr>
          <w:rFonts w:ascii="Cambria" w:eastAsia="Cambria" w:hAnsi="Cambria" w:cs="Cambria"/>
          <w:b/>
          <w:sz w:val="18"/>
        </w:rPr>
        <w:t>z</w:t>
      </w:r>
      <w:r>
        <w:rPr>
          <w:rFonts w:ascii="Cambria" w:eastAsia="Cambria" w:hAnsi="Cambria" w:cs="Cambria"/>
          <w:sz w:val="18"/>
        </w:rPr>
        <w:t>∥</w:t>
      </w:r>
      <w:r>
        <w:rPr>
          <w:rFonts w:ascii="Cambria" w:eastAsia="Cambria" w:hAnsi="Cambria" w:cs="Cambria"/>
          <w:sz w:val="18"/>
          <w:vertAlign w:val="subscript"/>
        </w:rPr>
        <w:t xml:space="preserve">0 </w:t>
      </w:r>
      <w:r>
        <w:rPr>
          <w:rFonts w:ascii="Cambria" w:eastAsia="Cambria" w:hAnsi="Cambria" w:cs="Cambria"/>
          <w:sz w:val="18"/>
        </w:rPr>
        <w:t xml:space="preserve">= 0 </w:t>
      </w:r>
      <w:r>
        <w:rPr>
          <w:sz w:val="18"/>
        </w:rPr>
        <w:t xml:space="preserve">then </w:t>
      </w:r>
      <w:r>
        <w:rPr>
          <w:sz w:val="18"/>
        </w:rPr>
        <w:t xml:space="preserve">restore the feasible feature with largest ratio </w:t>
      </w:r>
      <w:r>
        <w:rPr>
          <w:i/>
          <w:sz w:val="18"/>
        </w:rPr>
        <w:t xml:space="preserve">Return: </w:t>
      </w:r>
      <w:r>
        <w:rPr>
          <w:sz w:val="18"/>
        </w:rPr>
        <w:t xml:space="preserve">feasible </w:t>
      </w:r>
      <w:r>
        <w:rPr>
          <w:rFonts w:ascii="Cambria" w:eastAsia="Cambria" w:hAnsi="Cambria" w:cs="Cambria"/>
          <w:b/>
          <w:sz w:val="18"/>
        </w:rPr>
        <w:t>z</w:t>
      </w:r>
    </w:p>
    <w:p w14:paraId="4F0A0D79" w14:textId="77777777" w:rsidR="008F216A" w:rsidRDefault="00F31E98">
      <w:pPr>
        <w:spacing w:after="124" w:line="259" w:lineRule="auto"/>
        <w:ind w:firstLine="0"/>
        <w:jc w:val="left"/>
      </w:pPr>
      <w:r>
        <w:rPr>
          <w:noProof/>
          <w:sz w:val="22"/>
        </w:rPr>
        <mc:AlternateContent>
          <mc:Choice Requires="wpg">
            <w:drawing>
              <wp:inline distT="0" distB="0" distL="0" distR="0" wp14:anchorId="4C728DFF" wp14:editId="61BE5F81">
                <wp:extent cx="3188449" cy="5055"/>
                <wp:effectExtent l="0" t="0" r="0" b="0"/>
                <wp:docPr id="8602" name="Group 8602"/>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64" name="Shape 164"/>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02" style="width:251.059pt;height:0.398pt;mso-position-horizontal-relative:char;mso-position-vertical-relative:line" coordsize="31884,50">
                <v:shape id="Shape 164" style="position:absolute;width:31884;height:0;left:0;top:0;" coordsize="3188449,0" path="m0,0l3188449,0">
                  <v:stroke weight="0.398pt" endcap="flat" joinstyle="miter" miterlimit="10" on="true" color="#000000"/>
                  <v:fill on="false" color="#000000" opacity="0"/>
                </v:shape>
              </v:group>
            </w:pict>
          </mc:Fallback>
        </mc:AlternateContent>
      </w:r>
    </w:p>
    <w:p w14:paraId="4FB3BDB6" w14:textId="77777777" w:rsidR="008F216A" w:rsidRDefault="00F31E98">
      <w:pPr>
        <w:spacing w:after="448" w:line="234" w:lineRule="auto"/>
        <w:ind w:left="-15" w:firstLine="0"/>
      </w:pPr>
      <w:r>
        <w:rPr>
          <w:sz w:val="16"/>
        </w:rPr>
        <w:t>Fig. 1. Hard-budget repair used before each candidate evaluation.</w:t>
      </w:r>
    </w:p>
    <w:p w14:paraId="3D81D864" w14:textId="77777777" w:rsidR="008F216A" w:rsidRDefault="00F31E98">
      <w:pPr>
        <w:pStyle w:val="Heading1"/>
        <w:spacing w:after="87" w:line="259" w:lineRule="auto"/>
        <w:ind w:left="0" w:firstLine="0"/>
      </w:pPr>
      <w:r>
        <w:rPr>
          <w:sz w:val="20"/>
        </w:rPr>
        <w:t>III. M</w:t>
      </w:r>
      <w:r>
        <w:t>ETHOD</w:t>
      </w:r>
    </w:p>
    <w:p w14:paraId="39575609" w14:textId="77777777" w:rsidR="008F216A" w:rsidRDefault="00F31E98">
      <w:pPr>
        <w:spacing w:after="37"/>
        <w:ind w:left="-15" w:right="-15"/>
      </w:pPr>
      <w:r>
        <w:t xml:space="preserve">Let </w:t>
      </w:r>
      <w:r>
        <w:rPr>
          <w:rFonts w:ascii="Cambria" w:eastAsia="Cambria" w:hAnsi="Cambria" w:cs="Cambria"/>
          <w:b/>
        </w:rPr>
        <w:t>z</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vertAlign w:val="superscript"/>
        </w:rPr>
        <w:t xml:space="preserve">D </w:t>
      </w:r>
      <w:r>
        <w:t xml:space="preserve">be a mask, </w:t>
      </w:r>
      <w:r>
        <w:rPr>
          <w:rFonts w:ascii="Cambria" w:eastAsia="Cambria" w:hAnsi="Cambria" w:cs="Cambria"/>
          <w:i/>
        </w:rPr>
        <w:t>c</w:t>
      </w:r>
      <w:r>
        <w:rPr>
          <w:rFonts w:ascii="Cambria" w:eastAsia="Cambria" w:hAnsi="Cambria" w:cs="Cambria"/>
          <w:i/>
          <w:vertAlign w:val="subscript"/>
        </w:rPr>
        <w:t xml:space="preserve">j </w:t>
      </w:r>
      <w:r>
        <w:rPr>
          <w:rFonts w:ascii="Cambria" w:eastAsia="Cambria" w:hAnsi="Cambria" w:cs="Cambria"/>
          <w:i/>
        </w:rPr>
        <w:t xml:space="preserve">&gt; </w:t>
      </w:r>
      <w:r>
        <w:rPr>
          <w:rFonts w:ascii="Cambria" w:eastAsia="Cambria" w:hAnsi="Cambria" w:cs="Cambria"/>
        </w:rPr>
        <w:t xml:space="preserve">0 </w:t>
      </w:r>
      <w:r>
        <w:t xml:space="preserve">the acquisition cost of feature </w:t>
      </w:r>
      <w:r>
        <w:rPr>
          <w:rFonts w:ascii="Cambria" w:eastAsia="Cambria" w:hAnsi="Cambria" w:cs="Cambria"/>
          <w:i/>
        </w:rPr>
        <w:t>j</w:t>
      </w:r>
      <w:r>
        <w:t xml:space="preserve">, and </w:t>
      </w:r>
      <w:r>
        <w:rPr>
          <w:rFonts w:ascii="Cambria" w:eastAsia="Cambria" w:hAnsi="Cambria" w:cs="Cambria"/>
          <w:i/>
        </w:rPr>
        <w:t xml:space="preserve">B </w:t>
      </w:r>
      <w:r>
        <w:t>the hard budget. Feasibility requires</w:t>
      </w:r>
    </w:p>
    <w:p w14:paraId="668C6BB6" w14:textId="77777777" w:rsidR="008F216A" w:rsidRDefault="00F31E98">
      <w:pPr>
        <w:spacing w:after="0" w:line="259" w:lineRule="auto"/>
        <w:ind w:left="2012" w:firstLine="0"/>
        <w:jc w:val="left"/>
      </w:pPr>
      <w:r>
        <w:rPr>
          <w:rFonts w:ascii="Cambria" w:eastAsia="Cambria" w:hAnsi="Cambria" w:cs="Cambria"/>
          <w:i/>
          <w:sz w:val="14"/>
        </w:rPr>
        <w:t>D</w:t>
      </w:r>
    </w:p>
    <w:p w14:paraId="340D1A28" w14:textId="77777777" w:rsidR="008F216A" w:rsidRDefault="00F31E98">
      <w:pPr>
        <w:spacing w:after="16" w:line="229" w:lineRule="auto"/>
        <w:ind w:left="2257" w:hanging="321"/>
        <w:jc w:val="left"/>
      </w:pPr>
      <w:r>
        <w:rPr>
          <w:rFonts w:ascii="Cambria" w:eastAsia="Cambria" w:hAnsi="Cambria" w:cs="Cambria"/>
        </w:rPr>
        <w:t xml:space="preserve">X </w:t>
      </w:r>
      <w:r>
        <w:rPr>
          <w:rFonts w:ascii="Cambria" w:eastAsia="Cambria" w:hAnsi="Cambria" w:cs="Cambria"/>
          <w:i/>
        </w:rPr>
        <w:t>z</w:t>
      </w:r>
      <w:r>
        <w:rPr>
          <w:rFonts w:ascii="Cambria" w:eastAsia="Cambria" w:hAnsi="Cambria" w:cs="Cambria"/>
          <w:i/>
          <w:vertAlign w:val="subscript"/>
        </w:rPr>
        <w:t>j</w:t>
      </w:r>
      <w:r>
        <w:rPr>
          <w:rFonts w:ascii="Cambria" w:eastAsia="Cambria" w:hAnsi="Cambria" w:cs="Cambria"/>
          <w:i/>
        </w:rPr>
        <w:t>c</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B.</w:t>
      </w:r>
      <w:r>
        <w:rPr>
          <w:rFonts w:ascii="Cambria" w:eastAsia="Cambria" w:hAnsi="Cambria" w:cs="Cambria"/>
          <w:i/>
        </w:rPr>
        <w:tab/>
      </w:r>
      <w:r>
        <w:t>(1)</w:t>
      </w:r>
    </w:p>
    <w:p w14:paraId="75B13FBA" w14:textId="77777777" w:rsidR="008F216A" w:rsidRDefault="00F31E98">
      <w:pPr>
        <w:spacing w:after="169" w:line="259" w:lineRule="auto"/>
        <w:ind w:left="1942" w:firstLine="0"/>
        <w:jc w:val="left"/>
      </w:pPr>
      <w:r>
        <w:rPr>
          <w:rFonts w:ascii="Cambria" w:eastAsia="Cambria" w:hAnsi="Cambria" w:cs="Cambria"/>
          <w:i/>
          <w:sz w:val="14"/>
        </w:rPr>
        <w:t>j</w:t>
      </w:r>
      <w:r>
        <w:rPr>
          <w:rFonts w:ascii="Cambria" w:eastAsia="Cambria" w:hAnsi="Cambria" w:cs="Cambria"/>
          <w:sz w:val="14"/>
        </w:rPr>
        <w:t>=1</w:t>
      </w:r>
    </w:p>
    <w:p w14:paraId="2BE6C28D" w14:textId="77777777" w:rsidR="008F216A" w:rsidRDefault="00F31E98">
      <w:pPr>
        <w:ind w:left="-15" w:right="-15" w:firstLine="0"/>
      </w:pPr>
      <w:r>
        <w:t xml:space="preserve">For bootstrap resample </w:t>
      </w:r>
      <w:r>
        <w:rPr>
          <w:rFonts w:ascii="Cambria" w:eastAsia="Cambria" w:hAnsi="Cambria" w:cs="Cambria"/>
          <w:i/>
        </w:rPr>
        <w:t xml:space="preserve">b </w:t>
      </w:r>
      <w:r>
        <w:rPr>
          <w:rFonts w:ascii="Cambria" w:eastAsia="Cambria" w:hAnsi="Cambria" w:cs="Cambria"/>
        </w:rPr>
        <w:t>= 1</w:t>
      </w:r>
      <w:r>
        <w:rPr>
          <w:rFonts w:ascii="Cambria" w:eastAsia="Cambria" w:hAnsi="Cambria" w:cs="Cambria"/>
          <w:i/>
        </w:rPr>
        <w:t>,...,R</w:t>
      </w:r>
      <w:r>
        <w:t xml:space="preserve">, mutual information </w:t>
      </w:r>
      <w:r>
        <w:rPr>
          <w:rFonts w:ascii="Cambria" w:eastAsia="Cambria" w:hAnsi="Cambria" w:cs="Cambria"/>
          <w:i/>
        </w:rPr>
        <w:t>I</w:t>
      </w:r>
      <w:r>
        <w:rPr>
          <w:rFonts w:ascii="Cambria" w:eastAsia="Cambria" w:hAnsi="Cambria" w:cs="Cambria"/>
          <w:i/>
          <w:vertAlign w:val="subscript"/>
        </w:rPr>
        <w:t xml:space="preserve">jb </w:t>
      </w:r>
      <w:r>
        <w:t>is estimated using only the outer-training partition. Stable utility and utility-to-cost ratio are</w:t>
      </w:r>
    </w:p>
    <w:p w14:paraId="4EC257FD" w14:textId="77777777" w:rsidR="008F216A" w:rsidRDefault="00F31E98">
      <w:pPr>
        <w:spacing w:after="130" w:line="259" w:lineRule="auto"/>
        <w:ind w:left="508" w:firstLine="0"/>
        <w:jc w:val="left"/>
      </w:pPr>
      <w:r>
        <w:rPr>
          <w:noProof/>
        </w:rPr>
        <w:drawing>
          <wp:inline distT="0" distB="0" distL="0" distR="0" wp14:anchorId="5F62B8F8" wp14:editId="695EEB84">
            <wp:extent cx="2837688" cy="271272"/>
            <wp:effectExtent l="0" t="0" r="0" b="0"/>
            <wp:docPr id="9092" name="Picture 9092"/>
            <wp:cNvGraphicFramePr/>
            <a:graphic xmlns:a="http://schemas.openxmlformats.org/drawingml/2006/main">
              <a:graphicData uri="http://schemas.openxmlformats.org/drawingml/2006/picture">
                <pic:pic xmlns:pic="http://schemas.openxmlformats.org/drawingml/2006/picture">
                  <pic:nvPicPr>
                    <pic:cNvPr id="9092" name="Picture 9092"/>
                    <pic:cNvPicPr/>
                  </pic:nvPicPr>
                  <pic:blipFill>
                    <a:blip r:embed="rId11"/>
                    <a:stretch>
                      <a:fillRect/>
                    </a:stretch>
                  </pic:blipFill>
                  <pic:spPr>
                    <a:xfrm>
                      <a:off x="0" y="0"/>
                      <a:ext cx="2837688" cy="271272"/>
                    </a:xfrm>
                    <a:prstGeom prst="rect">
                      <a:avLst/>
                    </a:prstGeom>
                  </pic:spPr>
                </pic:pic>
              </a:graphicData>
            </a:graphic>
          </wp:inline>
        </w:drawing>
      </w:r>
    </w:p>
    <w:p w14:paraId="10B66AAA" w14:textId="77777777" w:rsidR="008F216A" w:rsidRDefault="00F31E98">
      <w:pPr>
        <w:ind w:left="-15" w:right="-15" w:firstLine="0"/>
      </w:pPr>
      <w:r>
        <w:t xml:space="preserve">Here </w:t>
      </w:r>
      <w:r>
        <w:rPr>
          <w:rFonts w:ascii="Cambria" w:eastAsia="Cambria" w:hAnsi="Cambria" w:cs="Cambria"/>
          <w:i/>
        </w:rPr>
        <w:t>s</w:t>
      </w:r>
      <w:r>
        <w:rPr>
          <w:rFonts w:ascii="Cambria" w:eastAsia="Cambria" w:hAnsi="Cambria" w:cs="Cambria"/>
          <w:i/>
          <w:vertAlign w:val="subscript"/>
        </w:rPr>
        <w:t xml:space="preserve">j </w:t>
      </w:r>
      <w:r>
        <w:t xml:space="preserve">is the across-resample standard deviation and </w:t>
      </w:r>
      <w:r>
        <w:rPr>
          <w:rFonts w:ascii="Cambria" w:eastAsia="Cambria" w:hAnsi="Cambria" w:cs="Cambria"/>
          <w:i/>
        </w:rPr>
        <w:t>z</w:t>
      </w:r>
      <w:r>
        <w:rPr>
          <w:rFonts w:ascii="Cambria" w:eastAsia="Cambria" w:hAnsi="Cambria" w:cs="Cambria"/>
          <w:i/>
          <w:vertAlign w:val="subscript"/>
        </w:rPr>
        <w:t xml:space="preserve">α </w:t>
      </w:r>
      <w:r>
        <w:t xml:space="preserve">controls conservatism. When a candidate is infeasible, the active feature with minimum </w:t>
      </w:r>
      <w:r>
        <w:rPr>
          <w:rFonts w:ascii="Cambria" w:eastAsia="Cambria" w:hAnsi="Cambria" w:cs="Cambria"/>
          <w:i/>
        </w:rPr>
        <w:t>q</w:t>
      </w:r>
      <w:r>
        <w:rPr>
          <w:rFonts w:ascii="Cambria" w:eastAsia="Cambria" w:hAnsi="Cambria" w:cs="Cambria"/>
          <w:i/>
          <w:vertAlign w:val="subscript"/>
        </w:rPr>
        <w:t xml:space="preserve">j </w:t>
      </w:r>
      <w:r>
        <w:t xml:space="preserve">is removed repeatedly. If repair empties the mask, the feasible feature with maximum </w:t>
      </w:r>
      <w:r>
        <w:rPr>
          <w:rFonts w:ascii="Cambria" w:eastAsia="Cambria" w:hAnsi="Cambria" w:cs="Cambria"/>
          <w:i/>
        </w:rPr>
        <w:t>q</w:t>
      </w:r>
      <w:r>
        <w:rPr>
          <w:rFonts w:ascii="Cambria" w:eastAsia="Cambria" w:hAnsi="Cambria" w:cs="Cambria"/>
          <w:i/>
          <w:vertAlign w:val="subscript"/>
        </w:rPr>
        <w:t xml:space="preserve">j </w:t>
      </w:r>
      <w:r>
        <w:t>is restored.</w:t>
      </w:r>
    </w:p>
    <w:p w14:paraId="4126C8DC" w14:textId="77777777" w:rsidR="008F216A" w:rsidRDefault="00F31E98">
      <w:pPr>
        <w:spacing w:after="255"/>
        <w:ind w:left="-15" w:right="-15"/>
      </w:pPr>
      <w:r>
        <w:t>The inherited EHOA population update, binary transfer, and fitness are not modified. This isolates the effect of repair. Four constrained variants use identical search settings but rank removals randomly, by cost, by mutual information, or by stable-LCB.</w:t>
      </w:r>
    </w:p>
    <w:p w14:paraId="07F4763E" w14:textId="77777777" w:rsidR="008F216A" w:rsidRDefault="00F31E98">
      <w:pPr>
        <w:pStyle w:val="Heading2"/>
      </w:pPr>
      <w:r>
        <w:rPr>
          <w:sz w:val="20"/>
        </w:rPr>
        <w:t>IV. E</w:t>
      </w:r>
      <w:r>
        <w:t xml:space="preserve">XPERIMENTAL </w:t>
      </w:r>
      <w:r>
        <w:rPr>
          <w:sz w:val="20"/>
        </w:rPr>
        <w:t>P</w:t>
      </w:r>
      <w:r>
        <w:t>ROTOCOL</w:t>
      </w:r>
    </w:p>
    <w:p w14:paraId="4868E597" w14:textId="77777777" w:rsidR="008F216A" w:rsidRDefault="00F31E98">
      <w:pPr>
        <w:spacing w:after="0" w:line="259" w:lineRule="auto"/>
        <w:ind w:firstLine="0"/>
        <w:jc w:val="right"/>
      </w:pPr>
      <w:r>
        <w:t>Ten public data sets were used: Breast Cancer, Wine,</w:t>
      </w:r>
    </w:p>
    <w:p w14:paraId="7B3CAD1D" w14:textId="77777777" w:rsidR="008F216A" w:rsidRDefault="00F31E98">
      <w:pPr>
        <w:ind w:left="-15" w:right="-15" w:firstLine="0"/>
      </w:pPr>
      <w:r>
        <w:t xml:space="preserve">Ionosphere, Sonar, Dermatology, Spambase, Parkinsons, HillValley, Steel Plates Fault, and Madelon. Each method used two fixed seeds and three stratified outer folds, yielding </w:t>
      </w:r>
      <w:r>
        <w:rPr>
          <w:rFonts w:ascii="Cambria" w:eastAsia="Cambria" w:hAnsi="Cambria" w:cs="Cambria"/>
        </w:rPr>
        <w:t xml:space="preserve">10 × 5 × 2 × 3 = 300 </w:t>
      </w:r>
      <w:r>
        <w:t>runs. Inner three-fold validation was used by the wrapper. Population size was 8, iterations were 10, and the EHOA accuracy weight was 0.99.</w:t>
      </w:r>
    </w:p>
    <w:p w14:paraId="61CA3AE1" w14:textId="77777777" w:rsidR="008F216A" w:rsidRDefault="00F31E98">
      <w:pPr>
        <w:ind w:left="-15" w:right="-15"/>
      </w:pPr>
      <w:r>
        <w:t>Feature costs were generated once per data set from a deterministic log-normal model independent of labels. The budget was 30% of total cost. This design tests controlled cost sensitivity, not domain-specific monetary costs. Preprocessing, utility estimation, search, and model fitting used outer-training data only. The outer test fold was used once for evaluation. K-nearest neighbors was the primary classifier.</w:t>
      </w:r>
    </w:p>
    <w:p w14:paraId="2641A1A2" w14:textId="77777777" w:rsidR="008F216A" w:rsidRDefault="00F31E98">
      <w:pPr>
        <w:spacing w:after="251"/>
        <w:ind w:left="-15" w:right="-15"/>
      </w:pPr>
      <w:r>
        <w:t>For inference, six runs were first averaged within each data set and method. The ten data sets, not the 300 rows, were treated as independent units. Friedman tests assessed overall differences. Stable-LCB was compared with four controls using two-sided paired Wilcoxon tests; four comparisons within each metric were Holm-corrected [4].</w:t>
      </w:r>
    </w:p>
    <w:p w14:paraId="3EE279CD" w14:textId="77777777" w:rsidR="008F216A" w:rsidRDefault="00F31E98">
      <w:pPr>
        <w:pStyle w:val="Heading2"/>
      </w:pPr>
      <w:r>
        <w:rPr>
          <w:sz w:val="20"/>
        </w:rPr>
        <w:t>V. R</w:t>
      </w:r>
      <w:r>
        <w:t>ESULTS</w:t>
      </w:r>
    </w:p>
    <w:p w14:paraId="11677EEC" w14:textId="77777777" w:rsidR="008F216A" w:rsidRDefault="00F31E98">
      <w:pPr>
        <w:ind w:left="-15" w:right="-15"/>
      </w:pPr>
      <w:r>
        <w:t>The audit found 300 expected rows, 300 masks, zero missing values, zero duplicate experiment keys, and zero budget violations. Table I reports data-set-level means.</w:t>
      </w:r>
    </w:p>
    <w:p w14:paraId="4A7CE838" w14:textId="77777777" w:rsidR="008F216A" w:rsidRDefault="00F31E98">
      <w:pPr>
        <w:pStyle w:val="Heading1"/>
        <w:spacing w:after="0"/>
      </w:pPr>
      <w:r>
        <w:rPr>
          <w:noProof/>
          <w:sz w:val="22"/>
        </w:rPr>
        <mc:AlternateContent>
          <mc:Choice Requires="wpg">
            <w:drawing>
              <wp:anchor distT="0" distB="0" distL="114300" distR="114300" simplePos="0" relativeHeight="251658240" behindDoc="0" locked="0" layoutInCell="1" allowOverlap="1" wp14:anchorId="797E1698" wp14:editId="7535B7C8">
                <wp:simplePos x="0" y="0"/>
                <wp:positionH relativeFrom="page">
                  <wp:posOffset>515645</wp:posOffset>
                </wp:positionH>
                <wp:positionV relativeFrom="page">
                  <wp:posOffset>714617</wp:posOffset>
                </wp:positionV>
                <wp:extent cx="3188449" cy="5055"/>
                <wp:effectExtent l="0" t="0" r="0" b="0"/>
                <wp:wrapTopAndBottom/>
                <wp:docPr id="8601" name="Group 8601"/>
                <wp:cNvGraphicFramePr/>
                <a:graphic xmlns:a="http://schemas.openxmlformats.org/drawingml/2006/main">
                  <a:graphicData uri="http://schemas.microsoft.com/office/word/2010/wordprocessingGroup">
                    <wpg:wgp>
                      <wpg:cNvGrpSpPr/>
                      <wpg:grpSpPr>
                        <a:xfrm>
                          <a:off x="0" y="0"/>
                          <a:ext cx="3188449" cy="5055"/>
                          <a:chOff x="0" y="0"/>
                          <a:chExt cx="3188449" cy="5055"/>
                        </a:xfrm>
                      </wpg:grpSpPr>
                      <wps:wsp>
                        <wps:cNvPr id="114" name="Shape 114"/>
                        <wps:cNvSpPr/>
                        <wps:spPr>
                          <a:xfrm>
                            <a:off x="0" y="0"/>
                            <a:ext cx="3188449" cy="0"/>
                          </a:xfrm>
                          <a:custGeom>
                            <a:avLst/>
                            <a:gdLst/>
                            <a:ahLst/>
                            <a:cxnLst/>
                            <a:rect l="0" t="0" r="0" b="0"/>
                            <a:pathLst>
                              <a:path w="3188449">
                                <a:moveTo>
                                  <a:pt x="0" y="0"/>
                                </a:moveTo>
                                <a:lnTo>
                                  <a:pt x="318844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01" style="width:251.059pt;height:0.398pt;position:absolute;mso-position-horizontal-relative:page;mso-position-horizontal:absolute;margin-left:40.602pt;mso-position-vertical-relative:page;margin-top:56.269pt;" coordsize="31884,50">
                <v:shape id="Shape 114" style="position:absolute;width:31884;height:0;left:0;top:0;" coordsize="3188449,0" path="m0,0l3188449,0">
                  <v:stroke weight="0.398pt" endcap="flat" joinstyle="miter" miterlimit="10" on="true" color="#000000"/>
                  <v:fill on="false" color="#000000" opacity="0"/>
                </v:shape>
                <w10:wrap type="topAndBottom"/>
              </v:group>
            </w:pict>
          </mc:Fallback>
        </mc:AlternateContent>
      </w:r>
      <w:r>
        <w:t>TABLE I</w:t>
      </w:r>
    </w:p>
    <w:p w14:paraId="34E586EF" w14:textId="77777777" w:rsidR="008F216A" w:rsidRDefault="00F31E98">
      <w:pPr>
        <w:spacing w:after="0" w:line="259" w:lineRule="auto"/>
        <w:ind w:left="10" w:hanging="10"/>
        <w:jc w:val="center"/>
      </w:pPr>
      <w:r>
        <w:rPr>
          <w:sz w:val="16"/>
        </w:rPr>
        <w:t>M</w:t>
      </w:r>
      <w:r>
        <w:rPr>
          <w:sz w:val="13"/>
        </w:rPr>
        <w:t>EAN RESULTS ACROSS TEN DATA SETS</w:t>
      </w:r>
      <w:r>
        <w:rPr>
          <w:sz w:val="16"/>
        </w:rPr>
        <w:t>. H</w:t>
      </w:r>
      <w:r>
        <w:rPr>
          <w:sz w:val="13"/>
        </w:rPr>
        <w:t>IGHER IS BETTER FOR</w:t>
      </w:r>
    </w:p>
    <w:p w14:paraId="64764973" w14:textId="77777777" w:rsidR="008F216A" w:rsidRDefault="00F31E98">
      <w:pPr>
        <w:spacing w:after="0" w:line="259" w:lineRule="auto"/>
        <w:ind w:left="7" w:hanging="10"/>
        <w:jc w:val="left"/>
      </w:pPr>
      <w:r>
        <w:rPr>
          <w:sz w:val="13"/>
        </w:rPr>
        <w:t>BALANCED ACCURACY AND STABILITY</w:t>
      </w:r>
      <w:r>
        <w:rPr>
          <w:sz w:val="16"/>
        </w:rPr>
        <w:t xml:space="preserve">; </w:t>
      </w:r>
      <w:r>
        <w:rPr>
          <w:sz w:val="13"/>
        </w:rPr>
        <w:t>LOWER IS BETTER FOR COST AND</w:t>
      </w:r>
    </w:p>
    <w:p w14:paraId="28ECBDAF" w14:textId="77777777" w:rsidR="008F216A" w:rsidRDefault="00F31E98">
      <w:pPr>
        <w:spacing w:after="0" w:line="259" w:lineRule="auto"/>
        <w:ind w:left="10" w:hanging="10"/>
        <w:jc w:val="center"/>
      </w:pPr>
      <w:r>
        <w:rPr>
          <w:sz w:val="13"/>
        </w:rPr>
        <w:t>SIZE</w:t>
      </w:r>
      <w:r>
        <w:rPr>
          <w:sz w:val="16"/>
        </w:rPr>
        <w:t>.</w:t>
      </w:r>
    </w:p>
    <w:tbl>
      <w:tblPr>
        <w:tblStyle w:val="TableGrid"/>
        <w:tblW w:w="5021" w:type="dxa"/>
        <w:tblInd w:w="0" w:type="dxa"/>
        <w:tblCellMar>
          <w:top w:w="12" w:type="dxa"/>
          <w:left w:w="0" w:type="dxa"/>
          <w:bottom w:w="0" w:type="dxa"/>
          <w:right w:w="88" w:type="dxa"/>
        </w:tblCellMar>
        <w:tblLook w:val="04A0" w:firstRow="1" w:lastRow="0" w:firstColumn="1" w:lastColumn="0" w:noHBand="0" w:noVBand="1"/>
      </w:tblPr>
      <w:tblGrid>
        <w:gridCol w:w="1070"/>
        <w:gridCol w:w="960"/>
        <w:gridCol w:w="590"/>
        <w:gridCol w:w="887"/>
        <w:gridCol w:w="927"/>
        <w:gridCol w:w="587"/>
      </w:tblGrid>
      <w:tr w:rsidR="008F216A" w14:paraId="0EB7BE62" w14:textId="77777777">
        <w:trPr>
          <w:trHeight w:val="197"/>
        </w:trPr>
        <w:tc>
          <w:tcPr>
            <w:tcW w:w="1071" w:type="dxa"/>
            <w:tcBorders>
              <w:top w:val="single" w:sz="5" w:space="0" w:color="000000"/>
              <w:left w:val="nil"/>
              <w:bottom w:val="single" w:sz="3" w:space="0" w:color="000000"/>
              <w:right w:val="nil"/>
            </w:tcBorders>
          </w:tcPr>
          <w:p w14:paraId="1D35B48C" w14:textId="77777777" w:rsidR="008F216A" w:rsidRDefault="00F31E98">
            <w:pPr>
              <w:spacing w:after="0" w:line="259" w:lineRule="auto"/>
              <w:ind w:left="88" w:firstLine="0"/>
              <w:jc w:val="left"/>
            </w:pPr>
            <w:r>
              <w:rPr>
                <w:sz w:val="10"/>
              </w:rPr>
              <w:t>Method</w:t>
            </w:r>
          </w:p>
        </w:tc>
        <w:tc>
          <w:tcPr>
            <w:tcW w:w="960" w:type="dxa"/>
            <w:tcBorders>
              <w:top w:val="single" w:sz="5" w:space="0" w:color="000000"/>
              <w:left w:val="nil"/>
              <w:bottom w:val="single" w:sz="3" w:space="0" w:color="000000"/>
              <w:right w:val="nil"/>
            </w:tcBorders>
          </w:tcPr>
          <w:p w14:paraId="305C2DC3" w14:textId="77777777" w:rsidR="008F216A" w:rsidRDefault="00F31E98">
            <w:pPr>
              <w:spacing w:after="0" w:line="259" w:lineRule="auto"/>
              <w:ind w:firstLine="0"/>
              <w:jc w:val="left"/>
            </w:pPr>
            <w:r>
              <w:rPr>
                <w:sz w:val="10"/>
              </w:rPr>
              <w:t>Balanced accuracy</w:t>
            </w:r>
          </w:p>
        </w:tc>
        <w:tc>
          <w:tcPr>
            <w:tcW w:w="590" w:type="dxa"/>
            <w:tcBorders>
              <w:top w:val="single" w:sz="5" w:space="0" w:color="000000"/>
              <w:left w:val="nil"/>
              <w:bottom w:val="single" w:sz="3" w:space="0" w:color="000000"/>
              <w:right w:val="nil"/>
            </w:tcBorders>
          </w:tcPr>
          <w:p w14:paraId="5B544F94" w14:textId="77777777" w:rsidR="008F216A" w:rsidRDefault="00F31E98">
            <w:pPr>
              <w:spacing w:after="0" w:line="259" w:lineRule="auto"/>
              <w:ind w:firstLine="0"/>
              <w:jc w:val="left"/>
            </w:pPr>
            <w:r>
              <w:rPr>
                <w:sz w:val="10"/>
              </w:rPr>
              <w:t>Cost ratio</w:t>
            </w:r>
          </w:p>
        </w:tc>
        <w:tc>
          <w:tcPr>
            <w:tcW w:w="887" w:type="dxa"/>
            <w:tcBorders>
              <w:top w:val="single" w:sz="5" w:space="0" w:color="000000"/>
              <w:left w:val="nil"/>
              <w:bottom w:val="single" w:sz="3" w:space="0" w:color="000000"/>
              <w:right w:val="nil"/>
            </w:tcBorders>
          </w:tcPr>
          <w:p w14:paraId="4C7DD461" w14:textId="77777777" w:rsidR="008F216A" w:rsidRDefault="00F31E98">
            <w:pPr>
              <w:spacing w:after="0" w:line="259" w:lineRule="auto"/>
              <w:ind w:firstLine="0"/>
              <w:jc w:val="left"/>
            </w:pPr>
            <w:r>
              <w:rPr>
                <w:sz w:val="10"/>
              </w:rPr>
              <w:t>Selected features</w:t>
            </w:r>
          </w:p>
        </w:tc>
        <w:tc>
          <w:tcPr>
            <w:tcW w:w="927" w:type="dxa"/>
            <w:tcBorders>
              <w:top w:val="single" w:sz="5" w:space="0" w:color="000000"/>
              <w:left w:val="nil"/>
              <w:bottom w:val="single" w:sz="3" w:space="0" w:color="000000"/>
              <w:right w:val="nil"/>
            </w:tcBorders>
          </w:tcPr>
          <w:p w14:paraId="1249717F" w14:textId="77777777" w:rsidR="008F216A" w:rsidRDefault="00F31E98">
            <w:pPr>
              <w:spacing w:after="0" w:line="259" w:lineRule="auto"/>
              <w:ind w:firstLine="0"/>
              <w:jc w:val="left"/>
            </w:pPr>
            <w:r>
              <w:rPr>
                <w:sz w:val="10"/>
              </w:rPr>
              <w:t>Nogueira stability</w:t>
            </w:r>
          </w:p>
        </w:tc>
        <w:tc>
          <w:tcPr>
            <w:tcW w:w="587" w:type="dxa"/>
            <w:tcBorders>
              <w:top w:val="single" w:sz="5" w:space="0" w:color="000000"/>
              <w:left w:val="nil"/>
              <w:bottom w:val="single" w:sz="3" w:space="0" w:color="000000"/>
              <w:right w:val="nil"/>
            </w:tcBorders>
          </w:tcPr>
          <w:p w14:paraId="2693C9F7" w14:textId="77777777" w:rsidR="008F216A" w:rsidRDefault="00F31E98">
            <w:pPr>
              <w:spacing w:after="0" w:line="259" w:lineRule="auto"/>
              <w:ind w:firstLine="0"/>
              <w:jc w:val="left"/>
            </w:pPr>
            <w:r>
              <w:rPr>
                <w:sz w:val="10"/>
              </w:rPr>
              <w:t>Runtime (s)</w:t>
            </w:r>
          </w:p>
        </w:tc>
      </w:tr>
      <w:tr w:rsidR="008F216A" w14:paraId="5DA9DFBA" w14:textId="77777777">
        <w:trPr>
          <w:trHeight w:val="164"/>
        </w:trPr>
        <w:tc>
          <w:tcPr>
            <w:tcW w:w="1071" w:type="dxa"/>
            <w:tcBorders>
              <w:top w:val="single" w:sz="3" w:space="0" w:color="000000"/>
              <w:left w:val="nil"/>
              <w:bottom w:val="nil"/>
              <w:right w:val="nil"/>
            </w:tcBorders>
          </w:tcPr>
          <w:p w14:paraId="3A0F6B2D" w14:textId="77777777" w:rsidR="008F216A" w:rsidRDefault="00F31E98">
            <w:pPr>
              <w:spacing w:after="0" w:line="259" w:lineRule="auto"/>
              <w:ind w:left="88" w:firstLine="0"/>
              <w:jc w:val="left"/>
            </w:pPr>
            <w:r>
              <w:rPr>
                <w:sz w:val="10"/>
              </w:rPr>
              <w:t>EHOA</w:t>
            </w:r>
          </w:p>
        </w:tc>
        <w:tc>
          <w:tcPr>
            <w:tcW w:w="960" w:type="dxa"/>
            <w:tcBorders>
              <w:top w:val="single" w:sz="3" w:space="0" w:color="000000"/>
              <w:left w:val="nil"/>
              <w:bottom w:val="nil"/>
              <w:right w:val="nil"/>
            </w:tcBorders>
          </w:tcPr>
          <w:p w14:paraId="7C8F7250" w14:textId="77777777" w:rsidR="008F216A" w:rsidRDefault="00F31E98">
            <w:pPr>
              <w:spacing w:after="0" w:line="259" w:lineRule="auto"/>
              <w:ind w:left="500" w:firstLine="0"/>
              <w:jc w:val="left"/>
            </w:pPr>
            <w:r>
              <w:rPr>
                <w:sz w:val="10"/>
              </w:rPr>
              <w:t>0.8301</w:t>
            </w:r>
          </w:p>
        </w:tc>
        <w:tc>
          <w:tcPr>
            <w:tcW w:w="590" w:type="dxa"/>
            <w:tcBorders>
              <w:top w:val="single" w:sz="3" w:space="0" w:color="000000"/>
              <w:left w:val="nil"/>
              <w:bottom w:val="nil"/>
              <w:right w:val="nil"/>
            </w:tcBorders>
          </w:tcPr>
          <w:p w14:paraId="26216684" w14:textId="77777777" w:rsidR="008F216A" w:rsidRDefault="00F31E98">
            <w:pPr>
              <w:spacing w:after="0" w:line="259" w:lineRule="auto"/>
              <w:ind w:left="130" w:firstLine="0"/>
              <w:jc w:val="left"/>
            </w:pPr>
            <w:r>
              <w:rPr>
                <w:sz w:val="10"/>
              </w:rPr>
              <w:t>0.4782</w:t>
            </w:r>
          </w:p>
        </w:tc>
        <w:tc>
          <w:tcPr>
            <w:tcW w:w="887" w:type="dxa"/>
            <w:tcBorders>
              <w:top w:val="single" w:sz="3" w:space="0" w:color="000000"/>
              <w:left w:val="nil"/>
              <w:bottom w:val="nil"/>
              <w:right w:val="nil"/>
            </w:tcBorders>
          </w:tcPr>
          <w:p w14:paraId="6A66AEBE" w14:textId="77777777" w:rsidR="008F216A" w:rsidRDefault="00F31E98">
            <w:pPr>
              <w:spacing w:after="0" w:line="259" w:lineRule="auto"/>
              <w:ind w:left="479" w:firstLine="0"/>
              <w:jc w:val="left"/>
            </w:pPr>
            <w:r>
              <w:rPr>
                <w:sz w:val="10"/>
              </w:rPr>
              <w:t>42.07</w:t>
            </w:r>
          </w:p>
        </w:tc>
        <w:tc>
          <w:tcPr>
            <w:tcW w:w="927" w:type="dxa"/>
            <w:tcBorders>
              <w:top w:val="single" w:sz="3" w:space="0" w:color="000000"/>
              <w:left w:val="nil"/>
              <w:bottom w:val="nil"/>
              <w:right w:val="nil"/>
            </w:tcBorders>
          </w:tcPr>
          <w:p w14:paraId="004A923C" w14:textId="77777777" w:rsidR="008F216A" w:rsidRDefault="00F31E98">
            <w:pPr>
              <w:spacing w:after="0" w:line="259" w:lineRule="auto"/>
              <w:ind w:left="468" w:firstLine="0"/>
              <w:jc w:val="left"/>
            </w:pPr>
            <w:r>
              <w:rPr>
                <w:sz w:val="10"/>
              </w:rPr>
              <w:t>0.1229</w:t>
            </w:r>
          </w:p>
        </w:tc>
        <w:tc>
          <w:tcPr>
            <w:tcW w:w="587" w:type="dxa"/>
            <w:tcBorders>
              <w:top w:val="single" w:sz="3" w:space="0" w:color="000000"/>
              <w:left w:val="nil"/>
              <w:bottom w:val="nil"/>
              <w:right w:val="nil"/>
            </w:tcBorders>
          </w:tcPr>
          <w:p w14:paraId="47D8A7CB" w14:textId="77777777" w:rsidR="008F216A" w:rsidRDefault="00F31E98">
            <w:pPr>
              <w:spacing w:after="0" w:line="259" w:lineRule="auto"/>
              <w:ind w:left="268" w:firstLine="0"/>
              <w:jc w:val="left"/>
            </w:pPr>
            <w:r>
              <w:rPr>
                <w:sz w:val="10"/>
              </w:rPr>
              <w:t>1.785</w:t>
            </w:r>
          </w:p>
        </w:tc>
      </w:tr>
      <w:tr w:rsidR="008F216A" w14:paraId="21E855AC" w14:textId="77777777">
        <w:trPr>
          <w:trHeight w:val="118"/>
        </w:trPr>
        <w:tc>
          <w:tcPr>
            <w:tcW w:w="1071" w:type="dxa"/>
            <w:tcBorders>
              <w:top w:val="nil"/>
              <w:left w:val="nil"/>
              <w:bottom w:val="nil"/>
              <w:right w:val="nil"/>
            </w:tcBorders>
          </w:tcPr>
          <w:p w14:paraId="58F8C7A6" w14:textId="77777777" w:rsidR="008F216A" w:rsidRDefault="00F31E98">
            <w:pPr>
              <w:spacing w:after="0" w:line="259" w:lineRule="auto"/>
              <w:ind w:left="88" w:firstLine="0"/>
              <w:jc w:val="left"/>
            </w:pPr>
            <w:r>
              <w:rPr>
                <w:sz w:val="10"/>
              </w:rPr>
              <w:t>Budget-random</w:t>
            </w:r>
          </w:p>
        </w:tc>
        <w:tc>
          <w:tcPr>
            <w:tcW w:w="960" w:type="dxa"/>
            <w:tcBorders>
              <w:top w:val="nil"/>
              <w:left w:val="nil"/>
              <w:bottom w:val="nil"/>
              <w:right w:val="nil"/>
            </w:tcBorders>
          </w:tcPr>
          <w:p w14:paraId="5B10066B" w14:textId="77777777" w:rsidR="008F216A" w:rsidRDefault="00F31E98">
            <w:pPr>
              <w:spacing w:after="0" w:line="259" w:lineRule="auto"/>
              <w:ind w:left="500" w:firstLine="0"/>
              <w:jc w:val="left"/>
            </w:pPr>
            <w:r>
              <w:rPr>
                <w:sz w:val="10"/>
              </w:rPr>
              <w:t>0.8288</w:t>
            </w:r>
          </w:p>
        </w:tc>
        <w:tc>
          <w:tcPr>
            <w:tcW w:w="590" w:type="dxa"/>
            <w:tcBorders>
              <w:top w:val="nil"/>
              <w:left w:val="nil"/>
              <w:bottom w:val="nil"/>
              <w:right w:val="nil"/>
            </w:tcBorders>
          </w:tcPr>
          <w:p w14:paraId="10D30BEB" w14:textId="77777777" w:rsidR="008F216A" w:rsidRDefault="00F31E98">
            <w:pPr>
              <w:spacing w:after="0" w:line="259" w:lineRule="auto"/>
              <w:ind w:left="130" w:firstLine="0"/>
              <w:jc w:val="left"/>
            </w:pPr>
            <w:r>
              <w:rPr>
                <w:sz w:val="10"/>
              </w:rPr>
              <w:t>0.2724</w:t>
            </w:r>
          </w:p>
        </w:tc>
        <w:tc>
          <w:tcPr>
            <w:tcW w:w="887" w:type="dxa"/>
            <w:tcBorders>
              <w:top w:val="nil"/>
              <w:left w:val="nil"/>
              <w:bottom w:val="nil"/>
              <w:right w:val="nil"/>
            </w:tcBorders>
          </w:tcPr>
          <w:p w14:paraId="0B7CF012" w14:textId="77777777" w:rsidR="008F216A" w:rsidRDefault="00F31E98">
            <w:pPr>
              <w:spacing w:after="0" w:line="259" w:lineRule="auto"/>
              <w:ind w:left="479" w:firstLine="0"/>
              <w:jc w:val="left"/>
            </w:pPr>
            <w:r>
              <w:rPr>
                <w:sz w:val="10"/>
              </w:rPr>
              <w:t>31.87</w:t>
            </w:r>
          </w:p>
        </w:tc>
        <w:tc>
          <w:tcPr>
            <w:tcW w:w="927" w:type="dxa"/>
            <w:tcBorders>
              <w:top w:val="nil"/>
              <w:left w:val="nil"/>
              <w:bottom w:val="nil"/>
              <w:right w:val="nil"/>
            </w:tcBorders>
          </w:tcPr>
          <w:p w14:paraId="531290C5" w14:textId="77777777" w:rsidR="008F216A" w:rsidRDefault="00F31E98">
            <w:pPr>
              <w:spacing w:after="0" w:line="259" w:lineRule="auto"/>
              <w:ind w:left="468" w:firstLine="0"/>
              <w:jc w:val="left"/>
            </w:pPr>
            <w:r>
              <w:rPr>
                <w:sz w:val="10"/>
              </w:rPr>
              <w:t>0.1403</w:t>
            </w:r>
          </w:p>
        </w:tc>
        <w:tc>
          <w:tcPr>
            <w:tcW w:w="587" w:type="dxa"/>
            <w:tcBorders>
              <w:top w:val="nil"/>
              <w:left w:val="nil"/>
              <w:bottom w:val="nil"/>
              <w:right w:val="nil"/>
            </w:tcBorders>
          </w:tcPr>
          <w:p w14:paraId="0A48B22E" w14:textId="77777777" w:rsidR="008F216A" w:rsidRDefault="00F31E98">
            <w:pPr>
              <w:spacing w:after="0" w:line="259" w:lineRule="auto"/>
              <w:ind w:left="268" w:firstLine="0"/>
              <w:jc w:val="left"/>
            </w:pPr>
            <w:r>
              <w:rPr>
                <w:sz w:val="10"/>
              </w:rPr>
              <w:t>1.653</w:t>
            </w:r>
          </w:p>
        </w:tc>
      </w:tr>
      <w:tr w:rsidR="008F216A" w14:paraId="52560B59" w14:textId="77777777">
        <w:trPr>
          <w:trHeight w:val="117"/>
        </w:trPr>
        <w:tc>
          <w:tcPr>
            <w:tcW w:w="1071" w:type="dxa"/>
            <w:tcBorders>
              <w:top w:val="nil"/>
              <w:left w:val="nil"/>
              <w:bottom w:val="nil"/>
              <w:right w:val="nil"/>
            </w:tcBorders>
          </w:tcPr>
          <w:p w14:paraId="692B5B7C" w14:textId="77777777" w:rsidR="008F216A" w:rsidRDefault="00F31E98">
            <w:pPr>
              <w:spacing w:after="0" w:line="259" w:lineRule="auto"/>
              <w:ind w:left="88" w:firstLine="0"/>
              <w:jc w:val="left"/>
            </w:pPr>
            <w:r>
              <w:rPr>
                <w:sz w:val="10"/>
              </w:rPr>
              <w:t>Budget-cheapest</w:t>
            </w:r>
          </w:p>
        </w:tc>
        <w:tc>
          <w:tcPr>
            <w:tcW w:w="960" w:type="dxa"/>
            <w:tcBorders>
              <w:top w:val="nil"/>
              <w:left w:val="nil"/>
              <w:bottom w:val="nil"/>
              <w:right w:val="nil"/>
            </w:tcBorders>
          </w:tcPr>
          <w:p w14:paraId="3F618022" w14:textId="77777777" w:rsidR="008F216A" w:rsidRDefault="00F31E98">
            <w:pPr>
              <w:spacing w:after="0" w:line="259" w:lineRule="auto"/>
              <w:ind w:left="500" w:firstLine="0"/>
              <w:jc w:val="left"/>
            </w:pPr>
            <w:r>
              <w:rPr>
                <w:sz w:val="10"/>
              </w:rPr>
              <w:t>0.8324</w:t>
            </w:r>
          </w:p>
        </w:tc>
        <w:tc>
          <w:tcPr>
            <w:tcW w:w="590" w:type="dxa"/>
            <w:tcBorders>
              <w:top w:val="nil"/>
              <w:left w:val="nil"/>
              <w:bottom w:val="nil"/>
              <w:right w:val="nil"/>
            </w:tcBorders>
          </w:tcPr>
          <w:p w14:paraId="1A7D7B42" w14:textId="77777777" w:rsidR="008F216A" w:rsidRDefault="00F31E98">
            <w:pPr>
              <w:spacing w:after="0" w:line="259" w:lineRule="auto"/>
              <w:ind w:left="130" w:firstLine="0"/>
              <w:jc w:val="left"/>
            </w:pPr>
            <w:r>
              <w:rPr>
                <w:sz w:val="10"/>
              </w:rPr>
              <w:t>0.2728</w:t>
            </w:r>
          </w:p>
        </w:tc>
        <w:tc>
          <w:tcPr>
            <w:tcW w:w="887" w:type="dxa"/>
            <w:tcBorders>
              <w:top w:val="nil"/>
              <w:left w:val="nil"/>
              <w:bottom w:val="nil"/>
              <w:right w:val="nil"/>
            </w:tcBorders>
          </w:tcPr>
          <w:p w14:paraId="5AEE63D3" w14:textId="77777777" w:rsidR="008F216A" w:rsidRDefault="00F31E98">
            <w:pPr>
              <w:spacing w:after="0" w:line="259" w:lineRule="auto"/>
              <w:ind w:left="479" w:firstLine="0"/>
              <w:jc w:val="left"/>
            </w:pPr>
            <w:r>
              <w:rPr>
                <w:sz w:val="10"/>
              </w:rPr>
              <w:t>35.18</w:t>
            </w:r>
          </w:p>
        </w:tc>
        <w:tc>
          <w:tcPr>
            <w:tcW w:w="927" w:type="dxa"/>
            <w:tcBorders>
              <w:top w:val="nil"/>
              <w:left w:val="nil"/>
              <w:bottom w:val="nil"/>
              <w:right w:val="nil"/>
            </w:tcBorders>
          </w:tcPr>
          <w:p w14:paraId="06786F1F" w14:textId="77777777" w:rsidR="008F216A" w:rsidRDefault="00F31E98">
            <w:pPr>
              <w:spacing w:after="0" w:line="259" w:lineRule="auto"/>
              <w:ind w:left="468" w:firstLine="0"/>
              <w:jc w:val="left"/>
            </w:pPr>
            <w:r>
              <w:rPr>
                <w:sz w:val="10"/>
              </w:rPr>
              <w:t>0.2552</w:t>
            </w:r>
          </w:p>
        </w:tc>
        <w:tc>
          <w:tcPr>
            <w:tcW w:w="587" w:type="dxa"/>
            <w:tcBorders>
              <w:top w:val="nil"/>
              <w:left w:val="nil"/>
              <w:bottom w:val="nil"/>
              <w:right w:val="nil"/>
            </w:tcBorders>
          </w:tcPr>
          <w:p w14:paraId="554BA717" w14:textId="77777777" w:rsidR="008F216A" w:rsidRDefault="00F31E98">
            <w:pPr>
              <w:spacing w:after="0" w:line="259" w:lineRule="auto"/>
              <w:ind w:left="268" w:firstLine="0"/>
              <w:jc w:val="left"/>
            </w:pPr>
            <w:r>
              <w:rPr>
                <w:sz w:val="10"/>
              </w:rPr>
              <w:t>1.694</w:t>
            </w:r>
          </w:p>
        </w:tc>
      </w:tr>
      <w:tr w:rsidR="008F216A" w14:paraId="1CBE96D4" w14:textId="77777777">
        <w:trPr>
          <w:trHeight w:val="118"/>
        </w:trPr>
        <w:tc>
          <w:tcPr>
            <w:tcW w:w="1071" w:type="dxa"/>
            <w:tcBorders>
              <w:top w:val="nil"/>
              <w:left w:val="nil"/>
              <w:bottom w:val="nil"/>
              <w:right w:val="nil"/>
            </w:tcBorders>
          </w:tcPr>
          <w:p w14:paraId="49FE480C" w14:textId="77777777" w:rsidR="008F216A" w:rsidRDefault="00F31E98">
            <w:pPr>
              <w:spacing w:after="0" w:line="259" w:lineRule="auto"/>
              <w:ind w:left="88" w:firstLine="0"/>
              <w:jc w:val="left"/>
            </w:pPr>
            <w:r>
              <w:rPr>
                <w:sz w:val="10"/>
              </w:rPr>
              <w:t>Budget-MI</w:t>
            </w:r>
          </w:p>
        </w:tc>
        <w:tc>
          <w:tcPr>
            <w:tcW w:w="960" w:type="dxa"/>
            <w:tcBorders>
              <w:top w:val="nil"/>
              <w:left w:val="nil"/>
              <w:bottom w:val="nil"/>
              <w:right w:val="nil"/>
            </w:tcBorders>
          </w:tcPr>
          <w:p w14:paraId="3B1ED1B8" w14:textId="77777777" w:rsidR="008F216A" w:rsidRDefault="00F31E98">
            <w:pPr>
              <w:spacing w:after="0" w:line="259" w:lineRule="auto"/>
              <w:ind w:left="500" w:firstLine="0"/>
              <w:jc w:val="left"/>
            </w:pPr>
            <w:r>
              <w:rPr>
                <w:sz w:val="10"/>
              </w:rPr>
              <w:t>0.8331</w:t>
            </w:r>
          </w:p>
        </w:tc>
        <w:tc>
          <w:tcPr>
            <w:tcW w:w="590" w:type="dxa"/>
            <w:tcBorders>
              <w:top w:val="nil"/>
              <w:left w:val="nil"/>
              <w:bottom w:val="nil"/>
              <w:right w:val="nil"/>
            </w:tcBorders>
          </w:tcPr>
          <w:p w14:paraId="2860661F" w14:textId="77777777" w:rsidR="008F216A" w:rsidRDefault="00F31E98">
            <w:pPr>
              <w:spacing w:after="0" w:line="259" w:lineRule="auto"/>
              <w:ind w:left="130" w:firstLine="0"/>
              <w:jc w:val="left"/>
            </w:pPr>
            <w:r>
              <w:rPr>
                <w:sz w:val="10"/>
              </w:rPr>
              <w:t>0.2735</w:t>
            </w:r>
          </w:p>
        </w:tc>
        <w:tc>
          <w:tcPr>
            <w:tcW w:w="887" w:type="dxa"/>
            <w:tcBorders>
              <w:top w:val="nil"/>
              <w:left w:val="nil"/>
              <w:bottom w:val="nil"/>
              <w:right w:val="nil"/>
            </w:tcBorders>
          </w:tcPr>
          <w:p w14:paraId="153A8AC8" w14:textId="77777777" w:rsidR="008F216A" w:rsidRDefault="00F31E98">
            <w:pPr>
              <w:spacing w:after="0" w:line="259" w:lineRule="auto"/>
              <w:ind w:left="479" w:firstLine="0"/>
              <w:jc w:val="left"/>
            </w:pPr>
            <w:r>
              <w:rPr>
                <w:sz w:val="10"/>
              </w:rPr>
              <w:t>27.95</w:t>
            </w:r>
          </w:p>
        </w:tc>
        <w:tc>
          <w:tcPr>
            <w:tcW w:w="927" w:type="dxa"/>
            <w:tcBorders>
              <w:top w:val="nil"/>
              <w:left w:val="nil"/>
              <w:bottom w:val="nil"/>
              <w:right w:val="nil"/>
            </w:tcBorders>
          </w:tcPr>
          <w:p w14:paraId="01EAD421" w14:textId="77777777" w:rsidR="008F216A" w:rsidRDefault="00F31E98">
            <w:pPr>
              <w:spacing w:after="0" w:line="259" w:lineRule="auto"/>
              <w:ind w:left="468" w:firstLine="0"/>
              <w:jc w:val="left"/>
            </w:pPr>
            <w:r>
              <w:rPr>
                <w:sz w:val="10"/>
              </w:rPr>
              <w:t>0.2335</w:t>
            </w:r>
          </w:p>
        </w:tc>
        <w:tc>
          <w:tcPr>
            <w:tcW w:w="587" w:type="dxa"/>
            <w:tcBorders>
              <w:top w:val="nil"/>
              <w:left w:val="nil"/>
              <w:bottom w:val="nil"/>
              <w:right w:val="nil"/>
            </w:tcBorders>
          </w:tcPr>
          <w:p w14:paraId="28D8B5AE" w14:textId="77777777" w:rsidR="008F216A" w:rsidRDefault="00F31E98">
            <w:pPr>
              <w:spacing w:after="0" w:line="259" w:lineRule="auto"/>
              <w:ind w:left="268" w:firstLine="0"/>
              <w:jc w:val="left"/>
            </w:pPr>
            <w:r>
              <w:rPr>
                <w:sz w:val="10"/>
              </w:rPr>
              <w:t>1.622</w:t>
            </w:r>
          </w:p>
        </w:tc>
      </w:tr>
      <w:tr w:rsidR="008F216A" w14:paraId="5DB180BA" w14:textId="77777777">
        <w:trPr>
          <w:trHeight w:val="151"/>
        </w:trPr>
        <w:tc>
          <w:tcPr>
            <w:tcW w:w="1071" w:type="dxa"/>
            <w:tcBorders>
              <w:top w:val="nil"/>
              <w:left w:val="nil"/>
              <w:bottom w:val="single" w:sz="5" w:space="0" w:color="000000"/>
              <w:right w:val="nil"/>
            </w:tcBorders>
          </w:tcPr>
          <w:p w14:paraId="56ACF97D" w14:textId="77777777" w:rsidR="008F216A" w:rsidRDefault="00F31E98">
            <w:pPr>
              <w:spacing w:after="0" w:line="259" w:lineRule="auto"/>
              <w:ind w:left="88" w:firstLine="0"/>
              <w:jc w:val="left"/>
            </w:pPr>
            <w:r>
              <w:rPr>
                <w:sz w:val="10"/>
              </w:rPr>
              <w:t>Budget-stable-LCB</w:t>
            </w:r>
          </w:p>
        </w:tc>
        <w:tc>
          <w:tcPr>
            <w:tcW w:w="960" w:type="dxa"/>
            <w:tcBorders>
              <w:top w:val="nil"/>
              <w:left w:val="nil"/>
              <w:bottom w:val="single" w:sz="5" w:space="0" w:color="000000"/>
              <w:right w:val="nil"/>
            </w:tcBorders>
          </w:tcPr>
          <w:p w14:paraId="44EC0C46" w14:textId="77777777" w:rsidR="008F216A" w:rsidRDefault="00F31E98">
            <w:pPr>
              <w:spacing w:after="0" w:line="259" w:lineRule="auto"/>
              <w:ind w:left="500" w:firstLine="0"/>
              <w:jc w:val="left"/>
            </w:pPr>
            <w:r>
              <w:rPr>
                <w:sz w:val="10"/>
              </w:rPr>
              <w:t>0.8280</w:t>
            </w:r>
          </w:p>
        </w:tc>
        <w:tc>
          <w:tcPr>
            <w:tcW w:w="590" w:type="dxa"/>
            <w:tcBorders>
              <w:top w:val="nil"/>
              <w:left w:val="nil"/>
              <w:bottom w:val="single" w:sz="5" w:space="0" w:color="000000"/>
              <w:right w:val="nil"/>
            </w:tcBorders>
          </w:tcPr>
          <w:p w14:paraId="2E9FA76E" w14:textId="77777777" w:rsidR="008F216A" w:rsidRDefault="00F31E98">
            <w:pPr>
              <w:spacing w:after="0" w:line="259" w:lineRule="auto"/>
              <w:ind w:left="130" w:firstLine="0"/>
              <w:jc w:val="left"/>
            </w:pPr>
            <w:r>
              <w:rPr>
                <w:sz w:val="10"/>
              </w:rPr>
              <w:t>0.2775</w:t>
            </w:r>
          </w:p>
        </w:tc>
        <w:tc>
          <w:tcPr>
            <w:tcW w:w="887" w:type="dxa"/>
            <w:tcBorders>
              <w:top w:val="nil"/>
              <w:left w:val="nil"/>
              <w:bottom w:val="single" w:sz="5" w:space="0" w:color="000000"/>
              <w:right w:val="nil"/>
            </w:tcBorders>
          </w:tcPr>
          <w:p w14:paraId="3DE7042C" w14:textId="77777777" w:rsidR="008F216A" w:rsidRDefault="00F31E98">
            <w:pPr>
              <w:spacing w:after="0" w:line="259" w:lineRule="auto"/>
              <w:ind w:left="479" w:firstLine="0"/>
              <w:jc w:val="left"/>
            </w:pPr>
            <w:r>
              <w:rPr>
                <w:sz w:val="10"/>
              </w:rPr>
              <w:t>30.98</w:t>
            </w:r>
          </w:p>
        </w:tc>
        <w:tc>
          <w:tcPr>
            <w:tcW w:w="927" w:type="dxa"/>
            <w:tcBorders>
              <w:top w:val="nil"/>
              <w:left w:val="nil"/>
              <w:bottom w:val="single" w:sz="5" w:space="0" w:color="000000"/>
              <w:right w:val="nil"/>
            </w:tcBorders>
          </w:tcPr>
          <w:p w14:paraId="6297E453" w14:textId="77777777" w:rsidR="008F216A" w:rsidRDefault="00F31E98">
            <w:pPr>
              <w:spacing w:after="0" w:line="259" w:lineRule="auto"/>
              <w:ind w:left="468" w:firstLine="0"/>
              <w:jc w:val="left"/>
            </w:pPr>
            <w:r>
              <w:rPr>
                <w:sz w:val="10"/>
              </w:rPr>
              <w:t>0.2554</w:t>
            </w:r>
          </w:p>
        </w:tc>
        <w:tc>
          <w:tcPr>
            <w:tcW w:w="587" w:type="dxa"/>
            <w:tcBorders>
              <w:top w:val="nil"/>
              <w:left w:val="nil"/>
              <w:bottom w:val="single" w:sz="5" w:space="0" w:color="000000"/>
              <w:right w:val="nil"/>
            </w:tcBorders>
          </w:tcPr>
          <w:p w14:paraId="781F23E8" w14:textId="77777777" w:rsidR="008F216A" w:rsidRDefault="00F31E98">
            <w:pPr>
              <w:spacing w:after="0" w:line="259" w:lineRule="auto"/>
              <w:ind w:left="268" w:firstLine="0"/>
              <w:jc w:val="left"/>
            </w:pPr>
            <w:r>
              <w:rPr>
                <w:sz w:val="10"/>
              </w:rPr>
              <w:t>1.613</w:t>
            </w:r>
          </w:p>
        </w:tc>
      </w:tr>
    </w:tbl>
    <w:p w14:paraId="7DA44CBD" w14:textId="77777777" w:rsidR="008F216A" w:rsidRDefault="00F31E98">
      <w:pPr>
        <w:spacing w:after="251" w:line="259" w:lineRule="auto"/>
        <w:ind w:firstLine="0"/>
        <w:jc w:val="left"/>
      </w:pPr>
      <w:r>
        <w:rPr>
          <w:noProof/>
        </w:rPr>
        <w:drawing>
          <wp:inline distT="0" distB="0" distL="0" distR="0" wp14:anchorId="28D86985" wp14:editId="1154E285">
            <wp:extent cx="3188476" cy="1992798"/>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3188476" cy="1992798"/>
                    </a:xfrm>
                    <a:prstGeom prst="rect">
                      <a:avLst/>
                    </a:prstGeom>
                  </pic:spPr>
                </pic:pic>
              </a:graphicData>
            </a:graphic>
          </wp:inline>
        </w:drawing>
      </w:r>
    </w:p>
    <w:p w14:paraId="2320E174" w14:textId="77777777" w:rsidR="008F216A" w:rsidRDefault="00F31E98">
      <w:pPr>
        <w:spacing w:after="404" w:line="234" w:lineRule="auto"/>
        <w:ind w:left="-15" w:firstLine="0"/>
      </w:pPr>
      <w:r>
        <w:rPr>
          <w:sz w:val="16"/>
        </w:rPr>
        <w:t>Fig. 2. Accuracy–cost outcomes. The preferred direction is upper left.</w:t>
      </w:r>
    </w:p>
    <w:p w14:paraId="3F75DD1B" w14:textId="77777777" w:rsidR="008F216A" w:rsidRDefault="00F31E98">
      <w:pPr>
        <w:ind w:left="-15" w:right="-15"/>
      </w:pPr>
      <w:r>
        <w:t xml:space="preserve">Relative to EHOA, stable-LCB lowered cost ratio by 0.2007 on average and did so on all ten data sets. The paired </w:t>
      </w:r>
      <w:r>
        <w:rPr>
          <w:rFonts w:ascii="Cambria" w:eastAsia="Cambria" w:hAnsi="Cambria" w:cs="Cambria"/>
          <w:i/>
        </w:rPr>
        <w:t>p</w:t>
      </w:r>
      <w:r>
        <w:t xml:space="preserve">value was 0.00195 and Holm-adjusted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00781</w:t>
      </w:r>
      <w:r>
        <w:t xml:space="preserve">. Stability increased by 0.1325, with nine wins and one loss; raw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00391 </w:t>
      </w:r>
      <w:r>
        <w:t xml:space="preserve">and adjusted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01563</w:t>
      </w:r>
      <w:r>
        <w:t xml:space="preserve">. Balanced-accuracy difference was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00209</w:t>
      </w:r>
      <w:r>
        <w:t xml:space="preserve">, with six numerical wins and four losses; raw </w:t>
      </w:r>
      <w:r>
        <w:rPr>
          <w:rFonts w:ascii="Cambria" w:eastAsia="Cambria" w:hAnsi="Cambria" w:cs="Cambria"/>
          <w:i/>
        </w:rPr>
        <w:t xml:space="preserve">p </w:t>
      </w:r>
      <w:r>
        <w:rPr>
          <w:rFonts w:ascii="Cambria" w:eastAsia="Cambria" w:hAnsi="Cambria" w:cs="Cambria"/>
        </w:rPr>
        <w:t>= 0</w:t>
      </w:r>
      <w:r>
        <w:rPr>
          <w:rFonts w:ascii="Cambria" w:eastAsia="Cambria" w:hAnsi="Cambria" w:cs="Cambria"/>
          <w:i/>
        </w:rPr>
        <w:t>.</w:t>
      </w:r>
      <w:r>
        <w:rPr>
          <w:rFonts w:ascii="Cambria" w:eastAsia="Cambria" w:hAnsi="Cambria" w:cs="Cambria"/>
        </w:rPr>
        <w:t xml:space="preserve">5566 </w:t>
      </w:r>
      <w:r>
        <w:t xml:space="preserve">and adjusted </w:t>
      </w:r>
      <w:r>
        <w:rPr>
          <w:rFonts w:ascii="Cambria" w:eastAsia="Cambria" w:hAnsi="Cambria" w:cs="Cambria"/>
          <w:i/>
        </w:rPr>
        <w:t xml:space="preserve">p </w:t>
      </w:r>
      <w:r>
        <w:rPr>
          <w:rFonts w:ascii="Cambria" w:eastAsia="Cambria" w:hAnsi="Cambria" w:cs="Cambria"/>
        </w:rPr>
        <w:t>= 1</w:t>
      </w:r>
      <w:r>
        <w:rPr>
          <w:rFonts w:ascii="Cambria" w:eastAsia="Cambria" w:hAnsi="Cambria" w:cs="Cambria"/>
          <w:i/>
        </w:rPr>
        <w:t>.</w:t>
      </w:r>
      <w:r>
        <w:rPr>
          <w:rFonts w:ascii="Cambria" w:eastAsia="Cambria" w:hAnsi="Cambria" w:cs="Cambria"/>
        </w:rPr>
        <w:t>0</w:t>
      </w:r>
      <w:r>
        <w:t xml:space="preserve">. A dataset bootstrap 95% interval for the accuracy difference was approximately </w:t>
      </w:r>
      <w:r>
        <w:rPr>
          <w:rFonts w:ascii="Cambria" w:eastAsia="Cambria" w:hAnsi="Cambria" w:cs="Cambria"/>
        </w:rPr>
        <w:t>[−0</w:t>
      </w:r>
      <w:r>
        <w:rPr>
          <w:rFonts w:ascii="Cambria" w:eastAsia="Cambria" w:hAnsi="Cambria" w:cs="Cambria"/>
          <w:i/>
        </w:rPr>
        <w:t>.</w:t>
      </w:r>
      <w:r>
        <w:rPr>
          <w:rFonts w:ascii="Cambria" w:eastAsia="Cambria" w:hAnsi="Cambria" w:cs="Cambria"/>
        </w:rPr>
        <w:t>0177</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0087]</w:t>
      </w:r>
      <w:r>
        <w:t>, so formal non-inferiority under a small margin is not established.</w:t>
      </w:r>
    </w:p>
    <w:p w14:paraId="27B036F7" w14:textId="77777777" w:rsidR="008F216A" w:rsidRDefault="00F31E98">
      <w:pPr>
        <w:spacing w:after="205"/>
        <w:ind w:left="-15" w:right="-15"/>
      </w:pPr>
      <w:r>
        <w:t xml:space="preserve">Against Budget-MI, stable-LCB had mean accuracy difference </w:t>
      </w:r>
      <w:r>
        <w:rPr>
          <w:rFonts w:ascii="Cambria" w:eastAsia="Cambria" w:hAnsi="Cambria" w:cs="Cambria"/>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00509 </w:t>
      </w:r>
      <w:r>
        <w:t xml:space="preserve">and stability difference </w:t>
      </w:r>
      <w:r>
        <w:rPr>
          <w:rFonts w:ascii="Cambria" w:eastAsia="Cambria" w:hAnsi="Cambria" w:cs="Cambria"/>
        </w:rPr>
        <w:t>+0</w:t>
      </w:r>
      <w:r>
        <w:rPr>
          <w:rFonts w:ascii="Cambria" w:eastAsia="Cambria" w:hAnsi="Cambria" w:cs="Cambria"/>
          <w:i/>
        </w:rPr>
        <w:t>.</w:t>
      </w:r>
      <w:r>
        <w:rPr>
          <w:rFonts w:ascii="Cambria" w:eastAsia="Cambria" w:hAnsi="Cambria" w:cs="Cambria"/>
        </w:rPr>
        <w:t>02190</w:t>
      </w:r>
      <w:r>
        <w:t>; neither was significant after correction. Its stability was nearly identical to cheapest-first repair. Thus the budget constraint explains the clear cost reduction, while the LCB ranking does not demonstrate universal superiority over simpler feasible repairs.</w:t>
      </w:r>
    </w:p>
    <w:p w14:paraId="2E39799F" w14:textId="77777777" w:rsidR="008F216A" w:rsidRDefault="00F31E98">
      <w:pPr>
        <w:pStyle w:val="Heading2"/>
      </w:pPr>
      <w:r>
        <w:rPr>
          <w:sz w:val="20"/>
        </w:rPr>
        <w:t>VI. D</w:t>
      </w:r>
      <w:r>
        <w:t>ISCUSSION</w:t>
      </w:r>
    </w:p>
    <w:p w14:paraId="6DFBA512" w14:textId="77777777" w:rsidR="008F216A" w:rsidRDefault="00F31E98">
      <w:pPr>
        <w:ind w:left="-15" w:right="-15"/>
      </w:pPr>
      <w:r>
        <w:t xml:space="preserve">The strongest evidence concerns two objectives neglected by unconstrained EHOA. Stable-LCB used approximately 42% less selected cost relative to EHOA, computed as </w:t>
      </w:r>
      <w:r>
        <w:rPr>
          <w:rFonts w:ascii="Cambria" w:eastAsia="Cambria" w:hAnsi="Cambria" w:cs="Cambria"/>
        </w:rPr>
        <w:t>(0</w:t>
      </w:r>
      <w:r>
        <w:rPr>
          <w:rFonts w:ascii="Cambria" w:eastAsia="Cambria" w:hAnsi="Cambria" w:cs="Cambria"/>
          <w:i/>
        </w:rPr>
        <w:t>.</w:t>
      </w:r>
      <w:r>
        <w:rPr>
          <w:rFonts w:ascii="Cambria" w:eastAsia="Cambria" w:hAnsi="Cambria" w:cs="Cambria"/>
        </w:rPr>
        <w:t>4782 − 0</w:t>
      </w:r>
      <w:r>
        <w:rPr>
          <w:rFonts w:ascii="Cambria" w:eastAsia="Cambria" w:hAnsi="Cambria" w:cs="Cambria"/>
          <w:i/>
        </w:rPr>
        <w:t>.</w:t>
      </w:r>
      <w:r>
        <w:rPr>
          <w:rFonts w:ascii="Cambria" w:eastAsia="Cambria" w:hAnsi="Cambria" w:cs="Cambria"/>
        </w:rPr>
        <w:t>2775)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4782</w:t>
      </w:r>
      <w:r>
        <w:t>, and more than doubled chance-corrected stability. Predictive performance remained close on average, but absence of significance is not proof of equivalence.</w:t>
      </w:r>
    </w:p>
    <w:p w14:paraId="69F89B59" w14:textId="77777777" w:rsidR="008F216A" w:rsidRDefault="00F31E98">
      <w:pPr>
        <w:ind w:left="-15" w:right="-15"/>
      </w:pPr>
      <w:r>
        <w:t xml:space="preserve">The results also expose an important boundary. Budget-MI achieved the highest mean balanced accuracy and the lowest </w:t>
      </w:r>
      <w:r>
        <w:lastRenderedPageBreak/>
        <w:t>mean subset size. Stable-LCB’s highest average stability did not translate into a significant advantage over all budget controls. Consequently, “best algorithm,” “universal accuracy improvement,” and “first cost-aware selector” would be unsupported claims. A defensible contribution is the exact LCBper-cost repair within EHOA and its audited cost–stability behavior.</w:t>
      </w:r>
    </w:p>
    <w:p w14:paraId="016C9042" w14:textId="77777777" w:rsidR="008F216A" w:rsidRDefault="00F31E98">
      <w:pPr>
        <w:pStyle w:val="Heading1"/>
        <w:spacing w:after="3"/>
      </w:pPr>
      <w:r>
        <w:t>TABLE II</w:t>
      </w:r>
    </w:p>
    <w:p w14:paraId="3CE6EF2C" w14:textId="77777777" w:rsidR="008F216A" w:rsidRDefault="00F31E98">
      <w:pPr>
        <w:spacing w:after="0" w:line="259" w:lineRule="auto"/>
        <w:ind w:left="7" w:hanging="10"/>
        <w:jc w:val="left"/>
      </w:pPr>
      <w:r>
        <w:rPr>
          <w:sz w:val="16"/>
        </w:rPr>
        <w:t>D</w:t>
      </w:r>
      <w:r>
        <w:rPr>
          <w:sz w:val="13"/>
        </w:rPr>
        <w:t>ATA</w:t>
      </w:r>
      <w:r>
        <w:rPr>
          <w:sz w:val="16"/>
        </w:rPr>
        <w:t>-</w:t>
      </w:r>
      <w:r>
        <w:rPr>
          <w:sz w:val="13"/>
        </w:rPr>
        <w:t>SET</w:t>
      </w:r>
      <w:r>
        <w:rPr>
          <w:sz w:val="16"/>
        </w:rPr>
        <w:t>-</w:t>
      </w:r>
      <w:r>
        <w:rPr>
          <w:sz w:val="13"/>
        </w:rPr>
        <w:t>LEVEL STABLE</w:t>
      </w:r>
      <w:r>
        <w:rPr>
          <w:sz w:val="16"/>
        </w:rPr>
        <w:t xml:space="preserve">-LCB </w:t>
      </w:r>
      <w:r>
        <w:rPr>
          <w:sz w:val="13"/>
        </w:rPr>
        <w:t>RESULTS</w:t>
      </w:r>
      <w:r>
        <w:rPr>
          <w:sz w:val="16"/>
        </w:rPr>
        <w:t xml:space="preserve">. </w:t>
      </w:r>
      <w:r>
        <w:rPr>
          <w:rFonts w:ascii="Cambria" w:eastAsia="Cambria" w:hAnsi="Cambria" w:cs="Cambria"/>
          <w:sz w:val="16"/>
        </w:rPr>
        <w:t>∆</w:t>
      </w:r>
      <w:r>
        <w:rPr>
          <w:rFonts w:ascii="Cambria" w:eastAsia="Cambria" w:hAnsi="Cambria" w:cs="Cambria"/>
          <w:i/>
          <w:sz w:val="16"/>
        </w:rPr>
        <w:t xml:space="preserve">BA </w:t>
      </w:r>
      <w:r>
        <w:rPr>
          <w:sz w:val="13"/>
        </w:rPr>
        <w:t xml:space="preserve">IS RELATIVE TO </w:t>
      </w:r>
      <w:r>
        <w:rPr>
          <w:sz w:val="16"/>
        </w:rPr>
        <w:t>EHOA.</w:t>
      </w:r>
    </w:p>
    <w:tbl>
      <w:tblPr>
        <w:tblStyle w:val="TableGrid"/>
        <w:tblW w:w="3446" w:type="dxa"/>
        <w:tblInd w:w="787" w:type="dxa"/>
        <w:tblCellMar>
          <w:top w:w="17" w:type="dxa"/>
          <w:left w:w="0" w:type="dxa"/>
          <w:bottom w:w="0" w:type="dxa"/>
          <w:right w:w="115" w:type="dxa"/>
        </w:tblCellMar>
        <w:tblLook w:val="04A0" w:firstRow="1" w:lastRow="0" w:firstColumn="1" w:lastColumn="0" w:noHBand="0" w:noVBand="1"/>
      </w:tblPr>
      <w:tblGrid>
        <w:gridCol w:w="1354"/>
        <w:gridCol w:w="701"/>
        <w:gridCol w:w="799"/>
        <w:gridCol w:w="592"/>
      </w:tblGrid>
      <w:tr w:rsidR="008F216A" w14:paraId="33279E07" w14:textId="77777777">
        <w:trPr>
          <w:trHeight w:val="267"/>
        </w:trPr>
        <w:tc>
          <w:tcPr>
            <w:tcW w:w="1353" w:type="dxa"/>
            <w:tcBorders>
              <w:top w:val="single" w:sz="6" w:space="0" w:color="000000"/>
              <w:left w:val="nil"/>
              <w:bottom w:val="single" w:sz="4" w:space="0" w:color="000000"/>
              <w:right w:val="nil"/>
            </w:tcBorders>
          </w:tcPr>
          <w:p w14:paraId="0272317F" w14:textId="77777777" w:rsidR="008F216A" w:rsidRDefault="00F31E98">
            <w:pPr>
              <w:spacing w:after="0" w:line="259" w:lineRule="auto"/>
              <w:ind w:left="120" w:firstLine="0"/>
              <w:jc w:val="left"/>
            </w:pPr>
            <w:r>
              <w:rPr>
                <w:sz w:val="14"/>
              </w:rPr>
              <w:t>Data set</w:t>
            </w:r>
          </w:p>
        </w:tc>
        <w:tc>
          <w:tcPr>
            <w:tcW w:w="701" w:type="dxa"/>
            <w:tcBorders>
              <w:top w:val="single" w:sz="6" w:space="0" w:color="000000"/>
              <w:left w:val="nil"/>
              <w:bottom w:val="single" w:sz="4" w:space="0" w:color="000000"/>
              <w:right w:val="nil"/>
            </w:tcBorders>
          </w:tcPr>
          <w:p w14:paraId="71E19127" w14:textId="77777777" w:rsidR="008F216A" w:rsidRDefault="00F31E98">
            <w:pPr>
              <w:spacing w:after="0" w:line="259" w:lineRule="auto"/>
              <w:ind w:left="84" w:firstLine="0"/>
              <w:jc w:val="left"/>
            </w:pPr>
            <w:r>
              <w:rPr>
                <w:rFonts w:ascii="Cambria" w:eastAsia="Cambria" w:hAnsi="Cambria" w:cs="Cambria"/>
                <w:sz w:val="14"/>
              </w:rPr>
              <w:t>∆</w:t>
            </w:r>
            <w:r>
              <w:rPr>
                <w:rFonts w:ascii="Cambria" w:eastAsia="Cambria" w:hAnsi="Cambria" w:cs="Cambria"/>
                <w:i/>
                <w:sz w:val="14"/>
              </w:rPr>
              <w:t>BA</w:t>
            </w:r>
          </w:p>
        </w:tc>
        <w:tc>
          <w:tcPr>
            <w:tcW w:w="799" w:type="dxa"/>
            <w:tcBorders>
              <w:top w:val="single" w:sz="6" w:space="0" w:color="000000"/>
              <w:left w:val="nil"/>
              <w:bottom w:val="single" w:sz="4" w:space="0" w:color="000000"/>
              <w:right w:val="nil"/>
            </w:tcBorders>
          </w:tcPr>
          <w:p w14:paraId="758A71F7" w14:textId="77777777" w:rsidR="008F216A" w:rsidRDefault="00F31E98">
            <w:pPr>
              <w:spacing w:after="0" w:line="259" w:lineRule="auto"/>
              <w:ind w:firstLine="0"/>
              <w:jc w:val="left"/>
            </w:pPr>
            <w:r>
              <w:rPr>
                <w:sz w:val="14"/>
              </w:rPr>
              <w:t>Cost ratio</w:t>
            </w:r>
          </w:p>
        </w:tc>
        <w:tc>
          <w:tcPr>
            <w:tcW w:w="592" w:type="dxa"/>
            <w:tcBorders>
              <w:top w:val="single" w:sz="6" w:space="0" w:color="000000"/>
              <w:left w:val="nil"/>
              <w:bottom w:val="single" w:sz="4" w:space="0" w:color="000000"/>
              <w:right w:val="nil"/>
            </w:tcBorders>
          </w:tcPr>
          <w:p w14:paraId="5B42F7C1" w14:textId="77777777" w:rsidR="008F216A" w:rsidRDefault="00F31E98">
            <w:pPr>
              <w:spacing w:after="0" w:line="259" w:lineRule="auto"/>
              <w:ind w:firstLine="0"/>
              <w:jc w:val="left"/>
            </w:pPr>
            <w:r>
              <w:rPr>
                <w:sz w:val="14"/>
              </w:rPr>
              <w:t>Stability</w:t>
            </w:r>
          </w:p>
        </w:tc>
      </w:tr>
      <w:tr w:rsidR="008F216A" w14:paraId="1076EEAC" w14:textId="77777777">
        <w:trPr>
          <w:trHeight w:val="222"/>
        </w:trPr>
        <w:tc>
          <w:tcPr>
            <w:tcW w:w="1353" w:type="dxa"/>
            <w:tcBorders>
              <w:top w:val="single" w:sz="4" w:space="0" w:color="000000"/>
              <w:left w:val="nil"/>
              <w:bottom w:val="nil"/>
              <w:right w:val="nil"/>
            </w:tcBorders>
          </w:tcPr>
          <w:p w14:paraId="11E63023" w14:textId="77777777" w:rsidR="008F216A" w:rsidRDefault="00F31E98">
            <w:pPr>
              <w:spacing w:after="0" w:line="259" w:lineRule="auto"/>
              <w:ind w:left="120" w:firstLine="0"/>
              <w:jc w:val="left"/>
            </w:pPr>
            <w:r>
              <w:rPr>
                <w:sz w:val="14"/>
              </w:rPr>
              <w:t>Breast Cancer</w:t>
            </w:r>
          </w:p>
        </w:tc>
        <w:tc>
          <w:tcPr>
            <w:tcW w:w="701" w:type="dxa"/>
            <w:tcBorders>
              <w:top w:val="single" w:sz="4" w:space="0" w:color="000000"/>
              <w:left w:val="nil"/>
              <w:bottom w:val="nil"/>
              <w:right w:val="nil"/>
            </w:tcBorders>
          </w:tcPr>
          <w:p w14:paraId="46D16E07" w14:textId="77777777" w:rsidR="008F216A" w:rsidRDefault="00F31E98">
            <w:pPr>
              <w:spacing w:after="0" w:line="259" w:lineRule="auto"/>
              <w:ind w:left="32" w:firstLine="0"/>
              <w:jc w:val="left"/>
            </w:pPr>
            <w:r>
              <w:rPr>
                <w:sz w:val="14"/>
              </w:rPr>
              <w:t>-0.0038</w:t>
            </w:r>
          </w:p>
        </w:tc>
        <w:tc>
          <w:tcPr>
            <w:tcW w:w="799" w:type="dxa"/>
            <w:tcBorders>
              <w:top w:val="single" w:sz="4" w:space="0" w:color="000000"/>
              <w:left w:val="nil"/>
              <w:bottom w:val="nil"/>
              <w:right w:val="nil"/>
            </w:tcBorders>
          </w:tcPr>
          <w:p w14:paraId="6B76EF09" w14:textId="77777777" w:rsidR="008F216A" w:rsidRDefault="00F31E98">
            <w:pPr>
              <w:spacing w:after="0" w:line="259" w:lineRule="auto"/>
              <w:ind w:left="123" w:firstLine="0"/>
              <w:jc w:val="center"/>
            </w:pPr>
            <w:r>
              <w:rPr>
                <w:sz w:val="14"/>
              </w:rPr>
              <w:t>0.280</w:t>
            </w:r>
          </w:p>
        </w:tc>
        <w:tc>
          <w:tcPr>
            <w:tcW w:w="592" w:type="dxa"/>
            <w:tcBorders>
              <w:top w:val="single" w:sz="4" w:space="0" w:color="000000"/>
              <w:left w:val="nil"/>
              <w:bottom w:val="nil"/>
              <w:right w:val="nil"/>
            </w:tcBorders>
          </w:tcPr>
          <w:p w14:paraId="4CBD2D12" w14:textId="77777777" w:rsidR="008F216A" w:rsidRDefault="00F31E98">
            <w:pPr>
              <w:spacing w:after="0" w:line="259" w:lineRule="auto"/>
              <w:ind w:left="155" w:firstLine="0"/>
              <w:jc w:val="center"/>
            </w:pPr>
            <w:r>
              <w:rPr>
                <w:sz w:val="14"/>
              </w:rPr>
              <w:t>0.206</w:t>
            </w:r>
          </w:p>
        </w:tc>
      </w:tr>
      <w:tr w:rsidR="008F216A" w14:paraId="0657F435" w14:textId="77777777">
        <w:trPr>
          <w:trHeight w:val="159"/>
        </w:trPr>
        <w:tc>
          <w:tcPr>
            <w:tcW w:w="1353" w:type="dxa"/>
            <w:tcBorders>
              <w:top w:val="nil"/>
              <w:left w:val="nil"/>
              <w:bottom w:val="nil"/>
              <w:right w:val="nil"/>
            </w:tcBorders>
          </w:tcPr>
          <w:p w14:paraId="3DAEFBE0" w14:textId="77777777" w:rsidR="008F216A" w:rsidRDefault="00F31E98">
            <w:pPr>
              <w:spacing w:after="0" w:line="259" w:lineRule="auto"/>
              <w:ind w:left="120" w:firstLine="0"/>
              <w:jc w:val="left"/>
            </w:pPr>
            <w:r>
              <w:rPr>
                <w:sz w:val="14"/>
              </w:rPr>
              <w:t>Dermatology</w:t>
            </w:r>
          </w:p>
        </w:tc>
        <w:tc>
          <w:tcPr>
            <w:tcW w:w="701" w:type="dxa"/>
            <w:tcBorders>
              <w:top w:val="nil"/>
              <w:left w:val="nil"/>
              <w:bottom w:val="nil"/>
              <w:right w:val="nil"/>
            </w:tcBorders>
          </w:tcPr>
          <w:p w14:paraId="7D018D79" w14:textId="77777777" w:rsidR="008F216A" w:rsidRDefault="00F31E98">
            <w:pPr>
              <w:spacing w:after="0" w:line="259" w:lineRule="auto"/>
              <w:ind w:firstLine="0"/>
              <w:jc w:val="left"/>
            </w:pPr>
            <w:r>
              <w:rPr>
                <w:sz w:val="14"/>
              </w:rPr>
              <w:t>+0.0171</w:t>
            </w:r>
          </w:p>
        </w:tc>
        <w:tc>
          <w:tcPr>
            <w:tcW w:w="799" w:type="dxa"/>
            <w:tcBorders>
              <w:top w:val="nil"/>
              <w:left w:val="nil"/>
              <w:bottom w:val="nil"/>
              <w:right w:val="nil"/>
            </w:tcBorders>
          </w:tcPr>
          <w:p w14:paraId="3F9D57A3" w14:textId="77777777" w:rsidR="008F216A" w:rsidRDefault="00F31E98">
            <w:pPr>
              <w:spacing w:after="0" w:line="259" w:lineRule="auto"/>
              <w:ind w:left="122" w:firstLine="0"/>
              <w:jc w:val="center"/>
            </w:pPr>
            <w:r>
              <w:rPr>
                <w:sz w:val="14"/>
              </w:rPr>
              <w:t>0.290</w:t>
            </w:r>
          </w:p>
        </w:tc>
        <w:tc>
          <w:tcPr>
            <w:tcW w:w="592" w:type="dxa"/>
            <w:tcBorders>
              <w:top w:val="nil"/>
              <w:left w:val="nil"/>
              <w:bottom w:val="nil"/>
              <w:right w:val="nil"/>
            </w:tcBorders>
          </w:tcPr>
          <w:p w14:paraId="1237EBA6" w14:textId="77777777" w:rsidR="008F216A" w:rsidRDefault="00F31E98">
            <w:pPr>
              <w:spacing w:after="0" w:line="259" w:lineRule="auto"/>
              <w:ind w:left="155" w:firstLine="0"/>
              <w:jc w:val="center"/>
            </w:pPr>
            <w:r>
              <w:rPr>
                <w:sz w:val="14"/>
              </w:rPr>
              <w:t>0.355</w:t>
            </w:r>
          </w:p>
        </w:tc>
      </w:tr>
      <w:tr w:rsidR="008F216A" w14:paraId="7E9C6F40" w14:textId="77777777">
        <w:trPr>
          <w:trHeight w:val="159"/>
        </w:trPr>
        <w:tc>
          <w:tcPr>
            <w:tcW w:w="1353" w:type="dxa"/>
            <w:tcBorders>
              <w:top w:val="nil"/>
              <w:left w:val="nil"/>
              <w:bottom w:val="nil"/>
              <w:right w:val="nil"/>
            </w:tcBorders>
          </w:tcPr>
          <w:p w14:paraId="774051DE" w14:textId="77777777" w:rsidR="008F216A" w:rsidRDefault="00F31E98">
            <w:pPr>
              <w:spacing w:after="0" w:line="259" w:lineRule="auto"/>
              <w:ind w:left="120" w:firstLine="0"/>
              <w:jc w:val="left"/>
            </w:pPr>
            <w:r>
              <w:rPr>
                <w:sz w:val="14"/>
              </w:rPr>
              <w:t>Hill Valley</w:t>
            </w:r>
          </w:p>
        </w:tc>
        <w:tc>
          <w:tcPr>
            <w:tcW w:w="701" w:type="dxa"/>
            <w:tcBorders>
              <w:top w:val="nil"/>
              <w:left w:val="nil"/>
              <w:bottom w:val="nil"/>
              <w:right w:val="nil"/>
            </w:tcBorders>
          </w:tcPr>
          <w:p w14:paraId="7991AFD3" w14:textId="77777777" w:rsidR="008F216A" w:rsidRDefault="00F31E98">
            <w:pPr>
              <w:spacing w:after="0" w:line="259" w:lineRule="auto"/>
              <w:ind w:firstLine="0"/>
              <w:jc w:val="left"/>
            </w:pPr>
            <w:r>
              <w:rPr>
                <w:sz w:val="14"/>
              </w:rPr>
              <w:t>+0.0099</w:t>
            </w:r>
          </w:p>
        </w:tc>
        <w:tc>
          <w:tcPr>
            <w:tcW w:w="799" w:type="dxa"/>
            <w:tcBorders>
              <w:top w:val="nil"/>
              <w:left w:val="nil"/>
              <w:bottom w:val="nil"/>
              <w:right w:val="nil"/>
            </w:tcBorders>
          </w:tcPr>
          <w:p w14:paraId="65132D5B" w14:textId="77777777" w:rsidR="008F216A" w:rsidRDefault="00F31E98">
            <w:pPr>
              <w:spacing w:after="0" w:line="259" w:lineRule="auto"/>
              <w:ind w:left="123" w:firstLine="0"/>
              <w:jc w:val="center"/>
            </w:pPr>
            <w:r>
              <w:rPr>
                <w:sz w:val="14"/>
              </w:rPr>
              <w:t>0.294</w:t>
            </w:r>
          </w:p>
        </w:tc>
        <w:tc>
          <w:tcPr>
            <w:tcW w:w="592" w:type="dxa"/>
            <w:tcBorders>
              <w:top w:val="nil"/>
              <w:left w:val="nil"/>
              <w:bottom w:val="nil"/>
              <w:right w:val="nil"/>
            </w:tcBorders>
          </w:tcPr>
          <w:p w14:paraId="2BBFF811" w14:textId="77777777" w:rsidR="008F216A" w:rsidRDefault="00F31E98">
            <w:pPr>
              <w:spacing w:after="0" w:line="259" w:lineRule="auto"/>
              <w:ind w:left="155" w:firstLine="0"/>
              <w:jc w:val="center"/>
            </w:pPr>
            <w:r>
              <w:rPr>
                <w:sz w:val="14"/>
              </w:rPr>
              <w:t>0.110</w:t>
            </w:r>
          </w:p>
        </w:tc>
      </w:tr>
      <w:tr w:rsidR="008F216A" w14:paraId="781A6257" w14:textId="77777777">
        <w:trPr>
          <w:trHeight w:val="159"/>
        </w:trPr>
        <w:tc>
          <w:tcPr>
            <w:tcW w:w="1353" w:type="dxa"/>
            <w:tcBorders>
              <w:top w:val="nil"/>
              <w:left w:val="nil"/>
              <w:bottom w:val="nil"/>
              <w:right w:val="nil"/>
            </w:tcBorders>
          </w:tcPr>
          <w:p w14:paraId="5264EA9A" w14:textId="77777777" w:rsidR="008F216A" w:rsidRDefault="00F31E98">
            <w:pPr>
              <w:spacing w:after="0" w:line="259" w:lineRule="auto"/>
              <w:ind w:left="120" w:firstLine="0"/>
              <w:jc w:val="left"/>
            </w:pPr>
            <w:r>
              <w:rPr>
                <w:sz w:val="14"/>
              </w:rPr>
              <w:t>Ionosphere</w:t>
            </w:r>
          </w:p>
        </w:tc>
        <w:tc>
          <w:tcPr>
            <w:tcW w:w="701" w:type="dxa"/>
            <w:tcBorders>
              <w:top w:val="nil"/>
              <w:left w:val="nil"/>
              <w:bottom w:val="nil"/>
              <w:right w:val="nil"/>
            </w:tcBorders>
          </w:tcPr>
          <w:p w14:paraId="0488F5A2" w14:textId="77777777" w:rsidR="008F216A" w:rsidRDefault="00F31E98">
            <w:pPr>
              <w:spacing w:after="0" w:line="259" w:lineRule="auto"/>
              <w:ind w:firstLine="0"/>
              <w:jc w:val="left"/>
            </w:pPr>
            <w:r>
              <w:rPr>
                <w:sz w:val="14"/>
              </w:rPr>
              <w:t>+0.0108</w:t>
            </w:r>
          </w:p>
        </w:tc>
        <w:tc>
          <w:tcPr>
            <w:tcW w:w="799" w:type="dxa"/>
            <w:tcBorders>
              <w:top w:val="nil"/>
              <w:left w:val="nil"/>
              <w:bottom w:val="nil"/>
              <w:right w:val="nil"/>
            </w:tcBorders>
          </w:tcPr>
          <w:p w14:paraId="1543F99B" w14:textId="77777777" w:rsidR="008F216A" w:rsidRDefault="00F31E98">
            <w:pPr>
              <w:spacing w:after="0" w:line="259" w:lineRule="auto"/>
              <w:ind w:left="122" w:firstLine="0"/>
              <w:jc w:val="center"/>
            </w:pPr>
            <w:r>
              <w:rPr>
                <w:sz w:val="14"/>
              </w:rPr>
              <w:t>0.282</w:t>
            </w:r>
          </w:p>
        </w:tc>
        <w:tc>
          <w:tcPr>
            <w:tcW w:w="592" w:type="dxa"/>
            <w:tcBorders>
              <w:top w:val="nil"/>
              <w:left w:val="nil"/>
              <w:bottom w:val="nil"/>
              <w:right w:val="nil"/>
            </w:tcBorders>
          </w:tcPr>
          <w:p w14:paraId="6BCB7A29" w14:textId="77777777" w:rsidR="008F216A" w:rsidRDefault="00F31E98">
            <w:pPr>
              <w:spacing w:after="0" w:line="259" w:lineRule="auto"/>
              <w:ind w:left="155" w:firstLine="0"/>
              <w:jc w:val="center"/>
            </w:pPr>
            <w:r>
              <w:rPr>
                <w:sz w:val="14"/>
              </w:rPr>
              <w:t>0.304</w:t>
            </w:r>
          </w:p>
        </w:tc>
      </w:tr>
      <w:tr w:rsidR="008F216A" w14:paraId="03382D16" w14:textId="77777777">
        <w:trPr>
          <w:trHeight w:val="159"/>
        </w:trPr>
        <w:tc>
          <w:tcPr>
            <w:tcW w:w="1353" w:type="dxa"/>
            <w:tcBorders>
              <w:top w:val="nil"/>
              <w:left w:val="nil"/>
              <w:bottom w:val="nil"/>
              <w:right w:val="nil"/>
            </w:tcBorders>
          </w:tcPr>
          <w:p w14:paraId="273B8FBB" w14:textId="77777777" w:rsidR="008F216A" w:rsidRDefault="00F31E98">
            <w:pPr>
              <w:spacing w:after="0" w:line="259" w:lineRule="auto"/>
              <w:ind w:left="120" w:firstLine="0"/>
              <w:jc w:val="left"/>
            </w:pPr>
            <w:r>
              <w:rPr>
                <w:sz w:val="14"/>
              </w:rPr>
              <w:t>Madelon</w:t>
            </w:r>
          </w:p>
        </w:tc>
        <w:tc>
          <w:tcPr>
            <w:tcW w:w="701" w:type="dxa"/>
            <w:tcBorders>
              <w:top w:val="nil"/>
              <w:left w:val="nil"/>
              <w:bottom w:val="nil"/>
              <w:right w:val="nil"/>
            </w:tcBorders>
          </w:tcPr>
          <w:p w14:paraId="3305B09B" w14:textId="77777777" w:rsidR="008F216A" w:rsidRDefault="00F31E98">
            <w:pPr>
              <w:spacing w:after="0" w:line="259" w:lineRule="auto"/>
              <w:ind w:left="32" w:firstLine="0"/>
              <w:jc w:val="left"/>
            </w:pPr>
            <w:r>
              <w:rPr>
                <w:sz w:val="14"/>
              </w:rPr>
              <w:t>-0.0021</w:t>
            </w:r>
          </w:p>
        </w:tc>
        <w:tc>
          <w:tcPr>
            <w:tcW w:w="799" w:type="dxa"/>
            <w:tcBorders>
              <w:top w:val="nil"/>
              <w:left w:val="nil"/>
              <w:bottom w:val="nil"/>
              <w:right w:val="nil"/>
            </w:tcBorders>
          </w:tcPr>
          <w:p w14:paraId="7C550292" w14:textId="77777777" w:rsidR="008F216A" w:rsidRDefault="00F31E98">
            <w:pPr>
              <w:spacing w:after="0" w:line="259" w:lineRule="auto"/>
              <w:ind w:left="122" w:firstLine="0"/>
              <w:jc w:val="center"/>
            </w:pPr>
            <w:r>
              <w:rPr>
                <w:sz w:val="14"/>
              </w:rPr>
              <w:t>0.298</w:t>
            </w:r>
          </w:p>
        </w:tc>
        <w:tc>
          <w:tcPr>
            <w:tcW w:w="592" w:type="dxa"/>
            <w:tcBorders>
              <w:top w:val="nil"/>
              <w:left w:val="nil"/>
              <w:bottom w:val="nil"/>
              <w:right w:val="nil"/>
            </w:tcBorders>
          </w:tcPr>
          <w:p w14:paraId="64509A31" w14:textId="77777777" w:rsidR="008F216A" w:rsidRDefault="00F31E98">
            <w:pPr>
              <w:spacing w:after="0" w:line="259" w:lineRule="auto"/>
              <w:ind w:left="155" w:firstLine="0"/>
              <w:jc w:val="center"/>
            </w:pPr>
            <w:r>
              <w:rPr>
                <w:sz w:val="14"/>
              </w:rPr>
              <w:t>0.181</w:t>
            </w:r>
          </w:p>
        </w:tc>
      </w:tr>
      <w:tr w:rsidR="008F216A" w14:paraId="50BF4E7A" w14:textId="77777777">
        <w:trPr>
          <w:trHeight w:val="159"/>
        </w:trPr>
        <w:tc>
          <w:tcPr>
            <w:tcW w:w="1353" w:type="dxa"/>
            <w:tcBorders>
              <w:top w:val="nil"/>
              <w:left w:val="nil"/>
              <w:bottom w:val="nil"/>
              <w:right w:val="nil"/>
            </w:tcBorders>
          </w:tcPr>
          <w:p w14:paraId="1D264BF5" w14:textId="77777777" w:rsidR="008F216A" w:rsidRDefault="00F31E98">
            <w:pPr>
              <w:spacing w:after="0" w:line="259" w:lineRule="auto"/>
              <w:ind w:left="120" w:firstLine="0"/>
              <w:jc w:val="left"/>
            </w:pPr>
            <w:r>
              <w:rPr>
                <w:sz w:val="14"/>
              </w:rPr>
              <w:t>Parkinsons</w:t>
            </w:r>
          </w:p>
        </w:tc>
        <w:tc>
          <w:tcPr>
            <w:tcW w:w="701" w:type="dxa"/>
            <w:tcBorders>
              <w:top w:val="nil"/>
              <w:left w:val="nil"/>
              <w:bottom w:val="nil"/>
              <w:right w:val="nil"/>
            </w:tcBorders>
          </w:tcPr>
          <w:p w14:paraId="613CBADD" w14:textId="77777777" w:rsidR="008F216A" w:rsidRDefault="00F31E98">
            <w:pPr>
              <w:spacing w:after="0" w:line="259" w:lineRule="auto"/>
              <w:ind w:firstLine="0"/>
              <w:jc w:val="left"/>
            </w:pPr>
            <w:r>
              <w:rPr>
                <w:sz w:val="14"/>
              </w:rPr>
              <w:t>+0.0037</w:t>
            </w:r>
          </w:p>
        </w:tc>
        <w:tc>
          <w:tcPr>
            <w:tcW w:w="799" w:type="dxa"/>
            <w:tcBorders>
              <w:top w:val="nil"/>
              <w:left w:val="nil"/>
              <w:bottom w:val="nil"/>
              <w:right w:val="nil"/>
            </w:tcBorders>
          </w:tcPr>
          <w:p w14:paraId="71D99E5A" w14:textId="77777777" w:rsidR="008F216A" w:rsidRDefault="00F31E98">
            <w:pPr>
              <w:spacing w:after="0" w:line="259" w:lineRule="auto"/>
              <w:ind w:left="122" w:firstLine="0"/>
              <w:jc w:val="center"/>
            </w:pPr>
            <w:r>
              <w:rPr>
                <w:sz w:val="14"/>
              </w:rPr>
              <w:t>0.260</w:t>
            </w:r>
          </w:p>
        </w:tc>
        <w:tc>
          <w:tcPr>
            <w:tcW w:w="592" w:type="dxa"/>
            <w:tcBorders>
              <w:top w:val="nil"/>
              <w:left w:val="nil"/>
              <w:bottom w:val="nil"/>
              <w:right w:val="nil"/>
            </w:tcBorders>
          </w:tcPr>
          <w:p w14:paraId="449CDC61" w14:textId="77777777" w:rsidR="008F216A" w:rsidRDefault="00F31E98">
            <w:pPr>
              <w:spacing w:after="0" w:line="259" w:lineRule="auto"/>
              <w:ind w:left="155" w:firstLine="0"/>
              <w:jc w:val="center"/>
            </w:pPr>
            <w:r>
              <w:rPr>
                <w:sz w:val="14"/>
              </w:rPr>
              <w:t>0.186</w:t>
            </w:r>
          </w:p>
        </w:tc>
      </w:tr>
      <w:tr w:rsidR="008F216A" w14:paraId="2CF0C345" w14:textId="77777777">
        <w:trPr>
          <w:trHeight w:val="159"/>
        </w:trPr>
        <w:tc>
          <w:tcPr>
            <w:tcW w:w="1353" w:type="dxa"/>
            <w:tcBorders>
              <w:top w:val="nil"/>
              <w:left w:val="nil"/>
              <w:bottom w:val="nil"/>
              <w:right w:val="nil"/>
            </w:tcBorders>
          </w:tcPr>
          <w:p w14:paraId="563284F9" w14:textId="77777777" w:rsidR="008F216A" w:rsidRDefault="00F31E98">
            <w:pPr>
              <w:spacing w:after="0" w:line="259" w:lineRule="auto"/>
              <w:ind w:left="120" w:firstLine="0"/>
              <w:jc w:val="left"/>
            </w:pPr>
            <w:r>
              <w:rPr>
                <w:sz w:val="14"/>
              </w:rPr>
              <w:t>Sonar</w:t>
            </w:r>
          </w:p>
        </w:tc>
        <w:tc>
          <w:tcPr>
            <w:tcW w:w="701" w:type="dxa"/>
            <w:tcBorders>
              <w:top w:val="nil"/>
              <w:left w:val="nil"/>
              <w:bottom w:val="nil"/>
              <w:right w:val="nil"/>
            </w:tcBorders>
          </w:tcPr>
          <w:p w14:paraId="6B241873" w14:textId="77777777" w:rsidR="008F216A" w:rsidRDefault="00F31E98">
            <w:pPr>
              <w:spacing w:after="0" w:line="259" w:lineRule="auto"/>
              <w:ind w:firstLine="0"/>
              <w:jc w:val="left"/>
            </w:pPr>
            <w:r>
              <w:rPr>
                <w:sz w:val="14"/>
              </w:rPr>
              <w:t>+0.0155</w:t>
            </w:r>
          </w:p>
        </w:tc>
        <w:tc>
          <w:tcPr>
            <w:tcW w:w="799" w:type="dxa"/>
            <w:tcBorders>
              <w:top w:val="nil"/>
              <w:left w:val="nil"/>
              <w:bottom w:val="nil"/>
              <w:right w:val="nil"/>
            </w:tcBorders>
          </w:tcPr>
          <w:p w14:paraId="62CAE55E" w14:textId="77777777" w:rsidR="008F216A" w:rsidRDefault="00F31E98">
            <w:pPr>
              <w:spacing w:after="0" w:line="259" w:lineRule="auto"/>
              <w:ind w:left="122" w:firstLine="0"/>
              <w:jc w:val="center"/>
            </w:pPr>
            <w:r>
              <w:rPr>
                <w:sz w:val="14"/>
              </w:rPr>
              <w:t>0.283</w:t>
            </w:r>
          </w:p>
        </w:tc>
        <w:tc>
          <w:tcPr>
            <w:tcW w:w="592" w:type="dxa"/>
            <w:tcBorders>
              <w:top w:val="nil"/>
              <w:left w:val="nil"/>
              <w:bottom w:val="nil"/>
              <w:right w:val="nil"/>
            </w:tcBorders>
          </w:tcPr>
          <w:p w14:paraId="1CCE2F14" w14:textId="77777777" w:rsidR="008F216A" w:rsidRDefault="00F31E98">
            <w:pPr>
              <w:spacing w:after="0" w:line="259" w:lineRule="auto"/>
              <w:ind w:left="155" w:firstLine="0"/>
              <w:jc w:val="center"/>
            </w:pPr>
            <w:r>
              <w:rPr>
                <w:sz w:val="14"/>
              </w:rPr>
              <w:t>0.054</w:t>
            </w:r>
          </w:p>
        </w:tc>
      </w:tr>
      <w:tr w:rsidR="008F216A" w14:paraId="196FEDFE" w14:textId="77777777">
        <w:trPr>
          <w:trHeight w:val="159"/>
        </w:trPr>
        <w:tc>
          <w:tcPr>
            <w:tcW w:w="1353" w:type="dxa"/>
            <w:tcBorders>
              <w:top w:val="nil"/>
              <w:left w:val="nil"/>
              <w:bottom w:val="nil"/>
              <w:right w:val="nil"/>
            </w:tcBorders>
          </w:tcPr>
          <w:p w14:paraId="2B7FFFF7" w14:textId="77777777" w:rsidR="008F216A" w:rsidRDefault="00F31E98">
            <w:pPr>
              <w:spacing w:after="0" w:line="259" w:lineRule="auto"/>
              <w:ind w:left="120" w:firstLine="0"/>
              <w:jc w:val="left"/>
            </w:pPr>
            <w:r>
              <w:rPr>
                <w:sz w:val="14"/>
              </w:rPr>
              <w:t>Spambase</w:t>
            </w:r>
          </w:p>
        </w:tc>
        <w:tc>
          <w:tcPr>
            <w:tcW w:w="701" w:type="dxa"/>
            <w:tcBorders>
              <w:top w:val="nil"/>
              <w:left w:val="nil"/>
              <w:bottom w:val="nil"/>
              <w:right w:val="nil"/>
            </w:tcBorders>
          </w:tcPr>
          <w:p w14:paraId="688B6EA9" w14:textId="77777777" w:rsidR="008F216A" w:rsidRDefault="00F31E98">
            <w:pPr>
              <w:spacing w:after="0" w:line="259" w:lineRule="auto"/>
              <w:ind w:left="32" w:firstLine="0"/>
              <w:jc w:val="left"/>
            </w:pPr>
            <w:r>
              <w:rPr>
                <w:sz w:val="14"/>
              </w:rPr>
              <w:t>-0.0098</w:t>
            </w:r>
          </w:p>
        </w:tc>
        <w:tc>
          <w:tcPr>
            <w:tcW w:w="799" w:type="dxa"/>
            <w:tcBorders>
              <w:top w:val="nil"/>
              <w:left w:val="nil"/>
              <w:bottom w:val="nil"/>
              <w:right w:val="nil"/>
            </w:tcBorders>
          </w:tcPr>
          <w:p w14:paraId="4821319F" w14:textId="77777777" w:rsidR="008F216A" w:rsidRDefault="00F31E98">
            <w:pPr>
              <w:spacing w:after="0" w:line="259" w:lineRule="auto"/>
              <w:ind w:left="123" w:firstLine="0"/>
              <w:jc w:val="center"/>
            </w:pPr>
            <w:r>
              <w:rPr>
                <w:sz w:val="14"/>
              </w:rPr>
              <w:t>0.293</w:t>
            </w:r>
          </w:p>
        </w:tc>
        <w:tc>
          <w:tcPr>
            <w:tcW w:w="592" w:type="dxa"/>
            <w:tcBorders>
              <w:top w:val="nil"/>
              <w:left w:val="nil"/>
              <w:bottom w:val="nil"/>
              <w:right w:val="nil"/>
            </w:tcBorders>
          </w:tcPr>
          <w:p w14:paraId="3C796DA4" w14:textId="77777777" w:rsidR="008F216A" w:rsidRDefault="00F31E98">
            <w:pPr>
              <w:spacing w:after="0" w:line="259" w:lineRule="auto"/>
              <w:ind w:left="155" w:firstLine="0"/>
              <w:jc w:val="center"/>
            </w:pPr>
            <w:r>
              <w:rPr>
                <w:sz w:val="14"/>
              </w:rPr>
              <w:t>0.475</w:t>
            </w:r>
          </w:p>
        </w:tc>
      </w:tr>
      <w:tr w:rsidR="008F216A" w14:paraId="72929066" w14:textId="77777777">
        <w:trPr>
          <w:trHeight w:val="159"/>
        </w:trPr>
        <w:tc>
          <w:tcPr>
            <w:tcW w:w="1353" w:type="dxa"/>
            <w:tcBorders>
              <w:top w:val="nil"/>
              <w:left w:val="nil"/>
              <w:bottom w:val="nil"/>
              <w:right w:val="nil"/>
            </w:tcBorders>
          </w:tcPr>
          <w:p w14:paraId="7609F2B3" w14:textId="77777777" w:rsidR="008F216A" w:rsidRDefault="00F31E98">
            <w:pPr>
              <w:spacing w:after="0" w:line="259" w:lineRule="auto"/>
              <w:ind w:left="120" w:firstLine="0"/>
              <w:jc w:val="left"/>
            </w:pPr>
            <w:r>
              <w:rPr>
                <w:sz w:val="14"/>
              </w:rPr>
              <w:t>Steel Plates Fault</w:t>
            </w:r>
          </w:p>
        </w:tc>
        <w:tc>
          <w:tcPr>
            <w:tcW w:w="701" w:type="dxa"/>
            <w:tcBorders>
              <w:top w:val="nil"/>
              <w:left w:val="nil"/>
              <w:bottom w:val="nil"/>
              <w:right w:val="nil"/>
            </w:tcBorders>
          </w:tcPr>
          <w:p w14:paraId="76B0BD87" w14:textId="77777777" w:rsidR="008F216A" w:rsidRDefault="00F31E98">
            <w:pPr>
              <w:spacing w:after="0" w:line="259" w:lineRule="auto"/>
              <w:ind w:left="32" w:firstLine="0"/>
              <w:jc w:val="left"/>
            </w:pPr>
            <w:r>
              <w:rPr>
                <w:sz w:val="14"/>
              </w:rPr>
              <w:t>-0.0632</w:t>
            </w:r>
          </w:p>
        </w:tc>
        <w:tc>
          <w:tcPr>
            <w:tcW w:w="799" w:type="dxa"/>
            <w:tcBorders>
              <w:top w:val="nil"/>
              <w:left w:val="nil"/>
              <w:bottom w:val="nil"/>
              <w:right w:val="nil"/>
            </w:tcBorders>
          </w:tcPr>
          <w:p w14:paraId="7563D1A9" w14:textId="77777777" w:rsidR="008F216A" w:rsidRDefault="00F31E98">
            <w:pPr>
              <w:spacing w:after="0" w:line="259" w:lineRule="auto"/>
              <w:ind w:left="123" w:firstLine="0"/>
              <w:jc w:val="center"/>
            </w:pPr>
            <w:r>
              <w:rPr>
                <w:sz w:val="14"/>
              </w:rPr>
              <w:t>0.281</w:t>
            </w:r>
          </w:p>
        </w:tc>
        <w:tc>
          <w:tcPr>
            <w:tcW w:w="592" w:type="dxa"/>
            <w:tcBorders>
              <w:top w:val="nil"/>
              <w:left w:val="nil"/>
              <w:bottom w:val="nil"/>
              <w:right w:val="nil"/>
            </w:tcBorders>
          </w:tcPr>
          <w:p w14:paraId="116F36B6" w14:textId="77777777" w:rsidR="008F216A" w:rsidRDefault="00F31E98">
            <w:pPr>
              <w:spacing w:after="0" w:line="259" w:lineRule="auto"/>
              <w:ind w:left="155" w:firstLine="0"/>
              <w:jc w:val="center"/>
            </w:pPr>
            <w:r>
              <w:rPr>
                <w:sz w:val="14"/>
              </w:rPr>
              <w:t>0.328</w:t>
            </w:r>
          </w:p>
        </w:tc>
      </w:tr>
      <w:tr w:rsidR="008F216A" w14:paraId="063BE028" w14:textId="77777777">
        <w:trPr>
          <w:trHeight w:val="204"/>
        </w:trPr>
        <w:tc>
          <w:tcPr>
            <w:tcW w:w="1353" w:type="dxa"/>
            <w:tcBorders>
              <w:top w:val="nil"/>
              <w:left w:val="nil"/>
              <w:bottom w:val="single" w:sz="6" w:space="0" w:color="000000"/>
              <w:right w:val="nil"/>
            </w:tcBorders>
          </w:tcPr>
          <w:p w14:paraId="7BBA804D" w14:textId="77777777" w:rsidR="008F216A" w:rsidRDefault="00F31E98">
            <w:pPr>
              <w:spacing w:after="0" w:line="259" w:lineRule="auto"/>
              <w:ind w:left="120" w:firstLine="0"/>
              <w:jc w:val="left"/>
            </w:pPr>
            <w:r>
              <w:rPr>
                <w:sz w:val="14"/>
              </w:rPr>
              <w:t>Wine</w:t>
            </w:r>
          </w:p>
        </w:tc>
        <w:tc>
          <w:tcPr>
            <w:tcW w:w="701" w:type="dxa"/>
            <w:tcBorders>
              <w:top w:val="nil"/>
              <w:left w:val="nil"/>
              <w:bottom w:val="single" w:sz="6" w:space="0" w:color="000000"/>
              <w:right w:val="nil"/>
            </w:tcBorders>
          </w:tcPr>
          <w:p w14:paraId="3CD915DD" w14:textId="77777777" w:rsidR="008F216A" w:rsidRDefault="00F31E98">
            <w:pPr>
              <w:spacing w:after="0" w:line="259" w:lineRule="auto"/>
              <w:ind w:firstLine="0"/>
              <w:jc w:val="left"/>
            </w:pPr>
            <w:r>
              <w:rPr>
                <w:sz w:val="14"/>
              </w:rPr>
              <w:t>+0.0009</w:t>
            </w:r>
          </w:p>
        </w:tc>
        <w:tc>
          <w:tcPr>
            <w:tcW w:w="799" w:type="dxa"/>
            <w:tcBorders>
              <w:top w:val="nil"/>
              <w:left w:val="nil"/>
              <w:bottom w:val="single" w:sz="6" w:space="0" w:color="000000"/>
              <w:right w:val="nil"/>
            </w:tcBorders>
          </w:tcPr>
          <w:p w14:paraId="6F289DEB" w14:textId="77777777" w:rsidR="008F216A" w:rsidRDefault="00F31E98">
            <w:pPr>
              <w:spacing w:after="0" w:line="259" w:lineRule="auto"/>
              <w:ind w:left="122" w:firstLine="0"/>
              <w:jc w:val="center"/>
            </w:pPr>
            <w:r>
              <w:rPr>
                <w:sz w:val="14"/>
              </w:rPr>
              <w:t>0.215</w:t>
            </w:r>
          </w:p>
        </w:tc>
        <w:tc>
          <w:tcPr>
            <w:tcW w:w="592" w:type="dxa"/>
            <w:tcBorders>
              <w:top w:val="nil"/>
              <w:left w:val="nil"/>
              <w:bottom w:val="single" w:sz="6" w:space="0" w:color="000000"/>
              <w:right w:val="nil"/>
            </w:tcBorders>
          </w:tcPr>
          <w:p w14:paraId="043F2A06" w14:textId="77777777" w:rsidR="008F216A" w:rsidRDefault="00F31E98">
            <w:pPr>
              <w:spacing w:after="0" w:line="259" w:lineRule="auto"/>
              <w:ind w:left="155" w:firstLine="0"/>
              <w:jc w:val="center"/>
            </w:pPr>
            <w:r>
              <w:rPr>
                <w:sz w:val="14"/>
              </w:rPr>
              <w:t>0.354</w:t>
            </w:r>
          </w:p>
        </w:tc>
      </w:tr>
    </w:tbl>
    <w:p w14:paraId="421305F2" w14:textId="77777777" w:rsidR="008F216A" w:rsidRDefault="00F31E98">
      <w:pPr>
        <w:spacing w:after="251" w:line="259" w:lineRule="auto"/>
        <w:ind w:firstLine="0"/>
        <w:jc w:val="left"/>
      </w:pPr>
      <w:r>
        <w:rPr>
          <w:noProof/>
        </w:rPr>
        <w:drawing>
          <wp:inline distT="0" distB="0" distL="0" distR="0" wp14:anchorId="0082BB92" wp14:editId="32628CCF">
            <wp:extent cx="3188513" cy="1594256"/>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3"/>
                    <a:stretch>
                      <a:fillRect/>
                    </a:stretch>
                  </pic:blipFill>
                  <pic:spPr>
                    <a:xfrm>
                      <a:off x="0" y="0"/>
                      <a:ext cx="3188513" cy="1594256"/>
                    </a:xfrm>
                    <a:prstGeom prst="rect">
                      <a:avLst/>
                    </a:prstGeom>
                  </pic:spPr>
                </pic:pic>
              </a:graphicData>
            </a:graphic>
          </wp:inline>
        </w:drawing>
      </w:r>
    </w:p>
    <w:p w14:paraId="6ED7DD38" w14:textId="77777777" w:rsidR="008F216A" w:rsidRDefault="00F31E98">
      <w:pPr>
        <w:spacing w:after="474" w:line="234" w:lineRule="auto"/>
        <w:ind w:left="-15" w:firstLine="0"/>
      </w:pPr>
      <w:r>
        <w:rPr>
          <w:sz w:val="16"/>
        </w:rPr>
        <w:t>Fig. 3. Balanced accuracy of the five methods on each data set. Method rankings are not uniform across data sets.</w:t>
      </w:r>
    </w:p>
    <w:p w14:paraId="6A4E920C" w14:textId="77777777" w:rsidR="008F216A" w:rsidRDefault="00F31E98">
      <w:pPr>
        <w:pStyle w:val="Heading2"/>
      </w:pPr>
      <w:r>
        <w:rPr>
          <w:sz w:val="20"/>
        </w:rPr>
        <w:t>VII. T</w:t>
      </w:r>
      <w:r>
        <w:t xml:space="preserve">HREATS TO </w:t>
      </w:r>
      <w:r>
        <w:rPr>
          <w:sz w:val="20"/>
        </w:rPr>
        <w:t>V</w:t>
      </w:r>
      <w:r>
        <w:t>ALIDITY</w:t>
      </w:r>
    </w:p>
    <w:p w14:paraId="6345B4FE" w14:textId="77777777" w:rsidR="008F216A" w:rsidRDefault="00F31E98">
      <w:pPr>
        <w:ind w:left="-15" w:right="-15"/>
      </w:pPr>
      <w:r>
        <w:t>Synthetic costs may not reflect correlated, grouped, or timevarying costs in a real application. Ten data sets provide limited power for cross-data-set inference. Only two seeds, three outer folds, one primary classifier, and a modest search budget were used. Mutual information can underestimate multivariate interactions. Finally, the study evaluates one cost budget; conclusions may change under tighter or looser constraints.</w:t>
      </w:r>
    </w:p>
    <w:p w14:paraId="043D5DED" w14:textId="77777777" w:rsidR="008F216A" w:rsidRDefault="00F31E98">
      <w:pPr>
        <w:pStyle w:val="Heading2"/>
      </w:pPr>
      <w:r>
        <w:rPr>
          <w:sz w:val="20"/>
        </w:rPr>
        <w:t>VIII. D</w:t>
      </w:r>
      <w:r>
        <w:t xml:space="preserve">ETAILED </w:t>
      </w:r>
      <w:r>
        <w:rPr>
          <w:sz w:val="20"/>
        </w:rPr>
        <w:t>R</w:t>
      </w:r>
      <w:r>
        <w:t xml:space="preserve">ESULTS AND </w:t>
      </w:r>
      <w:r>
        <w:rPr>
          <w:sz w:val="20"/>
        </w:rPr>
        <w:t>R</w:t>
      </w:r>
      <w:r>
        <w:t>EPRODUCIBILITY</w:t>
      </w:r>
    </w:p>
    <w:p w14:paraId="414904EB" w14:textId="77777777" w:rsidR="008F216A" w:rsidRDefault="00F31E98">
      <w:pPr>
        <w:ind w:left="-15" w:right="-15"/>
      </w:pPr>
      <w:r>
        <w:t>Table II reports the balanced-accuracy difference between stable-LCB and EHOA together with the two main outcomes for each data set. The larger loss on Steel Plates Fault is the principal reason for the negative overall mean accuracy difference, whereas six data sets show a positive numerical difference. This heterogeneity motivates data-set-level reporting and rules out a universal-superiority claim.</w:t>
      </w:r>
    </w:p>
    <w:p w14:paraId="294E9193" w14:textId="77777777" w:rsidR="008F216A" w:rsidRDefault="00F31E98">
      <w:pPr>
        <w:spacing w:after="278"/>
        <w:ind w:left="-15" w:right="-15"/>
      </w:pPr>
      <w:r>
        <w:t>All 300 raw rows, 300 binary masks, random seeds, configuration hash, analysis code, and automated tests are retained. A clean execution of the delivered package passes 28 tests and regenerates the reported statistical tables. These artifacts permit independent auditing of the claims and distinguish confirmatory outputs from rejected exploratory candidates.</w:t>
      </w:r>
    </w:p>
    <w:p w14:paraId="463384F3" w14:textId="77777777" w:rsidR="008F216A" w:rsidRDefault="00F31E98">
      <w:pPr>
        <w:pStyle w:val="Heading2"/>
      </w:pPr>
      <w:r>
        <w:rPr>
          <w:sz w:val="20"/>
        </w:rPr>
        <w:t>IX. C</w:t>
      </w:r>
      <w:r>
        <w:t>ONCLUSION</w:t>
      </w:r>
    </w:p>
    <w:p w14:paraId="4180423B" w14:textId="77777777" w:rsidR="008F216A" w:rsidRDefault="00F31E98">
      <w:pPr>
        <w:spacing w:after="285"/>
        <w:ind w:left="-15" w:right="-15"/>
      </w:pPr>
      <w:r>
        <w:t>CostStableEHOA enforced a hard acquisition budget in every run and significantly improved selected cost and subset stability relative to EHOA, without a statistically detectable balanced-accuracy change. It did not significantly dominate simpler budget repairs. The method should therefore be viewed as an incremental, reproducible cost–stability mechanism rather than a universally superior predictor. Code, configuration, all 300 run rows, masks, statistical outputs, and figures accompany the report.</w:t>
      </w:r>
    </w:p>
    <w:p w14:paraId="7079B71C" w14:textId="77777777" w:rsidR="008F216A" w:rsidRDefault="00F31E98">
      <w:pPr>
        <w:pStyle w:val="Heading1"/>
      </w:pPr>
      <w:r>
        <w:rPr>
          <w:sz w:val="20"/>
        </w:rPr>
        <w:t>R</w:t>
      </w:r>
      <w:r>
        <w:t>EFERENCES</w:t>
      </w:r>
    </w:p>
    <w:p w14:paraId="087299AC" w14:textId="77777777" w:rsidR="008F216A" w:rsidRDefault="00F31E98">
      <w:pPr>
        <w:numPr>
          <w:ilvl w:val="0"/>
          <w:numId w:val="1"/>
        </w:numPr>
        <w:spacing w:after="11" w:line="234" w:lineRule="auto"/>
        <w:ind w:hanging="285"/>
      </w:pPr>
      <w:r>
        <w:rPr>
          <w:sz w:val="16"/>
        </w:rPr>
        <w:t xml:space="preserve">A. E. Hegazy, M. A. Makhlouf, O. A. M. Salem, and B. Hafiz, “An enhanced Hiking optimization algorithm for accurate and interpretable feature selection in medical data classification,” </w:t>
      </w:r>
      <w:r>
        <w:rPr>
          <w:i/>
          <w:sz w:val="16"/>
        </w:rPr>
        <w:t>Cluster Computing</w:t>
      </w:r>
      <w:r>
        <w:rPr>
          <w:sz w:val="16"/>
        </w:rPr>
        <w:t>, vol. 29, p. 244, 2026, doi: 10.1007/s10586-026-05946-9.</w:t>
      </w:r>
    </w:p>
    <w:p w14:paraId="2F7E0F90" w14:textId="77777777" w:rsidR="008F216A" w:rsidRDefault="00F31E98">
      <w:pPr>
        <w:numPr>
          <w:ilvl w:val="0"/>
          <w:numId w:val="1"/>
        </w:numPr>
        <w:spacing w:after="11" w:line="234" w:lineRule="auto"/>
        <w:ind w:hanging="285"/>
      </w:pPr>
      <w:r>
        <w:rPr>
          <w:sz w:val="16"/>
        </w:rPr>
        <w:t xml:space="preserve">S. Nogueira, K. Sechidis, and G. Brown, “On the stability of feature selection algorithms,” </w:t>
      </w:r>
      <w:r>
        <w:rPr>
          <w:i/>
          <w:sz w:val="16"/>
        </w:rPr>
        <w:t>J. Mach. Learn. Res.</w:t>
      </w:r>
      <w:r>
        <w:rPr>
          <w:sz w:val="16"/>
        </w:rPr>
        <w:t>, vol. 18, no. 174, pp. 1–54, 2018.</w:t>
      </w:r>
    </w:p>
    <w:p w14:paraId="1227C402" w14:textId="77777777" w:rsidR="008F216A" w:rsidRDefault="00F31E98">
      <w:pPr>
        <w:numPr>
          <w:ilvl w:val="0"/>
          <w:numId w:val="1"/>
        </w:numPr>
        <w:spacing w:after="0" w:line="263" w:lineRule="auto"/>
        <w:ind w:hanging="285"/>
      </w:pPr>
      <w:r>
        <w:rPr>
          <w:sz w:val="16"/>
        </w:rPr>
        <w:t xml:space="preserve">R. Jagdhuber </w:t>
      </w:r>
      <w:r>
        <w:rPr>
          <w:i/>
          <w:sz w:val="16"/>
        </w:rPr>
        <w:t>et al.</w:t>
      </w:r>
      <w:r>
        <w:rPr>
          <w:sz w:val="16"/>
        </w:rPr>
        <w:t xml:space="preserve">, “Cost-constrained feature selection in binary classification,” </w:t>
      </w:r>
      <w:r>
        <w:rPr>
          <w:i/>
          <w:sz w:val="16"/>
        </w:rPr>
        <w:t>Computational Statistics</w:t>
      </w:r>
      <w:r>
        <w:rPr>
          <w:sz w:val="16"/>
        </w:rPr>
        <w:t>, vol. 35, pp. 1419–1440, 2020.</w:t>
      </w:r>
    </w:p>
    <w:p w14:paraId="1A973926" w14:textId="77777777" w:rsidR="008F216A" w:rsidRDefault="00F31E98">
      <w:pPr>
        <w:numPr>
          <w:ilvl w:val="0"/>
          <w:numId w:val="1"/>
        </w:numPr>
        <w:spacing w:after="11" w:line="234" w:lineRule="auto"/>
        <w:ind w:hanging="285"/>
      </w:pPr>
      <w:r>
        <w:rPr>
          <w:sz w:val="16"/>
        </w:rPr>
        <w:t xml:space="preserve">J. Demsar, “Statistical comparisons of classifiers over multiple data sets,” </w:t>
      </w:r>
      <w:r>
        <w:rPr>
          <w:i/>
          <w:sz w:val="16"/>
        </w:rPr>
        <w:t>J. Mach. Learn. Res.</w:t>
      </w:r>
      <w:r>
        <w:rPr>
          <w:sz w:val="16"/>
        </w:rPr>
        <w:t>, vol. 7, pp. 1–30, 2006.</w:t>
      </w:r>
    </w:p>
    <w:sectPr w:rsidR="008F216A">
      <w:type w:val="continuous"/>
      <w:pgSz w:w="11906" w:h="16838"/>
      <w:pgMar w:top="1175" w:right="812" w:bottom="1877" w:left="812"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8C849" w14:textId="77777777" w:rsidR="00F31E98" w:rsidRDefault="00F31E98">
      <w:pPr>
        <w:spacing w:after="0" w:line="240" w:lineRule="auto"/>
      </w:pPr>
      <w:r>
        <w:separator/>
      </w:r>
    </w:p>
  </w:endnote>
  <w:endnote w:type="continuationSeparator" w:id="0">
    <w:p w14:paraId="7EDC6AA7" w14:textId="77777777" w:rsidR="00F31E98" w:rsidRDefault="00F3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9C55C" w14:textId="77777777" w:rsidR="00F31E98" w:rsidRDefault="00F31E98">
      <w:pPr>
        <w:spacing w:after="0" w:line="240" w:lineRule="auto"/>
      </w:pPr>
      <w:r>
        <w:separator/>
      </w:r>
    </w:p>
  </w:footnote>
  <w:footnote w:type="continuationSeparator" w:id="0">
    <w:p w14:paraId="29BCC45C" w14:textId="77777777" w:rsidR="00F31E98" w:rsidRDefault="00F31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1"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C417"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5A97" w14:textId="77777777" w:rsidR="008F216A" w:rsidRDefault="00F31E98">
    <w:pPr>
      <w:spacing w:after="0" w:line="259" w:lineRule="auto"/>
      <w:ind w:right="-62" w:firstLine="0"/>
      <w:jc w:val="right"/>
    </w:pP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C0AE5"/>
    <w:multiLevelType w:val="hybridMultilevel"/>
    <w:tmpl w:val="805498C2"/>
    <w:lvl w:ilvl="0" w:tplc="C570E71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1134425E">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1A051F0">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71220D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4F8E02C">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40C37DA">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D50D380">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9F2E75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09EA102">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26026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16A"/>
    <w:rsid w:val="00151690"/>
    <w:rsid w:val="008F216A"/>
    <w:rsid w:val="00F31E98"/>
    <w:rsid w:val="00F87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B1F5"/>
  <w15:docId w15:val="{97C403AE-B2AC-4E62-9D39-2AC0856C5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1" w:line="263"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1" w:line="263" w:lineRule="auto"/>
      <w:ind w:left="10" w:hanging="10"/>
      <w:jc w:val="center"/>
      <w:outlineLvl w:val="1"/>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1747</Words>
  <Characters>9964</Characters>
  <Application>Microsoft Office Word</Application>
  <DocSecurity>4</DocSecurity>
  <Lines>83</Lines>
  <Paragraphs>23</Paragraphs>
  <ScaleCrop>false</ScaleCrop>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امیررضا غفاریان نخودی - تیم توسعه و نوآوری فناوری ها</dc:creator>
  <cp:keywords/>
  <cp:lastModifiedBy>امیررضا غفاریان نخودی - تیم توسعه و نوآوری فناوری ها</cp:lastModifiedBy>
  <cp:revision>2</cp:revision>
  <dcterms:created xsi:type="dcterms:W3CDTF">2026-09-05T07:54:00Z</dcterms:created>
  <dcterms:modified xsi:type="dcterms:W3CDTF">2026-09-05T07:54:00Z</dcterms:modified>
</cp:coreProperties>
</file>