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0"/>
      </w:pPr>
      <w:r>
        <w:rPr>
          <w:rFonts w:ascii="Times New Roman" w:hAnsi="Times New Roman" w:cs="Times New Roman"/>
          <w:b/>
          <w:color w:val="000000"/>
          <w:sz w:val="28"/>
        </w:rPr>
        <w:t>Hard-Budget Feature Selection with Resampled Mutual-Information Repair in EHOA</w:t>
      </w:r>
    </w:p>
    <w:p>
      <w:pPr>
        <w:widowControl/>
        <w:spacing w:after="60" w:before="0" w:line="240" w:lineRule="auto"/>
        <w:ind w:left="0" w:right="0" w:firstLine="0"/>
        <w:jc w:val="center"/>
        <w:bidi w:val="0"/>
      </w:pPr>
      <w:r>
        <w:rPr>
          <w:rFonts w:ascii="Times New Roman" w:hAnsi="Times New Roman" w:cs="Times New Roman"/>
          <w:b w:val="0"/>
          <w:color w:val="000000"/>
          <w:sz w:val="20"/>
        </w:rPr>
        <w:t>Amirreza Ghaffarian</w:t>
      </w:r>
    </w:p>
    <w:p>
      <w:pPr>
        <w:widowControl/>
        <w:spacing w:after="60" w:before="0" w:line="240" w:lineRule="auto"/>
        <w:ind w:left="0" w:right="0" w:firstLine="0"/>
        <w:jc w:val="center"/>
        <w:bidi w:val="0"/>
      </w:pPr>
      <w:r>
        <w:rPr>
          <w:rFonts w:ascii="Times New Roman" w:hAnsi="Times New Roman" w:cs="Times New Roman"/>
          <w:b w:val="0"/>
          <w:color w:val="000000"/>
          <w:sz w:val="18"/>
        </w:rPr>
        <w:t>Graduate Student, Islamic Azad University</w:t>
      </w:r>
    </w:p>
    <w:p>
      <w:pPr>
        <w:widowControl/>
        <w:spacing w:after="60" w:before="0" w:line="240" w:lineRule="auto"/>
        <w:ind w:left="0" w:right="0" w:firstLine="0"/>
        <w:jc w:val="both"/>
        <w:bidi w:val="0"/>
      </w:pPr>
      <w:r>
        <w:rPr>
          <w:rFonts w:ascii="Times New Roman" w:hAnsi="Times New Roman" w:cs="Times New Roman"/>
          <w:b w:val="0"/>
          <w:color w:val="000000"/>
          <w:sz w:val="18"/>
        </w:rPr>
        <w:t>Abstract. We compare four budget repairs within the Enhanced Hiking Optimization Algorithm (EHOA) while preserving its search and wrapper objective. The proposed repair ranks features by a nonnegative mean-minus-standard-deviation mutual-information score divided by synthetic acquisition cost. This score is a conservative heuristic, not a calibrated confidence bound. We audit 300 archived runs on ten classification datasets. All 240 constrained outputs satisfy a budget of 30% of total feature cost. Source inspection identifies target leakage in Steel Plates and a subject-overlap risk in Parkinsons; we exclude both from the main retrospective analysis. Across eight eligible datasets, resampled repair changes mean balanced accuracy from 0.8068 to 0.8116, cost ratio from 0.4791 to 0.2792, and Nogueira stability from 0.1161 to 0.2550. Friedman tests detect method differences in cost and stability, but not balanced accuracy. The resampled-versus-EHOA stability contrast does not survive within-metric Holm correction. A breast-cancer cytology case illustrates subset selection without claiming clinical validation or monetary savings. The contribution is an auditable repair comparison, not general predictive superiority. A separate 60-run exploratory correction also finds no general predictive advantage.</w:t>
      </w:r>
    </w:p>
    <w:p>
      <w:pPr>
        <w:widowControl/>
        <w:spacing w:after="60" w:before="0" w:line="240" w:lineRule="auto"/>
        <w:ind w:left="0" w:right="0" w:firstLine="0"/>
        <w:jc w:val="both"/>
        <w:bidi w:val="0"/>
      </w:pPr>
      <w:r>
        <w:rPr>
          <w:rFonts w:ascii="Times New Roman" w:hAnsi="Times New Roman" w:cs="Times New Roman"/>
          <w:b w:val="0"/>
          <w:color w:val="000000"/>
          <w:sz w:val="18"/>
        </w:rPr>
        <w:t>Keywords. feature selection, hard budget, resampled mutual information, subset stability</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sectPr>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  Problem and contribution</w:t>
      </w:r>
    </w:p>
    <w:p>
      <w:pPr>
        <w:widowControl/>
        <w:spacing w:after="60" w:before="0" w:line="240" w:lineRule="auto"/>
        <w:ind w:left="0" w:right="0" w:firstLine="0"/>
        <w:jc w:val="both"/>
        <w:bidi w:val="0"/>
      </w:pPr>
      <w:r>
        <w:rPr>
          <w:rFonts w:ascii="Times New Roman" w:hAnsi="Times New Roman" w:cs="Times New Roman"/>
          <w:b w:val="0"/>
          <w:color w:val="000000"/>
          <w:sz w:val="18"/>
        </w:rPr>
        <w:t>A small feature set need not be inexpensive: acquisition costs can differ between variables. Hard-budget selection limits the sum of selected costs [1]. Subset stability measures how feature choices vary across training samples and random search, rather than how accuracy or convergence varies [2]. In biomedical classification, this distinction matters when investigators interpret a selected measurement panel.</w:t>
      </w:r>
    </w:p>
    <w:p>
      <w:pPr>
        <w:widowControl/>
        <w:spacing w:after="60" w:before="0" w:line="240" w:lineRule="auto"/>
        <w:ind w:left="0" w:right="0" w:firstLine="0"/>
        <w:jc w:val="both"/>
        <w:bidi w:val="0"/>
      </w:pPr>
      <w:r>
        <w:rPr>
          <w:rFonts w:ascii="Times New Roman" w:hAnsi="Times New Roman" w:cs="Times New Roman"/>
          <w:b w:val="0"/>
          <w:color w:val="000000"/>
          <w:sz w:val="18"/>
        </w:rPr>
        <w:t>We retain the implemented EHOA search [3] and compare unconstrained EHOA with four repairs. Only the repair utility changes among constrained variants. The contribution is the integration and controlled evaluation of resampled relevance-per-cost repair. We do not claim that budgets, repair, mutual information (MI), or resampling are new. CostStableEHOA remains the code identifier; the revised title avoids implying stable costs or proven selection stability.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2  Related studies</w:t>
      </w:r>
    </w:p>
    <w:p>
      <w:pPr>
        <w:widowControl/>
        <w:spacing w:after="60" w:before="0" w:line="240" w:lineRule="auto"/>
        <w:ind w:left="0" w:right="0" w:firstLine="0"/>
        <w:jc w:val="both"/>
        <w:bidi w:val="0"/>
      </w:pPr>
      <w:r>
        <w:rPr>
          <w:rFonts w:ascii="Times New Roman" w:hAnsi="Times New Roman" w:cs="Times New Roman"/>
          <w:b w:val="0"/>
          <w:color w:val="000000"/>
          <w:sz w:val="18"/>
        </w:rPr>
        <w:t>Stability metrics can reward reproducible yet weak predictors; importance-weighted stability addresses this concern [4]. Medical budget selection with penalized risk [5], sequential acquisition [6], and grouped costs with shadow features [7] solve related but different problems. Table 1 summarizes these distinctions; NR means not reported in the inspected source. Their numerical results are not directly comparable with our protocol.</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1. Related-work comparison. Full evaluation details are in the supplement.</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3  Implemented EHOA</w:t>
      </w:r>
    </w:p>
    <w:p>
      <w:pPr>
        <w:widowControl/>
        <w:spacing w:after="60" w:before="0" w:line="240" w:lineRule="auto"/>
        <w:ind w:left="0" w:right="0" w:firstLine="0"/>
        <w:jc w:val="both"/>
        <w:bidi w:val="0"/>
      </w:pPr>
      <w:r>
        <w:rPr>
          <w:rFonts w:ascii="Times New Roman" w:hAnsi="Times New Roman" w:cs="Times New Roman"/>
          <w:b w:val="0"/>
          <w:color w:val="000000"/>
          <w:sz w:val="18"/>
        </w:rPr>
        <w:t>Each hiker has a continuous position x and a velocity v; a binary mask z selects features. Initialization uses a tent sequence with initial value 0.7 and parameter 0.4, mapped to [-6,6]. Velocities start uniformly in [-1.2,1.2]. For iteration t of T=10, the implemented update is:</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Here p_i and g are personal and global best continuous positions, and r_1,r_2 are independent per-feature uniform draws. The sigmoid gives selection probability 1/(1+exp(-x_j)); an empty sampled mask restores the largest probability. The implementation keeps continuous leaders separate from repaired masks, caches fitness for duplicate masks, and stops after ten iterations without early stopping.</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4  Budget repair and stability</w:t>
      </w:r>
    </w:p>
    <w:p>
      <w:pPr>
        <w:widowControl/>
        <w:spacing w:after="60" w:before="0" w:line="240" w:lineRule="auto"/>
        <w:ind w:left="0" w:right="0" w:firstLine="0"/>
        <w:jc w:val="both"/>
        <w:bidi w:val="0"/>
      </w:pPr>
      <w:r>
        <w:rPr>
          <w:rFonts w:ascii="Times New Roman" w:hAnsi="Times New Roman" w:cs="Times New Roman"/>
          <w:b w:val="0"/>
          <w:color w:val="000000"/>
          <w:sz w:val="18"/>
        </w:rPr>
        <w:t>Costs are fixed positive additive synthetic units, independent of labels: c is drawn once per dataset from lognormal(0,0.7), with NumPy seed 1000+D. The absolute budget B=0.30 sum(c) is derived from a relative budget. Ionosphere and Dermatology share a cost vector because both have D=34. A nonempty mask is feasible when sum(z_j c_j) &lt;= B.</w:t>
      </w:r>
    </w:p>
    <w:p>
      <w:pPr>
        <w:spacing w:after="60"/>
        <w:jc w:val="center"/>
      </w:pPr>
      <m:oMath>
        <m:eqArr>
          <m:e>
            <m:r>
              <w:rPr>
                <w:sz w:val="16"/>
              </w:rPr>
              <m:t>uⱼ = max(0, Īⱼ−λsⱼ); qⱼ = uⱼ/cⱼ; λ = 1</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For resampled repair, four within-class samples draw ceil(0.8 n_class) rows with replacement (minimum two). Dense mutual_info_classif uses continuous-feature estimation, three neighbors, and nats; missing values are zero-filled for MI only. s_j is the sample standard deviation (ddof=1). No division by sqrt(R) or calibrated confidence level occurs. Utility is computed once on the outer-training partition using a separate RNG seeded by selector_seed+7919.</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2. Four repairs share the same deletion rule.</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fit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Procedure: initialize population; sample sigmoid mask; repair before fitness; evaluate; update personal/global leaders; repeat movement, sampling, repair, and evaluation; return the best repaired mask. Repair removes argmin(q_j) among active features while cost exceeds B and more than one feature remains. An unaffordable singleton is cleared; an empty mask restores the affordable feature maximizing q_j. A tie selects the first feature index. Utility is never recomputed per candidate.</w:t>
      </w:r>
    </w:p>
    <w:p>
      <w:pPr>
        <w:spacing w:after="60"/>
        <w:jc w:val="center"/>
      </w:pPr>
      <m:oMath>
        <m:eqArr>
          <m:e>
            <m:r>
              <w:rPr>
                <w:sz w:val="16"/>
              </w:rPr>
              <m:t>F(z) = 0.99(1−Acc̄inner) + 0.01|z|/D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The unchanged objective minimizes ordinary inner accuracy error, not balanced-accuracy error. External balanced accuracy (BA) is the mean recall across classes. Stability is computed once per dataset/method from M=6 final masks:</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p_j is selection frequency and k-bar is mean subset size. Identical empty/full masks return one in the code. This dimensionless chance-corrected outcome [2] mixes data-split and search variation; overlapping training folds make the six masks dependent. We do not treat copied stability values in six CSV rows as six observations. Jaccard overlap is supplementary and is not chance-corrected.</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5  Datasets and source audit</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3. Snapshot / deduplicated N; D is the supplied numeric feature count.</w:t>
      </w:r>
    </w:p>
    <w:tbl>
      <w:tblPr>
        <w:tblW w:type="dxa" w:w="4876"/>
        <w:tblLayout w:type="fixed"/>
        <w:tblLook w:firstColumn="1" w:firstRow="1" w:lastColumn="0" w:lastRow="0" w:noHBand="0" w:noVBand="1" w:val="04A0"/>
        <w:jc w:val="left"/>
      </w:tblPr>
      <w:tblGrid>
        <w:gridCol w:w="1157"/>
        <w:gridCol w:w="1074"/>
        <w:gridCol w:w="289"/>
        <w:gridCol w:w="248"/>
        <w:gridCol w:w="1570"/>
        <w:gridCol w:w="537"/>
      </w:tblGrid>
      <w:tr>
        <w:trPr>
          <w:cantSplit/>
          <w:tblHeader/>
        </w:trPr>
        <w:tc>
          <w:tcPr>
            <w:tcW w:type="dxa" w:w="1157"/>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1074"/>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 raw/used</w:t>
            </w:r>
          </w:p>
        </w:tc>
        <w:tc>
          <w:tcPr>
            <w:tcW w:type="dxa" w:w="28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24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57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 used</w:t>
            </w:r>
          </w:p>
        </w:tc>
        <w:tc>
          <w:tcPr>
            <w:tcW w:type="dxa" w:w="537"/>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 / 569</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 / 178</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351 / 350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O59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 / 208</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O40</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 / 366</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O35</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4601 / 4210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O44</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Parkinsons*</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 / 195</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O1488</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Hill-Valley</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 / 1212</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O1479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Plates*</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 / 1941</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33</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1268/ 673</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O1504</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 / 2600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O1485</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U identifiers link to archive.ics.uci.edu/dataset/{id}; O identifiers link to openml.org/d/{id}. The supplement gives clickable direct links, raw/used class counts, hashes and budgets. No runtime one-hot encoding occurs. Steel has 33 inputs and two classes in the snapshot, whereas UCI defines 27 predictors and seven fault types. Its V28-V33 are six fault indicators and exactly determine the target; we exclude these results. Parkinsons is a recording-level dataset with repeated participants and no subject-group split; we also exclude it from the main analysis. Eight eligible datasets retain 240 runs.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6  Evaluation and statistical analysis</w:t>
      </w:r>
    </w:p>
    <w:p>
      <w:pPr>
        <w:widowControl/>
        <w:spacing w:after="60" w:before="0" w:line="240" w:lineRule="auto"/>
        <w:ind w:left="0" w:right="0" w:firstLine="0"/>
        <w:jc w:val="both"/>
        <w:bidi w:val="0"/>
      </w:pPr>
      <w:r>
        <w:rPr>
          <w:rFonts w:ascii="Times New Roman" w:hAnsi="Times New Roman" w:cs="Times New Roman"/>
          <w:b w:val="0"/>
          <w:color w:val="000000"/>
          <w:sz w:val="18"/>
        </w:rPr>
        <w:t>Table 4 documents actual settings rather than class defaults. All methods share data splits, costs, seeds, search equations and wrapper fitness. Initialization positions are deterministic; search velocities and masks use the selector RNG. The four repairs therefore isolate utility ranking under a common budget; unconstrained EHOA additionally tests the effect of imposing that budget.</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4. Settings extracted from code and configuration.</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 / 10; no early stop</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 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stratified / 3 stratified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71001, 71002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 resamples / fraction</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lambda / MI neighbors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 / 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30% total</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 mean / StandardScaler</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 only; k=min(5,n_min-1)</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Within each inner fold, training data alone fit mean imputation, scaling and SMOTE; validation rows remain unchanged. MI utility uses all outer-training labels, including rows that later become inner validation. Thus inner scores are selection scores, not unbiased estimates. Outer-test labels do not enter selection. Final outer training fits preprocessing/SMOTE and 5-NN; archived metrics retain only 5-NN although the runner fits four classifiers. Preprocessing and SMOTE occur before masking; this is a simulation, not a deployed selected-only acquisition pipeline.</w:t>
      </w:r>
    </w:p>
    <w:p>
      <w:pPr>
        <w:widowControl/>
        <w:spacing w:after="60" w:before="0" w:line="240" w:lineRule="auto"/>
        <w:ind w:left="0" w:right="0" w:firstLine="0"/>
        <w:jc w:val="both"/>
        <w:bidi w:val="0"/>
      </w:pPr>
      <w:r>
        <w:rPr>
          <w:rFonts w:ascii="Times New Roman" w:hAnsi="Times New Roman" w:cs="Times New Roman"/>
          <w:b w:val="0"/>
          <w:color w:val="000000"/>
          <w:sz w:val="18"/>
        </w:rPr>
        <w:t>We average six BA/cost/size values per dataset and use one stability value per method/dataset. Eight datasets, not 240 rows, are analysis blocks [8]. The 2026-10-12 analysis is retrospective: the supplied confirmatory flag and config hash do not establish dated preregistration. We use tie-corrected Friedman tests (df=4), two-sided paired Wilcoxon contrasts of resampled repair versus four controls, and Holm correction within each metric. The supplement also corrects all 24 contrasts and six omnibus tests. Dataset-bootstrap intervals (20,000 draws; seed 20261012) are descriptive, unadjusted percentile intervals.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7  Results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5. Equal-weight means over eight eligible datasets; V is final budget exceedance.</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0.4791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49.21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0.8054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37.54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0.1238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0.8090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0.8109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32.65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0.8116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0.2792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bl>
    <w:p>
      <w:pPr>
        <w:spacing w:after="0"/>
      </w:pP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6. Friedman statistic and raw p; average ranks in E/R/C/M/S order, 1 is best.</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4.5000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0.34255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21.1000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0.00030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23.7233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0.00009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3.81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2.06</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15.7000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0.00345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4.12</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Resampled repair versus EHOA changes cost ratio by -0.19986 (Wilcoxon W=0, raw p=0.00781; within-metric Holm p=0.03125; rank-biserial r=-1). Stability changes by +0.13895 (W=1, raw p=0.01563; Holm p=0.06250; r=0.944). BA changes by +0.00482 (W=9; Holm p=0.750; r=0.500; 95% interval [-0.00149,0.01109]). Neither equivalence nor non-inferiority follows. No resampled repair contrast with the other three repairs is significant within metric for BA or Nogueira stability.</w:t>
      </w:r>
    </w:p>
    <w:p>
      <w:pPr>
        <w:widowControl/>
        <w:spacing w:after="60" w:before="0" w:line="240" w:lineRule="auto"/>
        <w:ind w:left="0" w:right="0" w:firstLine="0"/>
        <w:jc w:val="both"/>
        <w:bidi w:val="0"/>
      </w:pPr>
      <w:r>
        <w:rPr>
          <w:rFonts w:ascii="Times New Roman" w:hAnsi="Times New Roman" w:cs="Times New Roman"/>
          <w:b w:val="0"/>
          <w:color w:val="000000"/>
          <w:sz w:val="18"/>
        </w:rPr>
        <w:t>As a separate exploratory sensitivity analysis, we completed 60 corrected runs: Steel used 27 predictors and seven classes; Parkinsons used subject-disjoint outer and inner folds after matching all 195 recordings to the UCI file. Combining these with the 240 eligible archived runs gives ten corrected dataset blocks. Friedman BA remains nonsignificant (Chi2=4.32, df=4, p=0.36443). Resampled-versus-EHOA stability has within-metric Holm p=0.01563, but Holm over all 20 contrasts gives p=0.06641. Mean BA delta is -0.00583, with descriptive interval [-0.02523,0.00771]. These new exploratory results neither validate the original leaked experiment nor establish superiority over simpler repairs.</w:t>
      </w:r>
    </w:p>
    <w:p>
      <w:pPr>
        <w:keepNext/>
        <w:jc w:val="center"/>
      </w:pPr>
      <w:r>
        <w:drawing>
          <wp:inline xmlns:a="http://schemas.openxmlformats.org/drawingml/2006/main" xmlns:pic="http://schemas.openxmlformats.org/drawingml/2006/picture">
            <wp:extent cx="3096000" cy="2402653"/>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02653"/>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1. Eight-dataset means; cost uses synthetic units. Stability bars do not imply significant pairwise differences.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8  Biomedical case and congress relevance</w:t>
      </w:r>
    </w:p>
    <w:p>
      <w:pPr>
        <w:widowControl/>
        <w:spacing w:after="60" w:before="0" w:line="240" w:lineRule="auto"/>
        <w:ind w:left="0" w:right="0" w:firstLine="0"/>
        <w:jc w:val="both"/>
        <w:bidi w:val="0"/>
      </w:pPr>
      <w:r>
        <w:rPr>
          <w:rFonts w:ascii="Times New Roman" w:hAnsi="Times New Roman" w:cs="Times New Roman"/>
          <w:b w:val="0"/>
          <w:color w:val="000000"/>
          <w:sz w:val="18"/>
        </w:rPr>
        <w:t>The UCI diagnostic breast-cancer dataset contains 569 fine-needle-aspirate cases (212 malignant, 357 benign) and 30 nuclear-image descriptors [9]. Radius, texture, perimeter, area, smoothness, compactness, concavity, concave points, symmetry and fractal dimension each have mean, error and worst summaries. Table 7 illustrates the five methods on this dataset.</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7. Breast-cancer case, means over six runs.</w:t>
      </w:r>
    </w:p>
    <w:tbl>
      <w:tblPr>
        <w:tblW w:type="dxa" w:w="4876"/>
        <w:tblLayout w:type="fixed"/>
        <w:tblLook w:firstColumn="1" w:firstRow="1" w:lastColumn="0" w:lastRow="0" w:noHBand="0" w:noVBand="1" w:val="04A0"/>
        <w:jc w:val="left"/>
      </w:tblPr>
      <w:tblGrid>
        <w:gridCol w:w="975"/>
        <w:gridCol w:w="975"/>
        <w:gridCol w:w="975"/>
        <w:gridCol w:w="975"/>
        <w:gridCol w:w="975"/>
      </w:tblGrid>
      <w:tr>
        <w:trPr>
          <w:cantSplit/>
          <w:tblHeader/>
        </w:trPr>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0.9563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0.5227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0.0682</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0.9452</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0.2651</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0.0627</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0.9557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0.2673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11.33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0.2815</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0.9462</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0.2758</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10.50</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0.2137</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0.9525</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0.2799</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0.2059</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2. Selection counts for the eight most frequent resampled-repair features, from six archived masks.</w:t>
      </w:r>
    </w:p>
    <w:p>
      <w:pPr>
        <w:widowControl/>
        <w:spacing w:after="60" w:before="0" w:line="240" w:lineRule="auto"/>
        <w:ind w:left="0" w:right="0" w:firstLine="0"/>
        <w:jc w:val="both"/>
        <w:bidi w:val="0"/>
      </w:pPr>
      <w:r>
        <w:rPr>
          <w:rFonts w:ascii="Times New Roman" w:hAnsi="Times New Roman" w:cs="Times New Roman"/>
          <w:b w:val="0"/>
          <w:color w:val="000000"/>
          <w:sz w:val="18"/>
        </w:rPr>
        <w:t>Resampled repair selects mean concave points in 6/6 masks and mean texture and mean area in 5/6. These counts describe the archived selections; they do not establish causal biomarkers or clinical reliability. Cheapest repair has greater stability here (0.2815 versus 0.2059). Synthetic feature costs are not biopsy prices; all descriptors derive from the same acquisition, so grouped measurement costs would be more realistic.</w:t>
      </w:r>
    </w:p>
    <w:p>
      <w:pPr>
        <w:widowControl/>
        <w:spacing w:after="60" w:before="0" w:line="240" w:lineRule="auto"/>
        <w:ind w:left="0" w:right="0" w:firstLine="0"/>
        <w:jc w:val="both"/>
        <w:bidi w:val="0"/>
      </w:pPr>
      <w:r>
        <w:rPr>
          <w:rFonts w:ascii="Times New Roman" w:hAnsi="Times New Roman" w:cs="Times New Roman"/>
          <w:b w:val="0"/>
          <w:color w:val="000000"/>
          <w:sz w:val="18"/>
        </w:rPr>
        <w:t>The closest official BAIC2026 topic is Artificial Intelligence, Machine Learning and Data Science / Intelligent Disease Diagnosis Systems (baic.um.ac.ir/fa/home/Content/12). Our biomedical contribution concerns computational measurement-panel selection, not a clinically validated diagnostic system. We claim no cognitive-science mechanism.</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9  Limitations and reproducibility</w:t>
      </w:r>
    </w:p>
    <w:p>
      <w:pPr>
        <w:widowControl/>
        <w:spacing w:after="60" w:before="0" w:line="240" w:lineRule="auto"/>
        <w:ind w:left="0" w:right="0" w:firstLine="0"/>
        <w:jc w:val="both"/>
        <w:bidi w:val="0"/>
      </w:pPr>
      <w:r>
        <w:rPr>
          <w:rFonts w:ascii="Times New Roman" w:hAnsi="Times New Roman" w:cs="Times New Roman"/>
          <w:b w:val="0"/>
          <w:color w:val="000000"/>
          <w:sz w:val="18"/>
        </w:rPr>
        <w:t>Only one synthetic budget, four MI resamples, eight eligible datasets, two seeds and a short search were assessed. Ordinal Dermatology inputs are treated as continuous by MI; duplicated bootstrap rows can distort nearest-neighbor MI. Overlap-based stability does not verify clinical importance. The corrected exploratory follow-up is reported separately. UCI describes 31 Parkinson participants, but its file contains 32 distinct subject prefixes; group identity needs independent confirmation. Dated registration, original execution logs and end-to-end timing are unavailable; runtime_seconds excludes MI utility construction in constrained methods.</w:t>
      </w:r>
    </w:p>
    <w:p>
      <w:pPr>
        <w:widowControl/>
        <w:spacing w:after="60" w:before="0" w:line="240" w:lineRule="auto"/>
        <w:ind w:left="0" w:right="0" w:firstLine="0"/>
        <w:jc w:val="both"/>
        <w:bidi w:val="0"/>
      </w:pPr>
      <w:r>
        <w:rPr>
          <w:rFonts w:ascii="Times New Roman" w:hAnsi="Times New Roman" w:cs="Times New Roman"/>
          <w:b w:val="0"/>
          <w:color w:val="000000"/>
          <w:sz w:val="18"/>
        </w:rPr>
        <w:t>The accompanying local supplement contains all dataset links, 300 mask audits, per-dataset outcomes, cost vectors, statistics and regeneration scripts. Raw files and originals remain intact. No verified public code repository is supplied, and local availability is not public release. The eight-dataset exclusion and analysis are retrospective, not new confirmatory experiments.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10  Conclusion</w:t>
      </w:r>
    </w:p>
    <w:p>
      <w:pPr>
        <w:widowControl/>
        <w:spacing w:after="60" w:before="0" w:line="240" w:lineRule="auto"/>
        <w:ind w:left="0" w:right="0" w:firstLine="0"/>
        <w:jc w:val="both"/>
        <w:bidi w:val="0"/>
      </w:pPr>
      <w:r>
        <w:rPr>
          <w:rFonts w:ascii="Times New Roman" w:hAnsi="Times New Roman" w:cs="Times New Roman"/>
          <w:b w:val="0"/>
          <w:color w:val="000000"/>
          <w:sz w:val="18"/>
        </w:rPr>
        <w:t>All archived constrained outputs are budget-feasible. On eight eligible datasets, resampled repair shows a descriptive cost-stability trade-off but no corrected pairwise stability advantage or general predictive superiority. A stronger biomedical claim requires grouped real costs, subject-safe evaluation and external clinical validation.</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References</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[4]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[5]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[6]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[7]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[8]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[9] W. Wolberg, O. Mangasarian, N. Street, and W. Street, "Breast Cancer Wisconsin (Diagnostic)," UCI Machine Learning Repository, 1993. https://doi.org/10.24432/C5DW2B</w:t>
      </w:r>
    </w:p>
    <w:p>
      <w:pPr>
        <w:sectPr>
          <w:endnotePr>
            <w:numFmt w:val="decimal"/>
          </w:endnotePr>
          <w:type w:val="continuous"/>
          <w:pgSz w:w="11906" w:h="16838" w:code="9"/>
          <w:pgMar w:top="1077" w:right="907" w:bottom="1440" w:left="907" w:header="850" w:footer="562" w:gutter="0"/>
          <w:titlePg/>
          <w:rtlGutter/>
          <w:docGrid w:linePitch="272"/>
          <w:cols w:num="2" w:space="340"/>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Hard-Budget Feature Selection with Resampled Mutual-Information Repair in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