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A9D8F"/>
          <w:sz w:val="30"/>
        </w:rPr>
        <w:t>WEEK 2</w:t>
      </w:r>
    </w:p>
    <w:p>
      <w:pPr>
        <w:spacing w:before="320"/>
        <w:jc w:val="center"/>
      </w:pPr>
      <w:r>
        <w:rPr>
          <w:rFonts w:ascii="Aptos" w:hAnsi="Aptos"/>
          <w:b/>
          <w:color w:val="17365D"/>
          <w:sz w:val="54"/>
        </w:rPr>
        <w:t>Payroll Configuration</w:t>
      </w:r>
    </w:p>
    <w:p>
      <w:pPr>
        <w:spacing w:before="160"/>
        <w:jc w:val="center"/>
      </w:pPr>
      <w:r>
        <w:rPr>
          <w:color w:val="5B6573"/>
          <w:sz w:val="28"/>
        </w:rPr>
        <w:t>Conceptual payroll architecture, controls, and testing</w:t>
      </w:r>
    </w:p>
    <w:p>
      <w:pPr>
        <w:spacing w:before="1200"/>
        <w:jc w:val="center"/>
      </w:pPr>
      <w:r>
        <w:rPr>
          <w:sz w:val="22"/>
        </w:rPr>
        <w:t>Academic project report | Prepared 18 October 2026</w:t>
      </w:r>
    </w:p>
    <w:p>
      <w:pPr>
        <w:spacing w:before="480"/>
        <w:jc w:val="center"/>
      </w:pPr>
      <w:r>
        <w:rPr>
          <w:b/>
        </w:rPr>
        <w:t>All people, organisations, measures, and outcomes in the worked examples are fictional.</w:t>
        <w:br/>
      </w:r>
      <w:r>
        <w:t>Conceptual learning exercise only; no live SAP system was configured.</w:t>
      </w:r>
    </w:p>
    <w:p>
      <w:r>
        <w:br w:type="page"/>
      </w:r>
    </w:p>
    <w:p>
      <w:pPr>
        <w:pStyle w:val="Heading1"/>
      </w:pPr>
      <w:r>
        <w:t>Executive Summary</w:t>
      </w:r>
    </w:p>
    <w:p>
      <w:r>
        <w:t>This report explains a conceptual payroll lifecycle and the difference between classic SAP HCM Payroll and SAP SuccessFactors Employee Central Payroll (ECP). It covers master data, payroll area and control record, periods, wage types, classic infotypes, schemas and personnel calculation rules, deductions, localization, posting, reconciliation, testing, troubleshooting, and security. Tables map controls and fictional failure scenarios. Example amounts are simulated only: statutory tax, contribution, and deduction values are intentionally not calculated or represented as current law. No live SAP tenant was accessed and no configuration was performed.</w:t>
      </w:r>
    </w:p>
    <w:p>
      <w:pPr>
        <w:pStyle w:val="Heading1"/>
      </w:pPr>
      <w:r>
        <w:t>Contents</w:t>
      </w:r>
    </w:p>
    <w:p>
      <w:r>
        <w:t>1. Product roles and deployment context</w:t>
      </w:r>
    </w:p>
    <w:p>
      <w:r>
        <w:t>2. Prerequisites and conceptual configuration sequence</w:t>
      </w:r>
    </w:p>
    <w:p>
      <w:r>
        <w:t>3. Wage types, deductions, and gross-to-net controls</w:t>
      </w:r>
    </w:p>
    <w:p>
      <w:r>
        <w:t>4. Payroll run, posting, security, and reconciliation</w:t>
      </w:r>
    </w:p>
    <w:p>
      <w:r>
        <w:t>5. Fictional error scenarios, corrective actions, and test strategy</w:t>
      </w:r>
    </w:p>
    <w:p>
      <w:r>
        <w:t>6. Conclusion</w:t>
      </w:r>
    </w:p>
    <w:p>
      <w:r>
        <w:t>7. Period controls, statutory change, and operational runbook</w:t>
      </w:r>
    </w:p>
    <w:p>
      <w:r>
        <w:t>Tables, figures, and references follow the relevant discussion.</w:t>
      </w:r>
    </w:p>
    <w:p>
      <w:r>
        <w:br w:type="page"/>
      </w:r>
    </w:p>
    <w:p>
      <w:pPr>
        <w:pStyle w:val="Heading1"/>
      </w:pPr>
      <w:r>
        <w:t>1. Product roles and deployment context</w:t>
      </w:r>
    </w:p>
    <w:p>
      <w:r>
        <w:t>SAP HCM Payroll is the payroll calculation capability in SAP Human Capital Management deployments, traditionally associated with SAP ERP HCM and customer-managed landscapes. Product options, deployment, maintenance, country versions, and compatibility depend on the exact SAP release and current product lifecycle. SAP HCM for SAP S/4HANA is a distinct deployment context; it is unsafe to assume that all classic HCM functions are automatically part of a base S/4HANA installation.</w:t>
      </w:r>
    </w:p>
    <w:p>
      <w:r>
        <w:t>SAP SuccessFactors Employee Central is cloud core HR and maintains foundational employee/job/pay information. Employee Central Payroll (ECP) is SAP's cloud payroll offering based on SAP Payroll functionality and designed to integrate with Employee Central; it is not the same product as Employee Central itself. Some organizations use ECP as managed cloud payroll, classic payroll in an SAP ERP/HCM or HCM for SAP S/4HANA landscape, or a hybrid with other HR and finance systems. Architecture, country availability, localization, integration, service scope, and responsibilities require current SAP and implementation-partner confirmation.</w:t>
      </w:r>
    </w:p>
    <w:p>
      <w:r>
        <w:t>Payroll is a controlled calculation and disbursement process, not merely a monthly batch. It transforms effective-dated employee, time, compensation, and statutory inputs into gross-to-net results, payment instructions, accounting entries, and legally required outputs. This document is a learning design, not configuration guidance for production.</w:t>
      </w:r>
    </w:p>
    <w:p>
      <w:pPr>
        <w:pStyle w:val="Heading1"/>
      </w:pPr>
      <w:r>
        <w:t>2. Prerequisites and conceptual configuration sequence</w:t>
      </w:r>
    </w:p>
    <w:p>
      <w:r>
        <w:t>A payroll design begins with legal entity, country localization, pay frequency, calendar, population, currency, employment relationships, time inputs, finance requirements, data ownership, cut-off dates, and approval roles. Confirm the target deployment and supported localization before choosing configuration objects. Prepare master data through governed transactions or Employee Central data flows, define payroll areas and calendars, map wage types and eligibility, define calculation logic with supported country schema/PCR conventions, configure results and posting, integrate payment and finance, and establish test evidence and operations controls.</w:t>
      </w:r>
    </w:p>
    <w:p>
      <w:r>
        <w:t>In classic SAP HCM, commonly relevant infotypes include 0000 Actions, 0001 Organizational Assignment, 0002 Personal Data, 0006 Addresses, 0007 Planned Working Time, 0008 Basic Pay, 0009 Bank Details, 0014 Recurring Payments/Deductions, 0015 Additional Payments, and 0105 Communications; country- and process-specific infotypes vary. Infotype numbers and use should be confirmed in the applicable release and localization. Employee Central uses cloud data models and effective-dated records rather than exposing every classic infotype as the same user-facing object. Integration mappings are not one-to-one by assumption.</w:t>
      </w:r>
    </w:p>
    <w:p>
      <w:r>
        <w:t>Payroll areas group employees for a pay period and run schedule. A control record governs the period state and activities for that area in classic payroll operations; process names and controls differ across products and releases. Payroll periods define dates, cut-offs, retroactivity limits, and payment dates. A schema orchestrates payroll processing steps and personnel calculation rules (PCRs) apply logic to wage types in classic payroll. Country-specific schemas, wage type processing classes, cumulations, evaluation classes, and legal rules must not be copied blindly between countries or releases.</w:t>
      </w:r>
    </w:p>
    <w:p>
      <w:pPr>
        <w:pStyle w:val="ListNumber"/>
      </w:pPr>
      <w:r>
        <w:t>Confirm deployment, country localization, pay population, and process ownership.</w:t>
      </w:r>
    </w:p>
    <w:p>
      <w:pPr>
        <w:pStyle w:val="ListNumber"/>
      </w:pPr>
      <w:r>
        <w:t>Validate employee and time master data and effective dates before period close.</w:t>
      </w:r>
    </w:p>
    <w:p>
      <w:pPr>
        <w:pStyle w:val="ListNumber"/>
      </w:pPr>
      <w:r>
        <w:t>Lock the approved payroll calendar, period status, and authorized release controls.</w:t>
      </w:r>
    </w:p>
    <w:p>
      <w:pPr>
        <w:pStyle w:val="ListNumber"/>
      </w:pPr>
      <w:r>
        <w:t>Simulate and inspect exceptions; correct source records with traceability.</w:t>
      </w:r>
    </w:p>
    <w:p>
      <w:pPr>
        <w:pStyle w:val="ListNumber"/>
      </w:pPr>
      <w:r>
        <w:t>Approve payroll results, payment output, accounting posting, and reconciliation.</w:t>
      </w:r>
    </w:p>
    <w:p>
      <w:pPr>
        <w:pStyle w:val="ListNumber"/>
      </w:pPr>
      <w:r>
        <w:t>Close the period with retained evidence and controlled retroactive change handling.</w:t>
      </w:r>
    </w:p>
    <w:p>
      <w:pPr>
        <w:pStyle w:val="Heading2"/>
      </w:pPr>
      <w:r>
        <w:t>Conceptual payroll controls</w:t>
      </w:r>
    </w:p>
    <w:p>
      <w:pPr>
        <w:pStyle w:val="Caption"/>
      </w:pPr>
      <w:r>
        <w:t>Table 1. Conceptual payroll controls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Control area</w:t>
            </w:r>
          </w:p>
        </w:tc>
        <w:tc>
          <w:tcPr>
            <w:tcW w:type="dxa" w:w="3331"/>
            <w:vAlign w:val="center"/>
            <w:shd w:fill="17365D"/>
          </w:tcPr>
          <w:p>
            <w:r>
              <w:rPr>
                <w:rFonts w:ascii="Aptos" w:hAnsi="Aptos"/>
                <w:b/>
                <w:color w:val="FFFFFF"/>
                <w:sz w:val="16"/>
              </w:rPr>
              <w:t>Illustrative control / configuration concept</w:t>
            </w:r>
          </w:p>
        </w:tc>
        <w:tc>
          <w:tcPr>
            <w:tcW w:type="dxa" w:w="3331"/>
            <w:vAlign w:val="center"/>
            <w:shd w:fill="17365D"/>
          </w:tcPr>
          <w:p>
            <w:r>
              <w:rPr>
                <w:rFonts w:ascii="Aptos" w:hAnsi="Aptos"/>
                <w:b/>
                <w:color w:val="FFFFFF"/>
                <w:sz w:val="16"/>
              </w:rPr>
              <w:t>Evidence to retain</w:t>
            </w:r>
          </w:p>
        </w:tc>
      </w:tr>
      <w:tr>
        <w:tc>
          <w:tcPr>
            <w:tcW w:type="dxa" w:w="3331"/>
            <w:vAlign w:val="center"/>
          </w:tcPr>
          <w:p>
            <w:r>
              <w:rPr>
                <w:rFonts w:ascii="Aptos" w:hAnsi="Aptos"/>
                <w:b w:val="0"/>
                <w:sz w:val="16"/>
              </w:rPr>
              <w:t>Organisational assignment</w:t>
            </w:r>
          </w:p>
        </w:tc>
        <w:tc>
          <w:tcPr>
            <w:tcW w:type="dxa" w:w="3331"/>
            <w:vAlign w:val="center"/>
          </w:tcPr>
          <w:p>
            <w:r>
              <w:rPr>
                <w:rFonts w:ascii="Aptos" w:hAnsi="Aptos"/>
                <w:b w:val="0"/>
                <w:sz w:val="16"/>
              </w:rPr>
              <w:t>Personnel number, company, personnel area/subarea, payroll area, cost assignment</w:t>
            </w:r>
          </w:p>
        </w:tc>
        <w:tc>
          <w:tcPr>
            <w:tcW w:type="dxa" w:w="3331"/>
            <w:vAlign w:val="center"/>
          </w:tcPr>
          <w:p>
            <w:r>
              <w:rPr>
                <w:rFonts w:ascii="Aptos" w:hAnsi="Aptos"/>
                <w:b w:val="0"/>
                <w:sz w:val="16"/>
              </w:rPr>
              <w:t>Effective-dated master-data validation</w:t>
            </w:r>
          </w:p>
        </w:tc>
      </w:tr>
      <w:tr>
        <w:tc>
          <w:tcPr>
            <w:tcW w:type="dxa" w:w="3331"/>
            <w:vAlign w:val="center"/>
          </w:tcPr>
          <w:p>
            <w:r>
              <w:rPr>
                <w:rFonts w:ascii="Aptos" w:hAnsi="Aptos"/>
                <w:b w:val="0"/>
                <w:sz w:val="16"/>
              </w:rPr>
              <w:t>Payroll calendar</w:t>
            </w:r>
          </w:p>
        </w:tc>
        <w:tc>
          <w:tcPr>
            <w:tcW w:type="dxa" w:w="3331"/>
            <w:vAlign w:val="center"/>
          </w:tcPr>
          <w:p>
            <w:r>
              <w:rPr>
                <w:rFonts w:ascii="Aptos" w:hAnsi="Aptos"/>
                <w:b w:val="0"/>
                <w:sz w:val="16"/>
              </w:rPr>
              <w:t>Period start/end, pay date, retro window, period status</w:t>
            </w:r>
          </w:p>
        </w:tc>
        <w:tc>
          <w:tcPr>
            <w:tcW w:type="dxa" w:w="3331"/>
            <w:vAlign w:val="center"/>
          </w:tcPr>
          <w:p>
            <w:r>
              <w:rPr>
                <w:rFonts w:ascii="Aptos" w:hAnsi="Aptos"/>
                <w:b w:val="0"/>
                <w:sz w:val="16"/>
              </w:rPr>
              <w:t>Approved payroll calendar/version</w:t>
            </w:r>
          </w:p>
        </w:tc>
      </w:tr>
      <w:tr>
        <w:tc>
          <w:tcPr>
            <w:tcW w:type="dxa" w:w="3331"/>
            <w:vAlign w:val="center"/>
          </w:tcPr>
          <w:p>
            <w:r>
              <w:rPr>
                <w:rFonts w:ascii="Aptos" w:hAnsi="Aptos"/>
                <w:b w:val="0"/>
                <w:sz w:val="16"/>
              </w:rPr>
              <w:t>Wage types</w:t>
            </w:r>
          </w:p>
        </w:tc>
        <w:tc>
          <w:tcPr>
            <w:tcW w:type="dxa" w:w="3331"/>
            <w:vAlign w:val="center"/>
          </w:tcPr>
          <w:p>
            <w:r>
              <w:rPr>
                <w:rFonts w:ascii="Aptos" w:hAnsi="Aptos"/>
                <w:b w:val="0"/>
                <w:sz w:val="16"/>
              </w:rPr>
              <w:t>Basic pay, recurring/non-recurring earnings, deductions; eligibility and processing behavior</w:t>
            </w:r>
          </w:p>
        </w:tc>
        <w:tc>
          <w:tcPr>
            <w:tcW w:type="dxa" w:w="3331"/>
            <w:vAlign w:val="center"/>
          </w:tcPr>
          <w:p>
            <w:r>
              <w:rPr>
                <w:rFonts w:ascii="Aptos" w:hAnsi="Aptos"/>
                <w:b w:val="0"/>
                <w:sz w:val="16"/>
              </w:rPr>
              <w:t>Mapping, test cases, signed change record</w:t>
            </w:r>
          </w:p>
        </w:tc>
      </w:tr>
      <w:tr>
        <w:tc>
          <w:tcPr>
            <w:tcW w:type="dxa" w:w="3331"/>
            <w:vAlign w:val="center"/>
          </w:tcPr>
          <w:p>
            <w:r>
              <w:rPr>
                <w:rFonts w:ascii="Aptos" w:hAnsi="Aptos"/>
                <w:b w:val="0"/>
                <w:sz w:val="16"/>
              </w:rPr>
              <w:t>Calculation</w:t>
            </w:r>
          </w:p>
        </w:tc>
        <w:tc>
          <w:tcPr>
            <w:tcW w:type="dxa" w:w="3331"/>
            <w:vAlign w:val="center"/>
          </w:tcPr>
          <w:p>
            <w:r>
              <w:rPr>
                <w:rFonts w:ascii="Aptos" w:hAnsi="Aptos"/>
                <w:b w:val="0"/>
                <w:sz w:val="16"/>
              </w:rPr>
              <w:t>Schema/PCR logic in classic SAP Payroll; country localization and legal parameters</w:t>
            </w:r>
          </w:p>
        </w:tc>
        <w:tc>
          <w:tcPr>
            <w:tcW w:type="dxa" w:w="3331"/>
            <w:vAlign w:val="center"/>
          </w:tcPr>
          <w:p>
            <w:r>
              <w:rPr>
                <w:rFonts w:ascii="Aptos" w:hAnsi="Aptos"/>
                <w:b w:val="0"/>
                <w:sz w:val="16"/>
              </w:rPr>
              <w:t>Transport/change record and test results</w:t>
            </w:r>
          </w:p>
        </w:tc>
      </w:tr>
      <w:tr>
        <w:tc>
          <w:tcPr>
            <w:tcW w:type="dxa" w:w="3331"/>
            <w:vAlign w:val="center"/>
          </w:tcPr>
          <w:p>
            <w:r>
              <w:rPr>
                <w:rFonts w:ascii="Aptos" w:hAnsi="Aptos"/>
                <w:b w:val="0"/>
                <w:sz w:val="16"/>
              </w:rPr>
              <w:t>Posting</w:t>
            </w:r>
          </w:p>
        </w:tc>
        <w:tc>
          <w:tcPr>
            <w:tcW w:type="dxa" w:w="3331"/>
            <w:vAlign w:val="center"/>
          </w:tcPr>
          <w:p>
            <w:r>
              <w:rPr>
                <w:rFonts w:ascii="Aptos" w:hAnsi="Aptos"/>
                <w:b w:val="0"/>
                <w:sz w:val="16"/>
              </w:rPr>
              <w:t>Symbolic accounts to GL accounts, cost objects, balancing rules</w:t>
            </w:r>
          </w:p>
        </w:tc>
        <w:tc>
          <w:tcPr>
            <w:tcW w:type="dxa" w:w="3331"/>
            <w:vAlign w:val="center"/>
          </w:tcPr>
          <w:p>
            <w:r>
              <w:rPr>
                <w:rFonts w:ascii="Aptos" w:hAnsi="Aptos"/>
                <w:b w:val="0"/>
                <w:sz w:val="16"/>
              </w:rPr>
              <w:t>Posting simulation and finance reconciliation</w:t>
            </w:r>
          </w:p>
        </w:tc>
      </w:tr>
      <w:tr>
        <w:tc>
          <w:tcPr>
            <w:tcW w:type="dxa" w:w="3331"/>
            <w:vAlign w:val="center"/>
          </w:tcPr>
          <w:p>
            <w:r>
              <w:rPr>
                <w:rFonts w:ascii="Aptos" w:hAnsi="Aptos"/>
                <w:b w:val="0"/>
                <w:sz w:val="16"/>
              </w:rPr>
              <w:t>Access</w:t>
            </w:r>
          </w:p>
        </w:tc>
        <w:tc>
          <w:tcPr>
            <w:tcW w:type="dxa" w:w="3331"/>
            <w:vAlign w:val="center"/>
          </w:tcPr>
          <w:p>
            <w:r>
              <w:rPr>
                <w:rFonts w:ascii="Aptos" w:hAnsi="Aptos"/>
                <w:b w:val="0"/>
                <w:sz w:val="16"/>
              </w:rPr>
              <w:t>Separate master-data maintenance, payroll execution, approval, and audit</w:t>
            </w:r>
          </w:p>
        </w:tc>
        <w:tc>
          <w:tcPr>
            <w:tcW w:type="dxa" w:w="3331"/>
            <w:vAlign w:val="center"/>
          </w:tcPr>
          <w:p>
            <w:r>
              <w:rPr>
                <w:rFonts w:ascii="Aptos" w:hAnsi="Aptos"/>
                <w:b w:val="0"/>
                <w:sz w:val="16"/>
              </w:rPr>
              <w:t>Role matrix, logs, quarterly recertification</w:t>
            </w:r>
          </w:p>
        </w:tc>
      </w:tr>
    </w:tbl>
    <w:p/>
    <w:p>
      <w:pPr>
        <w:pStyle w:val="Heading1"/>
      </w:pPr>
      <w:r>
        <w:t>3. Wage types, deductions, and gross-to-net controls</w:t>
      </w:r>
    </w:p>
    <w:p>
      <w:r>
        <w:t>Wage types classify earnings and deductions and influence payroll processing, cumulation, valuation, tax treatment, posting, and reporting. Illustrative types include base salary, overtime, shift premium, bonus, meal allowance, employee contribution, tax withholding, loan recovery, and net-pay adjustment. A naming label alone does not define its behavior. Each type requires eligibility, frequency, calculation basis, validity dates, country treatment, account mapping, retroactivity behavior, and appropriate controls. One-time items and recurring payments need separate approval and duplicate detection.</w:t>
      </w:r>
    </w:p>
    <w:p>
      <w:r>
        <w:t>Payroll deductions may include statutory withholding, social insurance or pension contributions, benefit premiums, court-ordered deductions, and voluntary deductions, depending on jurisdiction and eligibility. Never use the illustrative INR amounts in the dataset to infer a tax rate, legal limit, or expected statutory deduction. Payroll localization and current legislation determine thresholds, rounding, exemptions, reporting, and remittance timing. Maintain effective-dated tax parameters through controlled updates and test relevant boundaries.</w:t>
      </w:r>
    </w:p>
    <w:p>
      <w:r>
        <w:t>Gross-to-net control should compare input totals, gross pay, deductions, net pay, payment file totals, and accounting. Exception thresholds should route unusual amounts for review. Run-to-run comparisons need context for starters, leavers, one-off payments, retro changes, and calendar effects. Variances are investigated; they should not be suppressed to achieve a target total.</w:t>
      </w:r>
    </w:p>
    <w:p>
      <w:pPr>
        <w:pStyle w:val="Heading2"/>
      </w:pPr>
      <w:r>
        <w:t>Conceptual payroll controls</w:t>
      </w:r>
    </w:p>
    <w:p>
      <w:pPr>
        <w:pStyle w:val="Caption"/>
      </w:pPr>
      <w:r>
        <w:t>Table 2. Conceptual payroll controls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Control area</w:t>
            </w:r>
          </w:p>
        </w:tc>
        <w:tc>
          <w:tcPr>
            <w:tcW w:type="dxa" w:w="3331"/>
            <w:vAlign w:val="center"/>
            <w:shd w:fill="17365D"/>
          </w:tcPr>
          <w:p>
            <w:r>
              <w:rPr>
                <w:rFonts w:ascii="Aptos" w:hAnsi="Aptos"/>
                <w:b/>
                <w:color w:val="FFFFFF"/>
                <w:sz w:val="16"/>
              </w:rPr>
              <w:t>Illustrative control / configuration concept</w:t>
            </w:r>
          </w:p>
        </w:tc>
        <w:tc>
          <w:tcPr>
            <w:tcW w:type="dxa" w:w="3331"/>
            <w:vAlign w:val="center"/>
            <w:shd w:fill="17365D"/>
          </w:tcPr>
          <w:p>
            <w:r>
              <w:rPr>
                <w:rFonts w:ascii="Aptos" w:hAnsi="Aptos"/>
                <w:b/>
                <w:color w:val="FFFFFF"/>
                <w:sz w:val="16"/>
              </w:rPr>
              <w:t>Evidence to retain</w:t>
            </w:r>
          </w:p>
        </w:tc>
      </w:tr>
      <w:tr>
        <w:tc>
          <w:tcPr>
            <w:tcW w:type="dxa" w:w="3331"/>
            <w:vAlign w:val="center"/>
          </w:tcPr>
          <w:p>
            <w:r>
              <w:rPr>
                <w:rFonts w:ascii="Aptos" w:hAnsi="Aptos"/>
                <w:b w:val="0"/>
                <w:sz w:val="16"/>
              </w:rPr>
              <w:t>Organisational assignment</w:t>
            </w:r>
          </w:p>
        </w:tc>
        <w:tc>
          <w:tcPr>
            <w:tcW w:type="dxa" w:w="3331"/>
            <w:vAlign w:val="center"/>
          </w:tcPr>
          <w:p>
            <w:r>
              <w:rPr>
                <w:rFonts w:ascii="Aptos" w:hAnsi="Aptos"/>
                <w:b w:val="0"/>
                <w:sz w:val="16"/>
              </w:rPr>
              <w:t>Personnel number, company, personnel area/subarea, payroll area, cost assignment</w:t>
            </w:r>
          </w:p>
        </w:tc>
        <w:tc>
          <w:tcPr>
            <w:tcW w:type="dxa" w:w="3331"/>
            <w:vAlign w:val="center"/>
          </w:tcPr>
          <w:p>
            <w:r>
              <w:rPr>
                <w:rFonts w:ascii="Aptos" w:hAnsi="Aptos"/>
                <w:b w:val="0"/>
                <w:sz w:val="16"/>
              </w:rPr>
              <w:t>Effective-dated master-data validation</w:t>
            </w:r>
          </w:p>
        </w:tc>
      </w:tr>
      <w:tr>
        <w:tc>
          <w:tcPr>
            <w:tcW w:type="dxa" w:w="3331"/>
            <w:vAlign w:val="center"/>
          </w:tcPr>
          <w:p>
            <w:r>
              <w:rPr>
                <w:rFonts w:ascii="Aptos" w:hAnsi="Aptos"/>
                <w:b w:val="0"/>
                <w:sz w:val="16"/>
              </w:rPr>
              <w:t>Payroll calendar</w:t>
            </w:r>
          </w:p>
        </w:tc>
        <w:tc>
          <w:tcPr>
            <w:tcW w:type="dxa" w:w="3331"/>
            <w:vAlign w:val="center"/>
          </w:tcPr>
          <w:p>
            <w:r>
              <w:rPr>
                <w:rFonts w:ascii="Aptos" w:hAnsi="Aptos"/>
                <w:b w:val="0"/>
                <w:sz w:val="16"/>
              </w:rPr>
              <w:t>Period start/end, pay date, retro window, period status</w:t>
            </w:r>
          </w:p>
        </w:tc>
        <w:tc>
          <w:tcPr>
            <w:tcW w:type="dxa" w:w="3331"/>
            <w:vAlign w:val="center"/>
          </w:tcPr>
          <w:p>
            <w:r>
              <w:rPr>
                <w:rFonts w:ascii="Aptos" w:hAnsi="Aptos"/>
                <w:b w:val="0"/>
                <w:sz w:val="16"/>
              </w:rPr>
              <w:t>Approved payroll calendar/version</w:t>
            </w:r>
          </w:p>
        </w:tc>
      </w:tr>
      <w:tr>
        <w:tc>
          <w:tcPr>
            <w:tcW w:type="dxa" w:w="3331"/>
            <w:vAlign w:val="center"/>
          </w:tcPr>
          <w:p>
            <w:r>
              <w:rPr>
                <w:rFonts w:ascii="Aptos" w:hAnsi="Aptos"/>
                <w:b w:val="0"/>
                <w:sz w:val="16"/>
              </w:rPr>
              <w:t>Wage types</w:t>
            </w:r>
          </w:p>
        </w:tc>
        <w:tc>
          <w:tcPr>
            <w:tcW w:type="dxa" w:w="3331"/>
            <w:vAlign w:val="center"/>
          </w:tcPr>
          <w:p>
            <w:r>
              <w:rPr>
                <w:rFonts w:ascii="Aptos" w:hAnsi="Aptos"/>
                <w:b w:val="0"/>
                <w:sz w:val="16"/>
              </w:rPr>
              <w:t>Basic pay, recurring/non-recurring earnings, deductions; eligibility and processing behavior</w:t>
            </w:r>
          </w:p>
        </w:tc>
        <w:tc>
          <w:tcPr>
            <w:tcW w:type="dxa" w:w="3331"/>
            <w:vAlign w:val="center"/>
          </w:tcPr>
          <w:p>
            <w:r>
              <w:rPr>
                <w:rFonts w:ascii="Aptos" w:hAnsi="Aptos"/>
                <w:b w:val="0"/>
                <w:sz w:val="16"/>
              </w:rPr>
              <w:t>Mapping, test cases, signed change record</w:t>
            </w:r>
          </w:p>
        </w:tc>
      </w:tr>
      <w:tr>
        <w:tc>
          <w:tcPr>
            <w:tcW w:type="dxa" w:w="3331"/>
            <w:vAlign w:val="center"/>
          </w:tcPr>
          <w:p>
            <w:r>
              <w:rPr>
                <w:rFonts w:ascii="Aptos" w:hAnsi="Aptos"/>
                <w:b w:val="0"/>
                <w:sz w:val="16"/>
              </w:rPr>
              <w:t>Calculation</w:t>
            </w:r>
          </w:p>
        </w:tc>
        <w:tc>
          <w:tcPr>
            <w:tcW w:type="dxa" w:w="3331"/>
            <w:vAlign w:val="center"/>
          </w:tcPr>
          <w:p>
            <w:r>
              <w:rPr>
                <w:rFonts w:ascii="Aptos" w:hAnsi="Aptos"/>
                <w:b w:val="0"/>
                <w:sz w:val="16"/>
              </w:rPr>
              <w:t>Schema/PCR logic in classic SAP Payroll; country localization and legal parameters</w:t>
            </w:r>
          </w:p>
        </w:tc>
        <w:tc>
          <w:tcPr>
            <w:tcW w:type="dxa" w:w="3331"/>
            <w:vAlign w:val="center"/>
          </w:tcPr>
          <w:p>
            <w:r>
              <w:rPr>
                <w:rFonts w:ascii="Aptos" w:hAnsi="Aptos"/>
                <w:b w:val="0"/>
                <w:sz w:val="16"/>
              </w:rPr>
              <w:t>Transport/change record and test results</w:t>
            </w:r>
          </w:p>
        </w:tc>
      </w:tr>
      <w:tr>
        <w:tc>
          <w:tcPr>
            <w:tcW w:type="dxa" w:w="3331"/>
            <w:vAlign w:val="center"/>
          </w:tcPr>
          <w:p>
            <w:r>
              <w:rPr>
                <w:rFonts w:ascii="Aptos" w:hAnsi="Aptos"/>
                <w:b w:val="0"/>
                <w:sz w:val="16"/>
              </w:rPr>
              <w:t>Posting</w:t>
            </w:r>
          </w:p>
        </w:tc>
        <w:tc>
          <w:tcPr>
            <w:tcW w:type="dxa" w:w="3331"/>
            <w:vAlign w:val="center"/>
          </w:tcPr>
          <w:p>
            <w:r>
              <w:rPr>
                <w:rFonts w:ascii="Aptos" w:hAnsi="Aptos"/>
                <w:b w:val="0"/>
                <w:sz w:val="16"/>
              </w:rPr>
              <w:t>Symbolic accounts to GL accounts, cost objects, balancing rules</w:t>
            </w:r>
          </w:p>
        </w:tc>
        <w:tc>
          <w:tcPr>
            <w:tcW w:type="dxa" w:w="3331"/>
            <w:vAlign w:val="center"/>
          </w:tcPr>
          <w:p>
            <w:r>
              <w:rPr>
                <w:rFonts w:ascii="Aptos" w:hAnsi="Aptos"/>
                <w:b w:val="0"/>
                <w:sz w:val="16"/>
              </w:rPr>
              <w:t>Posting simulation and finance reconciliation</w:t>
            </w:r>
          </w:p>
        </w:tc>
      </w:tr>
      <w:tr>
        <w:tc>
          <w:tcPr>
            <w:tcW w:type="dxa" w:w="3331"/>
            <w:vAlign w:val="center"/>
          </w:tcPr>
          <w:p>
            <w:r>
              <w:rPr>
                <w:rFonts w:ascii="Aptos" w:hAnsi="Aptos"/>
                <w:b w:val="0"/>
                <w:sz w:val="16"/>
              </w:rPr>
              <w:t>Access</w:t>
            </w:r>
          </w:p>
        </w:tc>
        <w:tc>
          <w:tcPr>
            <w:tcW w:type="dxa" w:w="3331"/>
            <w:vAlign w:val="center"/>
          </w:tcPr>
          <w:p>
            <w:r>
              <w:rPr>
                <w:rFonts w:ascii="Aptos" w:hAnsi="Aptos"/>
                <w:b w:val="0"/>
                <w:sz w:val="16"/>
              </w:rPr>
              <w:t>Separate master-data maintenance, payroll execution, approval, and audit</w:t>
            </w:r>
          </w:p>
        </w:tc>
        <w:tc>
          <w:tcPr>
            <w:tcW w:type="dxa" w:w="3331"/>
            <w:vAlign w:val="center"/>
          </w:tcPr>
          <w:p>
            <w:r>
              <w:rPr>
                <w:rFonts w:ascii="Aptos" w:hAnsi="Aptos"/>
                <w:b w:val="0"/>
                <w:sz w:val="16"/>
              </w:rPr>
              <w:t>Role matrix, logs, quarterly recertification</w:t>
            </w:r>
          </w:p>
        </w:tc>
      </w:tr>
    </w:tbl>
    <w:p/>
    <w:p>
      <w:pPr>
        <w:pStyle w:val="Heading1"/>
      </w:pPr>
      <w:r>
        <w:t>4. Payroll run, posting, security, and reconciliation</w:t>
      </w:r>
    </w:p>
    <w:p>
      <w:r>
        <w:t>A typical monthly cycle includes time and master-data cut-off, input validation, payroll simulation, exception resolution, authorized payroll release, productive calculation, result review, payment file preparation, approval, payment execution, accounting posting, reconciliation, and period closure. A rejected bank instruction is not proof that a payroll result was wrong; it is a payment exception that needs secure handling. Finance posting uses configured symbolic accounts and account determination in classic SAP contexts, with integration patterns varying by architecture. Reconcile payroll liabilities and expense by legal entity, cost centre, and period, and explain timing differences.</w:t>
      </w:r>
    </w:p>
    <w:p>
      <w:r>
        <w:t>Segregation of duties separates personnel-data changes, payroll configuration, payroll execution, result approval, payment release, and audit. Restrict display of bank and compensation details; mask or avoid exports; log privileged operations; recertify roles; and secure interfaces, background users, keys, and files. Test non-production systems with synthetic or masked data. Production access for troubleshooting should be time-bound and approved. Retain payroll evidence under applicable law and policy, with secure deletion after the retention period.</w:t>
      </w:r>
    </w:p>
    <w:p>
      <w:pPr>
        <w:pStyle w:val="ListBullet"/>
      </w:pPr>
      <w:r>
        <w:t>Reconcile employee counts and high-level control totals before calculation.</w:t>
      </w:r>
    </w:p>
    <w:p>
      <w:pPr>
        <w:pStyle w:val="ListBullet"/>
      </w:pPr>
      <w:r>
        <w:t>Use approved transport/change practices and dual review for payroll logic changes.</w:t>
      </w:r>
    </w:p>
    <w:p>
      <w:pPr>
        <w:pStyle w:val="ListBullet"/>
      </w:pPr>
      <w:r>
        <w:t>Keep payment file generation, authorization, and release distinct when feasible.</w:t>
      </w:r>
    </w:p>
    <w:p>
      <w:pPr>
        <w:pStyle w:val="ListBullet"/>
      </w:pPr>
      <w:r>
        <w:t>Document run identifiers, parameters, exceptions, approvals, and reruns.</w:t>
      </w:r>
    </w:p>
    <w:p>
      <w:pPr>
        <w:jc w:val="center"/>
      </w:pPr>
      <w:r>
        <w:drawing>
          <wp:inline xmlns:a="http://schemas.openxmlformats.org/drawingml/2006/main" xmlns:pic="http://schemas.openxmlformats.org/drawingml/2006/picture">
            <wp:extent cx="5486400" cy="2602787"/>
            <wp:docPr id="1" name="Picture 1"/>
            <wp:cNvGraphicFramePr>
              <a:graphicFrameLocks noChangeAspect="1"/>
            </wp:cNvGraphicFramePr>
            <a:graphic>
              <a:graphicData uri="http://schemas.openxmlformats.org/drawingml/2006/picture">
                <pic:pic>
                  <pic:nvPicPr>
                    <pic:cNvPr id="0" name="payroll_process_flow.png"/>
                    <pic:cNvPicPr/>
                  </pic:nvPicPr>
                  <pic:blipFill>
                    <a:blip r:embed="rId10"/>
                    <a:stretch>
                      <a:fillRect/>
                    </a:stretch>
                  </pic:blipFill>
                  <pic:spPr>
                    <a:xfrm>
                      <a:off x="0" y="0"/>
                      <a:ext cx="5486400" cy="2602787"/>
                    </a:xfrm>
                    <a:prstGeom prst="rect"/>
                  </pic:spPr>
                </pic:pic>
              </a:graphicData>
            </a:graphic>
          </wp:inline>
        </w:drawing>
      </w:r>
    </w:p>
    <w:p>
      <w:pPr>
        <w:pStyle w:val="Caption"/>
        <w:jc w:val="center"/>
      </w:pPr>
      <w:r>
        <w:t>Figure 1. Generic payroll control flow; actual steps and product interfaces vary by deployment.</w:t>
      </w:r>
    </w:p>
    <w:p>
      <w:pPr>
        <w:pStyle w:val="Heading1"/>
      </w:pPr>
      <w:r>
        <w:t>5. Fictional error scenarios, corrective actions, and test strategy</w:t>
      </w:r>
    </w:p>
    <w:p>
      <w:r>
        <w:t>The error register gives four fictional scenarios: missing bank details, an unreleased payroll-area period, a duplicate recurring allowance, a retroactive job change, and an incorrect tax declaration/localization setup. These are teaching examples, not observed SAP incidents. Troubleshooting starts with the exact employee/period/run context and a protected audit trail. Confirm input master data and time data, process messages, wage-type results, configuration version, control-record status, interfaces, and posting status. Determine whether the failure originates in source data, configuration, authorization, integration, or operational timing. Correct the root cause through an authorized path and rerun only the affected scope where product procedure permits; compare before/after results and obtain approval.</w:t>
      </w:r>
    </w:p>
    <w:p>
      <w:r>
        <w:t>A test catalogue should include positive, negative, boundary, retroactive, volume, security, integration, and regression cases. Build expected results independently from approved business rules and localization, not from the payroll engine alone. Include joiners, leavers, unpaid time, salary changes, garnishments where lawful, multiple assignments if supported, and leap-year/calendar boundaries. Reconcile payroll to payment and general ledger outputs. Capture anonymized evidence, defects, severity, owner, fix version, retest, and sign-off. A parallel run is appropriate where governance and jurisdiction permit, but has controlled scope, access, and communication.</w:t>
      </w:r>
    </w:p>
    <w:p>
      <w:pPr>
        <w:pStyle w:val="ListBullet"/>
      </w:pPr>
      <w:r>
        <w:t>PAY002: confirm bank data and payment rejection feedback without placing account data in unsecured logs.</w:t>
      </w:r>
    </w:p>
    <w:p>
      <w:pPr>
        <w:pStyle w:val="ListBullet"/>
      </w:pPr>
      <w:r>
        <w:t>PAY003: verify period and authorized control-record action before release.</w:t>
      </w:r>
    </w:p>
    <w:p>
      <w:pPr>
        <w:pStyle w:val="ListBullet"/>
      </w:pPr>
      <w:r>
        <w:t>PAY004: inspect effective dates and source transactions; avoid editing calculated results directly.</w:t>
      </w:r>
    </w:p>
    <w:p>
      <w:pPr>
        <w:pStyle w:val="ListBullet"/>
      </w:pPr>
      <w:r>
        <w:t>PAY005: confirm retro trigger, period scope, and approved delta before posting.</w:t>
      </w:r>
    </w:p>
    <w:p>
      <w:pPr>
        <w:pStyle w:val="ListBullet"/>
      </w:pPr>
      <w:r>
        <w:t>PAY006: use current approved localization; never replace statutory tables with a guessed percentage.</w:t>
      </w:r>
    </w:p>
    <w:p>
      <w:pPr>
        <w:pStyle w:val="Heading2"/>
      </w:pPr>
      <w:r>
        <w:t>Fictional payroll error register</w:t>
      </w:r>
    </w:p>
    <w:p>
      <w:pPr>
        <w:pStyle w:val="Caption"/>
      </w:pPr>
      <w:r>
        <w:t>Table 3. Fictional payroll error register</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65D"/>
          </w:tcPr>
          <w:p>
            <w:r>
              <w:rPr>
                <w:rFonts w:ascii="Aptos" w:hAnsi="Aptos"/>
                <w:b/>
                <w:color w:val="FFFFFF"/>
                <w:sz w:val="16"/>
              </w:rPr>
              <w:t>Scenario</w:t>
            </w:r>
          </w:p>
        </w:tc>
        <w:tc>
          <w:tcPr>
            <w:tcW w:type="dxa" w:w="2498"/>
            <w:vAlign w:val="center"/>
            <w:shd w:fill="17365D"/>
          </w:tcPr>
          <w:p>
            <w:r>
              <w:rPr>
                <w:rFonts w:ascii="Aptos" w:hAnsi="Aptos"/>
                <w:b/>
                <w:color w:val="FFFFFF"/>
                <w:sz w:val="16"/>
              </w:rPr>
              <w:t>Observed symptom</w:t>
            </w:r>
          </w:p>
        </w:tc>
        <w:tc>
          <w:tcPr>
            <w:tcW w:type="dxa" w:w="2498"/>
            <w:vAlign w:val="center"/>
            <w:shd w:fill="17365D"/>
          </w:tcPr>
          <w:p>
            <w:r>
              <w:rPr>
                <w:rFonts w:ascii="Aptos" w:hAnsi="Aptos"/>
                <w:b/>
                <w:color w:val="FFFFFF"/>
                <w:sz w:val="16"/>
              </w:rPr>
              <w:t>Likely cause</w:t>
            </w:r>
          </w:p>
        </w:tc>
        <w:tc>
          <w:tcPr>
            <w:tcW w:type="dxa" w:w="2498"/>
            <w:vAlign w:val="center"/>
            <w:shd w:fill="17365D"/>
          </w:tcPr>
          <w:p>
            <w:r>
              <w:rPr>
                <w:rFonts w:ascii="Aptos" w:hAnsi="Aptos"/>
                <w:b/>
                <w:color w:val="FFFFFF"/>
                <w:sz w:val="16"/>
              </w:rPr>
              <w:t>Corrective action / prevention</w:t>
            </w:r>
          </w:p>
        </w:tc>
      </w:tr>
      <w:tr>
        <w:tc>
          <w:tcPr>
            <w:tcW w:type="dxa" w:w="2498"/>
            <w:vAlign w:val="center"/>
          </w:tcPr>
          <w:p>
            <w:r>
              <w:rPr>
                <w:rFonts w:ascii="Aptos" w:hAnsi="Aptos"/>
                <w:b w:val="0"/>
                <w:sz w:val="16"/>
              </w:rPr>
              <w:t>PAY002</w:t>
            </w:r>
          </w:p>
        </w:tc>
        <w:tc>
          <w:tcPr>
            <w:tcW w:type="dxa" w:w="2498"/>
            <w:vAlign w:val="center"/>
          </w:tcPr>
          <w:p>
            <w:r>
              <w:rPr>
                <w:rFonts w:ascii="Aptos" w:hAnsi="Aptos"/>
                <w:b w:val="0"/>
                <w:sz w:val="16"/>
              </w:rPr>
              <w:t>Net pay cannot reach valid bank destination</w:t>
            </w:r>
          </w:p>
        </w:tc>
        <w:tc>
          <w:tcPr>
            <w:tcW w:type="dxa" w:w="2498"/>
            <w:vAlign w:val="center"/>
          </w:tcPr>
          <w:p>
            <w:r>
              <w:rPr>
                <w:rFonts w:ascii="Aptos" w:hAnsi="Aptos"/>
                <w:b w:val="0"/>
                <w:sz w:val="16"/>
              </w:rPr>
              <w:t>Bank master data incomplete or invalid</w:t>
            </w:r>
          </w:p>
        </w:tc>
        <w:tc>
          <w:tcPr>
            <w:tcW w:type="dxa" w:w="2498"/>
            <w:vAlign w:val="center"/>
          </w:tcPr>
          <w:p>
            <w:r>
              <w:rPr>
                <w:rFonts w:ascii="Aptos" w:hAnsi="Aptos"/>
                <w:b w:val="0"/>
                <w:sz w:val="16"/>
              </w:rPr>
              <w:t>Validate bank details through controlled workflow; reconcile rejected payments; protect account data</w:t>
            </w:r>
          </w:p>
        </w:tc>
      </w:tr>
      <w:tr>
        <w:tc>
          <w:tcPr>
            <w:tcW w:type="dxa" w:w="2498"/>
            <w:vAlign w:val="center"/>
          </w:tcPr>
          <w:p>
            <w:r>
              <w:rPr>
                <w:rFonts w:ascii="Aptos" w:hAnsi="Aptos"/>
                <w:b w:val="0"/>
                <w:sz w:val="16"/>
              </w:rPr>
              <w:t>PAY003</w:t>
            </w:r>
          </w:p>
        </w:tc>
        <w:tc>
          <w:tcPr>
            <w:tcW w:type="dxa" w:w="2498"/>
            <w:vAlign w:val="center"/>
          </w:tcPr>
          <w:p>
            <w:r>
              <w:rPr>
                <w:rFonts w:ascii="Aptos" w:hAnsi="Aptos"/>
                <w:b w:val="0"/>
                <w:sz w:val="16"/>
              </w:rPr>
              <w:t>Payroll run is blocked before calculation</w:t>
            </w:r>
          </w:p>
        </w:tc>
        <w:tc>
          <w:tcPr>
            <w:tcW w:type="dxa" w:w="2498"/>
            <w:vAlign w:val="center"/>
          </w:tcPr>
          <w:p>
            <w:r>
              <w:rPr>
                <w:rFonts w:ascii="Aptos" w:hAnsi="Aptos"/>
                <w:b w:val="0"/>
                <w:sz w:val="16"/>
              </w:rPr>
              <w:t>Payroll control record is not released for the period</w:t>
            </w:r>
          </w:p>
        </w:tc>
        <w:tc>
          <w:tcPr>
            <w:tcW w:type="dxa" w:w="2498"/>
            <w:vAlign w:val="center"/>
          </w:tcPr>
          <w:p>
            <w:r>
              <w:rPr>
                <w:rFonts w:ascii="Aptos" w:hAnsi="Aptos"/>
                <w:b w:val="0"/>
                <w:sz w:val="16"/>
              </w:rPr>
              <w:t>Check payroll area, period and status; authorized payroll owner releases after pre-run checks</w:t>
            </w:r>
          </w:p>
        </w:tc>
      </w:tr>
      <w:tr>
        <w:tc>
          <w:tcPr>
            <w:tcW w:type="dxa" w:w="2498"/>
            <w:vAlign w:val="center"/>
          </w:tcPr>
          <w:p>
            <w:r>
              <w:rPr>
                <w:rFonts w:ascii="Aptos" w:hAnsi="Aptos"/>
                <w:b w:val="0"/>
                <w:sz w:val="16"/>
              </w:rPr>
              <w:t>PAY004</w:t>
            </w:r>
          </w:p>
        </w:tc>
        <w:tc>
          <w:tcPr>
            <w:tcW w:type="dxa" w:w="2498"/>
            <w:vAlign w:val="center"/>
          </w:tcPr>
          <w:p>
            <w:r>
              <w:rPr>
                <w:rFonts w:ascii="Aptos" w:hAnsi="Aptos"/>
                <w:b w:val="0"/>
                <w:sz w:val="16"/>
              </w:rPr>
              <w:t>Unexpected duplicate allowance</w:t>
            </w:r>
          </w:p>
        </w:tc>
        <w:tc>
          <w:tcPr>
            <w:tcW w:type="dxa" w:w="2498"/>
            <w:vAlign w:val="center"/>
          </w:tcPr>
          <w:p>
            <w:r>
              <w:rPr>
                <w:rFonts w:ascii="Aptos" w:hAnsi="Aptos"/>
                <w:b w:val="0"/>
                <w:sz w:val="16"/>
              </w:rPr>
              <w:t>Recurring wage-type entry duplicated or overlapping</w:t>
            </w:r>
          </w:p>
        </w:tc>
        <w:tc>
          <w:tcPr>
            <w:tcW w:type="dxa" w:w="2498"/>
            <w:vAlign w:val="center"/>
          </w:tcPr>
          <w:p>
            <w:r>
              <w:rPr>
                <w:rFonts w:ascii="Aptos" w:hAnsi="Aptos"/>
                <w:b w:val="0"/>
                <w:sz w:val="16"/>
              </w:rPr>
              <w:t>Inspect effective dates/source, correct one authorized record, rerun simulation, compare retro results</w:t>
            </w:r>
          </w:p>
        </w:tc>
      </w:tr>
      <w:tr>
        <w:tc>
          <w:tcPr>
            <w:tcW w:type="dxa" w:w="2498"/>
            <w:vAlign w:val="center"/>
          </w:tcPr>
          <w:p>
            <w:r>
              <w:rPr>
                <w:rFonts w:ascii="Aptos" w:hAnsi="Aptos"/>
                <w:b w:val="0"/>
                <w:sz w:val="16"/>
              </w:rPr>
              <w:t>PAY005</w:t>
            </w:r>
          </w:p>
        </w:tc>
        <w:tc>
          <w:tcPr>
            <w:tcW w:type="dxa" w:w="2498"/>
            <w:vAlign w:val="center"/>
          </w:tcPr>
          <w:p>
            <w:r>
              <w:rPr>
                <w:rFonts w:ascii="Aptos" w:hAnsi="Aptos"/>
                <w:b w:val="0"/>
                <w:sz w:val="16"/>
              </w:rPr>
              <w:t>Prior-period difference after job change</w:t>
            </w:r>
          </w:p>
        </w:tc>
        <w:tc>
          <w:tcPr>
            <w:tcW w:type="dxa" w:w="2498"/>
            <w:vAlign w:val="center"/>
          </w:tcPr>
          <w:p>
            <w:r>
              <w:rPr>
                <w:rFonts w:ascii="Aptos" w:hAnsi="Aptos"/>
                <w:b w:val="0"/>
                <w:sz w:val="16"/>
              </w:rPr>
              <w:t>Retroactive master-data change triggers retro-calculation</w:t>
            </w:r>
          </w:p>
        </w:tc>
        <w:tc>
          <w:tcPr>
            <w:tcW w:type="dxa" w:w="2498"/>
            <w:vAlign w:val="center"/>
          </w:tcPr>
          <w:p>
            <w:r>
              <w:rPr>
                <w:rFonts w:ascii="Aptos" w:hAnsi="Aptos"/>
                <w:b w:val="0"/>
                <w:sz w:val="16"/>
              </w:rPr>
              <w:t>Validate effective date and retro limits; review delta and accounting impact before approval</w:t>
            </w:r>
          </w:p>
        </w:tc>
      </w:tr>
      <w:tr>
        <w:tc>
          <w:tcPr>
            <w:tcW w:type="dxa" w:w="2498"/>
            <w:vAlign w:val="center"/>
          </w:tcPr>
          <w:p>
            <w:r>
              <w:rPr>
                <w:rFonts w:ascii="Aptos" w:hAnsi="Aptos"/>
                <w:b w:val="0"/>
                <w:sz w:val="16"/>
              </w:rPr>
              <w:t>PAY006</w:t>
            </w:r>
          </w:p>
        </w:tc>
        <w:tc>
          <w:tcPr>
            <w:tcW w:type="dxa" w:w="2498"/>
            <w:vAlign w:val="center"/>
          </w:tcPr>
          <w:p>
            <w:r>
              <w:rPr>
                <w:rFonts w:ascii="Aptos" w:hAnsi="Aptos"/>
                <w:b w:val="0"/>
                <w:sz w:val="16"/>
              </w:rPr>
              <w:t>Withholding differs from expected illustration</w:t>
            </w:r>
          </w:p>
        </w:tc>
        <w:tc>
          <w:tcPr>
            <w:tcW w:type="dxa" w:w="2498"/>
            <w:vAlign w:val="center"/>
          </w:tcPr>
          <w:p>
            <w:r>
              <w:rPr>
                <w:rFonts w:ascii="Aptos" w:hAnsi="Aptos"/>
                <w:b w:val="0"/>
                <w:sz w:val="16"/>
              </w:rPr>
              <w:t>Tax declarations or localization parameters incomplete/outdated</w:t>
            </w:r>
          </w:p>
        </w:tc>
        <w:tc>
          <w:tcPr>
            <w:tcW w:type="dxa" w:w="2498"/>
            <w:vAlign w:val="center"/>
          </w:tcPr>
          <w:p>
            <w:r>
              <w:rPr>
                <w:rFonts w:ascii="Aptos" w:hAnsi="Aptos"/>
                <w:b w:val="0"/>
                <w:sz w:val="16"/>
              </w:rPr>
              <w:t>Verify jurisdiction, declarations and current approved statutory configuration; do not hard-code rates</w:t>
            </w:r>
          </w:p>
        </w:tc>
      </w:tr>
    </w:tbl>
    <w:p/>
    <w:p>
      <w:pPr>
        <w:pStyle w:val="Heading2"/>
      </w:pPr>
      <w:r>
        <w:t>Conceptual payroll test catalogue</w:t>
      </w:r>
    </w:p>
    <w:p>
      <w:pPr>
        <w:pStyle w:val="Caption"/>
      </w:pPr>
      <w:r>
        <w:t>Table 4. Conceptual payroll test catalogue</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Test class</w:t>
            </w:r>
          </w:p>
        </w:tc>
        <w:tc>
          <w:tcPr>
            <w:tcW w:type="dxa" w:w="3331"/>
            <w:vAlign w:val="center"/>
            <w:shd w:fill="17365D"/>
          </w:tcPr>
          <w:p>
            <w:r>
              <w:rPr>
                <w:rFonts w:ascii="Aptos" w:hAnsi="Aptos"/>
                <w:b/>
                <w:color w:val="FFFFFF"/>
                <w:sz w:val="16"/>
              </w:rPr>
              <w:t>Example test</w:t>
            </w:r>
          </w:p>
        </w:tc>
        <w:tc>
          <w:tcPr>
            <w:tcW w:type="dxa" w:w="3331"/>
            <w:vAlign w:val="center"/>
            <w:shd w:fill="17365D"/>
          </w:tcPr>
          <w:p>
            <w:r>
              <w:rPr>
                <w:rFonts w:ascii="Aptos" w:hAnsi="Aptos"/>
                <w:b/>
                <w:color w:val="FFFFFF"/>
                <w:sz w:val="16"/>
              </w:rPr>
              <w:t>Pass evidence</w:t>
            </w:r>
          </w:p>
        </w:tc>
      </w:tr>
      <w:tr>
        <w:tc>
          <w:tcPr>
            <w:tcW w:type="dxa" w:w="3331"/>
            <w:vAlign w:val="center"/>
          </w:tcPr>
          <w:p>
            <w:r>
              <w:rPr>
                <w:rFonts w:ascii="Aptos" w:hAnsi="Aptos"/>
                <w:b w:val="0"/>
                <w:sz w:val="16"/>
              </w:rPr>
              <w:t>Positive</w:t>
            </w:r>
          </w:p>
        </w:tc>
        <w:tc>
          <w:tcPr>
            <w:tcW w:type="dxa" w:w="3331"/>
            <w:vAlign w:val="center"/>
          </w:tcPr>
          <w:p>
            <w:r>
              <w:rPr>
                <w:rFonts w:ascii="Aptos" w:hAnsi="Aptos"/>
                <w:b w:val="0"/>
                <w:sz w:val="16"/>
              </w:rPr>
              <w:t>Standard monthly salary, recurring benefit, approved one-time payment</w:t>
            </w:r>
          </w:p>
        </w:tc>
        <w:tc>
          <w:tcPr>
            <w:tcW w:type="dxa" w:w="3331"/>
            <w:vAlign w:val="center"/>
          </w:tcPr>
          <w:p>
            <w:r>
              <w:rPr>
                <w:rFonts w:ascii="Aptos" w:hAnsi="Aptos"/>
                <w:b w:val="0"/>
                <w:sz w:val="16"/>
              </w:rPr>
              <w:t>Gross-to-net results match independently approved expected values</w:t>
            </w:r>
          </w:p>
        </w:tc>
      </w:tr>
      <w:tr>
        <w:tc>
          <w:tcPr>
            <w:tcW w:type="dxa" w:w="3331"/>
            <w:vAlign w:val="center"/>
          </w:tcPr>
          <w:p>
            <w:r>
              <w:rPr>
                <w:rFonts w:ascii="Aptos" w:hAnsi="Aptos"/>
                <w:b w:val="0"/>
                <w:sz w:val="16"/>
              </w:rPr>
              <w:t>Negative</w:t>
            </w:r>
          </w:p>
        </w:tc>
        <w:tc>
          <w:tcPr>
            <w:tcW w:type="dxa" w:w="3331"/>
            <w:vAlign w:val="center"/>
          </w:tcPr>
          <w:p>
            <w:r>
              <w:rPr>
                <w:rFonts w:ascii="Aptos" w:hAnsi="Aptos"/>
                <w:b w:val="0"/>
                <w:sz w:val="16"/>
              </w:rPr>
              <w:t>Missing bank record, invalid wage-type eligibility, blocked control record</w:t>
            </w:r>
          </w:p>
        </w:tc>
        <w:tc>
          <w:tcPr>
            <w:tcW w:type="dxa" w:w="3331"/>
            <w:vAlign w:val="center"/>
          </w:tcPr>
          <w:p>
            <w:r>
              <w:rPr>
                <w:rFonts w:ascii="Aptos" w:hAnsi="Aptos"/>
                <w:b w:val="0"/>
                <w:sz w:val="16"/>
              </w:rPr>
              <w:t>Run blocks or routes to a defined exception without silent payment</w:t>
            </w:r>
          </w:p>
        </w:tc>
      </w:tr>
      <w:tr>
        <w:tc>
          <w:tcPr>
            <w:tcW w:type="dxa" w:w="3331"/>
            <w:vAlign w:val="center"/>
          </w:tcPr>
          <w:p>
            <w:r>
              <w:rPr>
                <w:rFonts w:ascii="Aptos" w:hAnsi="Aptos"/>
                <w:b w:val="0"/>
                <w:sz w:val="16"/>
              </w:rPr>
              <w:t>Boundary</w:t>
            </w:r>
          </w:p>
        </w:tc>
        <w:tc>
          <w:tcPr>
            <w:tcW w:type="dxa" w:w="3331"/>
            <w:vAlign w:val="center"/>
          </w:tcPr>
          <w:p>
            <w:r>
              <w:rPr>
                <w:rFonts w:ascii="Aptos" w:hAnsi="Aptos"/>
                <w:b w:val="0"/>
                <w:sz w:val="16"/>
              </w:rPr>
              <w:t>Period end, leap day, threshold boundary, part-period hire</w:t>
            </w:r>
          </w:p>
        </w:tc>
        <w:tc>
          <w:tcPr>
            <w:tcW w:type="dxa" w:w="3331"/>
            <w:vAlign w:val="center"/>
          </w:tcPr>
          <w:p>
            <w:r>
              <w:rPr>
                <w:rFonts w:ascii="Aptos" w:hAnsi="Aptos"/>
                <w:b w:val="0"/>
                <w:sz w:val="16"/>
              </w:rPr>
              <w:t>Calendar and prorating behavior matches approved localization rules</w:t>
            </w:r>
          </w:p>
        </w:tc>
      </w:tr>
      <w:tr>
        <w:tc>
          <w:tcPr>
            <w:tcW w:type="dxa" w:w="3331"/>
            <w:vAlign w:val="center"/>
          </w:tcPr>
          <w:p>
            <w:r>
              <w:rPr>
                <w:rFonts w:ascii="Aptos" w:hAnsi="Aptos"/>
                <w:b w:val="0"/>
                <w:sz w:val="16"/>
              </w:rPr>
              <w:t>Retro</w:t>
            </w:r>
          </w:p>
        </w:tc>
        <w:tc>
          <w:tcPr>
            <w:tcW w:type="dxa" w:w="3331"/>
            <w:vAlign w:val="center"/>
          </w:tcPr>
          <w:p>
            <w:r>
              <w:rPr>
                <w:rFonts w:ascii="Aptos" w:hAnsi="Aptos"/>
                <w:b w:val="0"/>
                <w:sz w:val="16"/>
              </w:rPr>
              <w:t>Backdated salary or organizational change within allowed retro window</w:t>
            </w:r>
          </w:p>
        </w:tc>
        <w:tc>
          <w:tcPr>
            <w:tcW w:type="dxa" w:w="3331"/>
            <w:vAlign w:val="center"/>
          </w:tcPr>
          <w:p>
            <w:r>
              <w:rPr>
                <w:rFonts w:ascii="Aptos" w:hAnsi="Aptos"/>
                <w:b w:val="0"/>
                <w:sz w:val="16"/>
              </w:rPr>
              <w:t>Prior and current periods reconcile with traceable differences</w:t>
            </w:r>
          </w:p>
        </w:tc>
      </w:tr>
      <w:tr>
        <w:tc>
          <w:tcPr>
            <w:tcW w:type="dxa" w:w="3331"/>
            <w:vAlign w:val="center"/>
          </w:tcPr>
          <w:p>
            <w:r>
              <w:rPr>
                <w:rFonts w:ascii="Aptos" w:hAnsi="Aptos"/>
                <w:b w:val="0"/>
                <w:sz w:val="16"/>
              </w:rPr>
              <w:t>Integration</w:t>
            </w:r>
          </w:p>
        </w:tc>
        <w:tc>
          <w:tcPr>
            <w:tcW w:type="dxa" w:w="3331"/>
            <w:vAlign w:val="center"/>
          </w:tcPr>
          <w:p>
            <w:r>
              <w:rPr>
                <w:rFonts w:ascii="Aptos" w:hAnsi="Aptos"/>
                <w:b w:val="0"/>
                <w:sz w:val="16"/>
              </w:rPr>
              <w:t>Payroll result to finance posting and payment file</w:t>
            </w:r>
          </w:p>
        </w:tc>
        <w:tc>
          <w:tcPr>
            <w:tcW w:type="dxa" w:w="3331"/>
            <w:vAlign w:val="center"/>
          </w:tcPr>
          <w:p>
            <w:r>
              <w:rPr>
                <w:rFonts w:ascii="Aptos" w:hAnsi="Aptos"/>
                <w:b w:val="0"/>
                <w:sz w:val="16"/>
              </w:rPr>
              <w:t>Totals balance; rejected items and unmatched accounts are explained</w:t>
            </w:r>
          </w:p>
        </w:tc>
      </w:tr>
    </w:tbl>
    <w:p/>
    <w:p>
      <w:pPr>
        <w:pStyle w:val="Heading1"/>
      </w:pPr>
      <w:r>
        <w:t>6. Conclusion</w:t>
      </w:r>
    </w:p>
    <w:p>
      <w:r>
        <w:t>Payroll reliability depends on clean effective-dated data, localization, configuration governance, controlled execution, financial reconciliation, and secure separation of duties. Classic SAP Payroll configuration concepts such as wage types, schemas, PCRs, infotypes, and control records are useful for understanding the processing model, but they must be mapped carefully to the selected cloud, ERP, or S/4HANA-related deployment. The fictional tables provide a structured design and test checklist only, not production-ready settings or legal calculations.</w:t>
      </w:r>
    </w:p>
    <w:p>
      <w:pPr>
        <w:pStyle w:val="Heading1"/>
      </w:pPr>
      <w:r>
        <w:t>7. Period controls, statutory change, and operational runbook</w:t>
      </w:r>
    </w:p>
    <w:p>
      <w:r>
        <w:t>A payroll calendar is an operational control artifact. It should identify input cut-offs, time evaluation cut-offs if applicable, off-cycle rules, calculation windows, approval deadlines, pay dates, bank holidays, finance posting periods, and named owners. Payroll areas should group employees only where they share an approved periodic schedule and control process. A late input policy defines which changes can be processed in the current run, which require an off-cycle run, and which are handled as retroactive adjustments. The policy must be consistent with local law, employment terms, the payroll product, and finance close. Calendar exceptions need an authorised decision and documented employee communication.</w:t>
      </w:r>
    </w:p>
    <w:p>
      <w:r>
        <w:t>Statutory maintenance should be treated as controlled change, not manual guesswork. A legal change intake identifies the authority and effective date, jurisdiction and affected population, impacted wage types or tax parameters, reporting or remittance implications, configuration owner, reviewer, and evidence source. Configuration moves should be tested in a representative non-production environment and compared with independently calculated expected outcomes. Keep historic effective-dated parameters available for retroactive periods. Where a change arrives near a cut-off, record the approved treatment and quantify the impact; never obscure the decision by overwriting historical data.</w:t>
      </w:r>
    </w:p>
    <w:p>
      <w:r>
        <w:t>A practical runbook uses explicit stop/go criteria. Stop if employee population reconciliation fails, a critical interface file is incomplete, a payroll-area period is not in the expected status, high-severity exceptions remain unexplained, or the payment and accounting control totals do not balance. A named payroll lead reviews exception volume and material values; a separate approver confirms results and payment output. Any rerun has a unique identifier and documented reason, scope, before/after comparison, and approval. Restrict direct changes to payroll results; repair the originating source or approved configuration and recompute through the normal engine.</w:t>
      </w:r>
    </w:p>
    <w:p>
      <w:r>
        <w:t>Reconciliation should bridge gross earnings, employer and employee deductions, net pay, payment file totals, rejected payments, clearing accounts, payroll liabilities, and expense postings. Differences may reflect timing, rounding, or specific legal and finance treatments, but each must have an owner and explanation. The close package should retain period status, input and output totals, error resolution, approval evidence, payment confirmation, posting document references, and unresolved items. Access to evidence is restricted and retention follows the applicable schedule. These control expectations remain conceptual; actual transactions and report names differ by deployment and release.</w:t>
      </w:r>
    </w:p>
    <w:p>
      <w:pPr>
        <w:pStyle w:val="Heading1"/>
      </w:pPr>
      <w:r>
        <w:t>8. References</w:t>
      </w:r>
    </w:p>
    <w:p>
      <w:r>
        <w:t>Official source portals were checked on 18 October 2026 where automated access was available; some government legal pages restrict automated retrieval. Product details and applicable legal obligations should be confirmed against the current official documentation and the organisation's jurisdiction before implementation.</w:t>
      </w:r>
    </w:p>
    <w:p>
      <w:pPr>
        <w:ind w:left="288" w:hanging="288"/>
      </w:pPr>
      <w:r>
        <w:t>[1] SAP Help Portal, SAP SuccessFactors Employee Central documentation landing area: https://help.sap.com/docs/SAP_SUCCESSFACTORS_EMPLOYEE_CENTRAL</w:t>
      </w:r>
    </w:p>
    <w:p>
      <w:pPr>
        <w:ind w:left="288" w:hanging="288"/>
      </w:pPr>
      <w:r>
        <w:t>[2] SAP Help Portal, SAP SuccessFactors Platform documentation landing area: https://help.sap.com/docs/SAP_SUCCESSFACTORS_PLATFORM</w:t>
      </w:r>
    </w:p>
    <w:p>
      <w:pPr>
        <w:ind w:left="288" w:hanging="288"/>
      </w:pPr>
      <w:r>
        <w:t>[3] SAP Help Portal, SAP ERP documentation landing area (including Human Capital Management topics): https://help.sap.com/docs/SAP_ERP</w:t>
      </w:r>
    </w:p>
    <w:p>
      <w:pPr>
        <w:ind w:left="288" w:hanging="288"/>
      </w:pPr>
      <w:r>
        <w:t>[4] SAP Help Portal, SAP SuccessFactors Employee Central Payroll documentation entry point: https://help.sap.com/docs/SAP_SUCCESSFACTORS_EMPLOYEE_CENTRAL_PAYROLL</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SAP HR Internship | Fictional academic simulation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Payroll Configuration</dc:title>
  <dc:subject>SAP HR internship academic simulation</dc:subject>
  <dc:creator>SAP HR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