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2: Hands-On Data Lab Report</w:t>
      </w:r>
    </w:p>
    <w:p>
      <w:pPr>
        <w:pStyle w:val="Heading1"/>
      </w:pPr>
      <w:r>
        <w:t>1. Executive Summary</w:t>
      </w:r>
    </w:p>
    <w:p>
      <w:r>
        <w:t>This report documents the implementation of the Hands-On Data Lab environment.</w:t>
      </w:r>
    </w:p>
    <w:p>
      <w:pPr>
        <w:pStyle w:val="Heading1"/>
      </w:pPr>
      <w:r>
        <w:t>2. Statistical Analysis Results</w:t>
      </w:r>
    </w:p>
    <w:p>
      <w:r>
        <w:t>Total Employees Analyzed: 15</w:t>
      </w:r>
    </w:p>
    <w:p>
      <w:r>
        <w:t xml:space="preserve">Average Salary: </w:t>
      </w:r>
    </w:p>
    <w:p>
      <w:r>
        <w:t>Average Performance Score: 81.23</w:t>
      </w:r>
    </w:p>
    <w:p>
      <w:pPr>
        <w:pStyle w:val="Heading1"/>
      </w:pPr>
      <w:r>
        <w:t>3. Key Visualizations</w:t>
      </w:r>
    </w:p>
    <w:p>
      <w:r>
        <w:t>Chart: histogram.png</w:t>
      </w:r>
    </w:p>
    <w:p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bar_chart.png</w:t>
      </w:r>
    </w:p>
    <w:p>
      <w:r>
        <w:drawing>
          <wp:inline xmlns:a="http://schemas.openxmlformats.org/drawingml/2006/main" xmlns:pic="http://schemas.openxmlformats.org/drawingml/2006/picture">
            <wp:extent cx="73152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scatter_plot.png</w:t>
      </w:r>
    </w:p>
    <w:p>
      <w:r>
        <w:drawing>
          <wp:inline xmlns:a="http://schemas.openxmlformats.org/drawingml/2006/main" xmlns:pic="http://schemas.openxmlformats.org/drawingml/2006/picture">
            <wp:extent cx="73152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box_plot.png</w:t>
      </w:r>
    </w:p>
    <w:p>
      <w:r>
        <w:drawing>
          <wp:inline xmlns:a="http://schemas.openxmlformats.org/drawingml/2006/main" xmlns:pic="http://schemas.openxmlformats.org/drawingml/2006/picture">
            <wp:extent cx="73152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