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5: Analytics Report &amp; Insights Documentation</w:t>
      </w:r>
    </w:p>
    <w:p>
      <w:pPr>
        <w:pStyle w:val="Heading1"/>
      </w:pPr>
      <w:r>
        <w:t>1. Executive Summary</w:t>
      </w:r>
    </w:p>
    <w:p>
      <w:r>
        <w:t>This report synthesizes key analytical findings, monthly revenue drivers, and return-on-investment (ROI) dynamics across marketing and operational performance channels. The primary aim is to translate multi-faceted operational data into actionable, executive-ready insights.</w:t>
      </w:r>
    </w:p>
    <w:p>
      <w:pPr>
        <w:pStyle w:val="Heading1"/>
      </w:pPr>
      <w:r>
        <w:t>2. Business Objectives &amp; Analytical Framework</w:t>
      </w:r>
    </w:p>
    <w:p>
      <w:r>
        <w:t>• Define core revenue growth metrics and identify underlying seasonal variations.</w:t>
      </w:r>
    </w:p>
    <w:p>
      <w:r>
        <w:t>• Assess marketing channel effectiveness through statistical correlation and ROI benchmarking.</w:t>
      </w:r>
    </w:p>
    <w:p>
      <w:r>
        <w:t>• Deliver strategic recommendations to optimize resource allocation and sustain margin expansion.</w:t>
      </w:r>
    </w:p>
    <w:p>
      <w:pPr>
        <w:pStyle w:val="Heading1"/>
      </w:pPr>
      <w:r>
        <w:t>3. Key Findings &amp; Data Insights</w:t>
      </w:r>
    </w:p>
    <w:p>
      <w:r>
        <w:t>• Revenue Trends: Monthly sales exhibited a positive trajectory, heavily influenced by promotional campaigns.</w:t>
      </w:r>
    </w:p>
    <w:p>
      <w:r>
        <w:t>• Marketing Efficiency: Marketing ROI maintained a strong baseline ratio above 4.5x spend across all quarters.</w:t>
      </w:r>
    </w:p>
    <w:p>
      <w:r>
        <w:t>• Performance Bottlenecks: Customer acquisition costs rose moderately during Q3, requiring localized campaign tuning.</w:t>
      </w:r>
    </w:p>
    <w:p>
      <w:pPr>
        <w:pStyle w:val="Heading1"/>
      </w:pPr>
      <w:r>
        <w:t>4. Actionable Strategic Recommendations</w:t>
      </w:r>
    </w:p>
    <w:p>
      <w:r>
        <w:t>1. Capitalize on Peak Seasons: Increase high-ROI ad spend allocation prior to peak quarter demand spikes.</w:t>
      </w:r>
    </w:p>
    <w:p>
      <w:r>
        <w:t>2. Optimize Acquisition Funnels: Refine campaign target parameters during mid-year dips to lower CAC.</w:t>
      </w:r>
    </w:p>
    <w:p>
      <w:r>
        <w:t>3. Establish Automated Monitoring: Deploy real-time BI dashboards for proactive margin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