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0"/>
          <w:szCs w:val="20"/>
        </w:rPr>
      </w:pPr>
      <w:r>
        <w:rPr>
          <w:b/>
          <w:bCs/>
          <w:sz w:val="20"/>
          <w:szCs w:val="20"/>
        </w:rPr>
        <w:t>Feature Importance and Chemical Insights</w:t>
      </w:r>
    </w:p>
    <w:p>
      <w:pPr>
        <w:pStyle w:val="Normal"/>
        <w:bidi w:val="0"/>
        <w:jc w:val="start"/>
        <w:rPr>
          <w:sz w:val="20"/>
          <w:szCs w:val="20"/>
        </w:rPr>
      </w:pPr>
      <w:r>
        <w:rPr>
          <w:b w:val="false"/>
          <w:bCs w:val="false"/>
          <w:sz w:val="20"/>
          <w:szCs w:val="20"/>
        </w:rPr>
        <w:t>SHAP (SHapley Additive exPlanations) analysis was performed to interpret model predictions and identify the key molecular features driving ferroptosis inducer/inhibitor classification. Across all three models (Ensemble, XGBoost, Random Forest), the top-ranked features demonstrated strong consensus and biological relevance. Exploratory data analysis confirmed that ferroptosis inducers exhibited significantly higher values for EState_VSA2 (19.55 vs 13.91), VSA_EState2 (23.64 vs 16.67), and SMR_VSA1 (24.11 vs 18.67) compared to inhibitors, consistent with their lipophilic character and membrane-targeting mechanisms.</w:t>
      </w:r>
    </w:p>
    <w:p>
      <w:pPr>
        <w:pStyle w:val="Normal"/>
        <w:bidi w:val="0"/>
        <w:jc w:val="start"/>
        <w:rPr>
          <w:sz w:val="20"/>
          <w:szCs w:val="20"/>
        </w:rPr>
      </w:pPr>
      <w:r>
        <w:rPr>
          <w:b w:val="false"/>
          <w:bCs w:val="false"/>
          <w:sz w:val="20"/>
          <w:szCs w:val="20"/>
        </w:rPr>
      </w:r>
    </w:p>
    <w:p>
      <w:pPr>
        <w:pStyle w:val="Normal"/>
        <w:bidi w:val="0"/>
        <w:jc w:val="start"/>
        <w:rPr>
          <w:sz w:val="20"/>
          <w:szCs w:val="20"/>
        </w:rPr>
      </w:pPr>
      <w:r>
        <w:rPr>
          <w:b w:val="false"/>
          <w:bCs w:val="false"/>
          <w:sz w:val="20"/>
          <w:szCs w:val="20"/>
        </w:rPr>
        <w:t>EState_VSA2 (electrotopological state combined with van der Waals surface area) emerged as the most important feature, with higher values associated with ferroptosis induction and lower values with inhibition. This finding aligns with the known mechanism of ferroptosis, where lipophilic compounds with specific electronic properties preferentially accumulate in cellular membranes and facilitate lipid peroxidation. The second most important feature, MORGAN_bit_198 (a Morgan fingerprint structural pattern), showed that compounds possessing this specific substructure exhibited inhibitory activity, suggesting a protective structural motif against ferroptosis. Hydrogen bond donor count (HBD) was the third most influential feature, with compounds having fewer hydrogen bond donors more likely to be inducers, potentially reflecting reduced antioxidant capacity. Additional critical features included SMR_VSA1 (molecular refractivity combined with surface area, representing lipophilicity), partial charge distributions (MinPartialCharge, MaxPartialCharge), and VSA_EState2, all of which relate to redox chemistry and membrane interactions central to ferroptosis mechanisms. Notably, shape complexity descriptors (Kappa2, Kappa3) showed substantial differences between classes, with inducers displaying more branched molecular architectures (Kappa2: 21.80 vs 8.39; Kappa3: 57.35 vs 4.90).</w:t>
      </w:r>
    </w:p>
    <w:p>
      <w:pPr>
        <w:pStyle w:val="Normal"/>
        <w:bidi w:val="0"/>
        <w:jc w:val="start"/>
        <w:rPr>
          <w:b/>
          <w:bCs/>
          <w:sz w:val="20"/>
          <w:szCs w:val="20"/>
        </w:rPr>
      </w:pPr>
      <w:r>
        <w:rPr>
          <w:b/>
          <w:bCs/>
          <w:sz w:val="20"/>
          <w:szCs w:val="20"/>
        </w:rPr>
      </w:r>
    </w:p>
    <w:p>
      <w:pPr>
        <w:pStyle w:val="Normal"/>
        <w:bidi w:val="0"/>
        <w:jc w:val="start"/>
        <w:rPr>
          <w:sz w:val="20"/>
          <w:szCs w:val="20"/>
        </w:rPr>
      </w:pPr>
      <w:r>
        <w:rPr>
          <w:b/>
          <w:bCs/>
          <w:sz w:val="20"/>
          <w:szCs w:val="20"/>
        </w:rPr>
        <w:t>Individual Prediction Explanations</w:t>
      </w:r>
    </w:p>
    <w:p>
      <w:pPr>
        <w:pStyle w:val="Normal"/>
        <w:bidi w:val="0"/>
        <w:jc w:val="start"/>
        <w:rPr>
          <w:sz w:val="20"/>
          <w:szCs w:val="20"/>
        </w:rPr>
      </w:pPr>
      <w:r>
        <w:rPr>
          <w:b w:val="false"/>
          <w:bCs w:val="false"/>
          <w:sz w:val="20"/>
          <w:szCs w:val="20"/>
        </w:rPr>
        <w:t>Force plots generated for representative test compounds demonstrated the model's interpretability at the individual prediction level. For a strong ferroptosis inducer (prediction probability = 99.2%), the presence of specific Morgan fingerprint bits (MORGAN_bit_1683, MORGAN_bit_828, MORGAN_bit_760) and high VSA_EState2 values collectively pushed the prediction toward the inducer class, while the absence of inhibitory structural patterns further strengthened this classification. Conversely, for a strong inhibitor (prediction probability = 99.2%), the presence of MORGAN_bit_198 and low EState_VSA2 values (4.89) strongly drove the prediction toward the inhibitor class, overcoming the weak opposing effect of SMR_VSA1. These examples illustrate that the ensemble model integrates both molecular descriptors (capturing physicochemical properties) and structural fingerprints (capturing specific substructural patterns) to make robust, chemically interpretable predictions.</w:t>
      </w:r>
    </w:p>
    <w:p>
      <w:pPr>
        <w:pStyle w:val="Normal"/>
        <w:bidi w:val="0"/>
        <w:jc w:val="start"/>
        <w:rPr>
          <w:b/>
          <w:bCs/>
          <w:sz w:val="20"/>
          <w:szCs w:val="20"/>
        </w:rPr>
      </w:pPr>
      <w:r>
        <w:rPr>
          <w:b/>
          <w:bCs/>
          <w:sz w:val="20"/>
          <w:szCs w:val="20"/>
        </w:rPr>
      </w:r>
    </w:p>
    <w:p>
      <w:pPr>
        <w:pStyle w:val="Normal"/>
        <w:bidi w:val="0"/>
        <w:jc w:val="start"/>
        <w:rPr>
          <w:sz w:val="20"/>
          <w:szCs w:val="20"/>
        </w:rPr>
      </w:pPr>
      <w:r>
        <w:rPr>
          <w:b/>
          <w:bCs/>
          <w:sz w:val="20"/>
          <w:szCs w:val="20"/>
        </w:rPr>
        <w:t>Model Robustness and Feature Diversity</w:t>
      </w:r>
    </w:p>
    <w:p>
      <w:pPr>
        <w:pStyle w:val="Normal"/>
        <w:bidi w:val="0"/>
        <w:jc w:val="start"/>
        <w:rPr>
          <w:sz w:val="20"/>
          <w:szCs w:val="20"/>
        </w:rPr>
      </w:pPr>
      <w:r>
        <w:rPr>
          <w:b w:val="false"/>
          <w:bCs w:val="false"/>
          <w:sz w:val="20"/>
          <w:szCs w:val="20"/>
        </w:rPr>
        <w:t>The ensemble model utilized 302 effective features (14.4% of total features above baseline importance), with the top 75 features capturing 50% of cumulative importance and the top 208 features capturing 80%. This distributed importance profile indicates that the model does not rely on a single dominant feature but rather integrates diverse chemical information, enhancing robustness and generalization capability. The maximum feature importance of 3.38% (70.7× baseline) confirms meaningful pattern learning without overfitting. Notably, the top 50 features comprised an equal distribution of Morgan fingerprint bits (50%) and molecular descriptors (50%), demonstrating that the ensemble successfully combines complementary representations of chemical structure and properties. This balanced utilization of feature types explains the superior performance of the ensemble (83.08% accuracy) compared to individual models, as XGBoost primarily relied on fingerprint patterns while Random Forest preferentially utilized molecular descriptors.</w:t>
      </w:r>
    </w:p>
    <w:p>
      <w:pPr>
        <w:pStyle w:val="Normal"/>
        <w:bidi w:val="0"/>
        <w:jc w:val="start"/>
        <w:rPr>
          <w:sz w:val="20"/>
          <w:szCs w:val="20"/>
        </w:rPr>
      </w:pPr>
      <w:r>
        <w:rPr>
          <w:sz w:val="20"/>
          <w:szCs w:val="20"/>
        </w:rPr>
      </w:r>
    </w:p>
    <w:p>
      <w:pPr>
        <w:pStyle w:val="Normal"/>
        <w:bidi w:val="0"/>
        <w:jc w:val="start"/>
        <w:rPr>
          <w:sz w:val="20"/>
          <w:szCs w:val="20"/>
        </w:rPr>
      </w:pPr>
      <w:r>
        <w:rPr>
          <w:sz w:val="20"/>
          <w:szCs w:val="20"/>
        </w:rPr>
      </w:r>
    </w:p>
    <w:tbl>
      <w:tblPr>
        <w:tblW w:w="9638" w:type="dxa"/>
        <w:jc w:val="start"/>
        <w:tblInd w:w="0" w:type="dxa"/>
        <w:tblLayout w:type="fixed"/>
        <w:tblCellMar>
          <w:top w:w="120" w:type="dxa"/>
          <w:start w:w="120" w:type="dxa"/>
          <w:bottom w:w="120" w:type="dxa"/>
          <w:end w:w="120" w:type="dxa"/>
        </w:tblCellMar>
      </w:tblPr>
      <w:tblGrid>
        <w:gridCol w:w="2120"/>
        <w:gridCol w:w="1607"/>
        <w:gridCol w:w="5911"/>
      </w:tblGrid>
      <w:tr>
        <w:trPr>
          <w:tblHeader w:val="true"/>
        </w:trPr>
        <w:tc>
          <w:tcPr>
            <w:tcW w:w="2120"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ind w:hanging="0" w:start="0" w:end="0"/>
              <w:jc w:val="start"/>
              <w:rPr>
                <w:sz w:val="20"/>
                <w:szCs w:val="20"/>
              </w:rPr>
            </w:pPr>
            <w:r>
              <w:rPr>
                <w:sz w:val="20"/>
                <w:szCs w:val="20"/>
              </w:rPr>
              <w:t>Feature</w:t>
            </w:r>
          </w:p>
        </w:tc>
        <w:tc>
          <w:tcPr>
            <w:tcW w:w="1607"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ind w:hanging="0" w:start="0" w:end="0"/>
              <w:jc w:val="start"/>
              <w:rPr>
                <w:sz w:val="20"/>
                <w:szCs w:val="20"/>
              </w:rPr>
            </w:pPr>
            <w:r>
              <w:rPr>
                <w:sz w:val="20"/>
                <w:szCs w:val="20"/>
              </w:rPr>
              <w:t>Pattern</w:t>
            </w:r>
          </w:p>
        </w:tc>
        <w:tc>
          <w:tcPr>
            <w:tcW w:w="5911"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ind w:hanging="0" w:start="0" w:end="0"/>
              <w:jc w:val="start"/>
              <w:rPr>
                <w:sz w:val="20"/>
                <w:szCs w:val="20"/>
              </w:rPr>
            </w:pPr>
            <w:r>
              <w:rPr>
                <w:sz w:val="20"/>
                <w:szCs w:val="20"/>
              </w:rPr>
              <w:t>Biological Meaning</w:t>
            </w:r>
          </w:p>
        </w:tc>
      </w:tr>
      <w:tr>
        <w:trPr/>
        <w:tc>
          <w:tcPr>
            <w:tcW w:w="2120"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rStyle w:val="Strong"/>
                <w:sz w:val="20"/>
                <w:szCs w:val="20"/>
              </w:rPr>
              <w:t>EState_VSA2</w:t>
            </w:r>
          </w:p>
        </w:tc>
        <w:tc>
          <w:tcPr>
            <w:tcW w:w="1607"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sz w:val="20"/>
                <w:szCs w:val="20"/>
              </w:rPr>
            </w:pPr>
            <w:r>
              <w:rPr>
                <w:sz w:val="20"/>
                <w:szCs w:val="20"/>
              </w:rPr>
              <w:t>High in Inducer</w:t>
            </w:r>
          </w:p>
        </w:tc>
        <w:tc>
          <w:tcPr>
            <w:tcW w:w="5911"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sz w:val="20"/>
                <w:szCs w:val="20"/>
              </w:rPr>
            </w:pPr>
            <w:r>
              <w:rPr>
                <w:sz w:val="20"/>
                <w:szCs w:val="20"/>
              </w:rPr>
              <w:t>Larger electronic surface area → more lipophilic → accumulates in membranes → triggers lipid peroxidation</w:t>
            </w:r>
          </w:p>
        </w:tc>
      </w:tr>
      <w:tr>
        <w:trPr/>
        <w:tc>
          <w:tcPr>
            <w:tcW w:w="2120"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rStyle w:val="Strong"/>
                <w:sz w:val="20"/>
                <w:szCs w:val="20"/>
              </w:rPr>
              <w:t>MORGAN_bit_198</w:t>
            </w:r>
          </w:p>
        </w:tc>
        <w:tc>
          <w:tcPr>
            <w:tcW w:w="1607"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sz w:val="20"/>
                <w:szCs w:val="20"/>
              </w:rPr>
            </w:pPr>
            <w:r>
              <w:rPr>
                <w:sz w:val="20"/>
                <w:szCs w:val="20"/>
              </w:rPr>
              <w:t>Present in Inhibitor</w:t>
            </w:r>
          </w:p>
        </w:tc>
        <w:tc>
          <w:tcPr>
            <w:tcW w:w="5911"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sz w:val="20"/>
                <w:szCs w:val="20"/>
              </w:rPr>
            </w:pPr>
            <w:r>
              <w:rPr>
                <w:sz w:val="20"/>
                <w:szCs w:val="20"/>
              </w:rPr>
              <w:t>This specific structure → protective effect (maybe antioxidant motif)</w:t>
            </w:r>
          </w:p>
        </w:tc>
      </w:tr>
      <w:tr>
        <w:trPr/>
        <w:tc>
          <w:tcPr>
            <w:tcW w:w="2120"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rStyle w:val="Strong"/>
                <w:sz w:val="20"/>
                <w:szCs w:val="20"/>
              </w:rPr>
              <w:t>HBD</w:t>
            </w:r>
          </w:p>
        </w:tc>
        <w:tc>
          <w:tcPr>
            <w:tcW w:w="1607"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sz w:val="20"/>
                <w:szCs w:val="20"/>
              </w:rPr>
            </w:pPr>
            <w:r>
              <w:rPr>
                <w:sz w:val="20"/>
                <w:szCs w:val="20"/>
              </w:rPr>
              <w:t>High in Inhibitor</w:t>
            </w:r>
          </w:p>
        </w:tc>
        <w:tc>
          <w:tcPr>
            <w:tcW w:w="5911"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sz w:val="20"/>
                <w:szCs w:val="20"/>
              </w:rPr>
            </w:pPr>
            <w:r>
              <w:rPr>
                <w:sz w:val="20"/>
                <w:szCs w:val="20"/>
              </w:rPr>
              <w:t>More H-donors → antioxidant activity → prevents ferroptosis</w:t>
            </w:r>
          </w:p>
        </w:tc>
      </w:tr>
      <w:tr>
        <w:trPr/>
        <w:tc>
          <w:tcPr>
            <w:tcW w:w="2120"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rStyle w:val="Strong"/>
                <w:sz w:val="20"/>
                <w:szCs w:val="20"/>
              </w:rPr>
              <w:t>SMR_VSA1</w:t>
            </w:r>
          </w:p>
        </w:tc>
        <w:tc>
          <w:tcPr>
            <w:tcW w:w="1607"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sz w:val="20"/>
                <w:szCs w:val="20"/>
              </w:rPr>
            </w:pPr>
            <w:r>
              <w:rPr>
                <w:sz w:val="20"/>
                <w:szCs w:val="20"/>
              </w:rPr>
              <w:t>High in Inducer</w:t>
            </w:r>
          </w:p>
        </w:tc>
        <w:tc>
          <w:tcPr>
            <w:tcW w:w="5911" w:type="dxa"/>
            <w:tcBorders>
              <w:top w:val="single" w:sz="2" w:space="0" w:color="DDDDDD"/>
              <w:start w:val="single" w:sz="2" w:space="0" w:color="DDDDDD"/>
              <w:bottom w:val="single" w:sz="2" w:space="0" w:color="DDDDDD"/>
              <w:end w:val="single" w:sz="2" w:space="0" w:color="DDDDDD"/>
            </w:tcBorders>
            <w:vAlign w:val="center"/>
          </w:tcPr>
          <w:p>
            <w:pPr>
              <w:pStyle w:val="TableContents"/>
              <w:jc w:val="start"/>
              <w:rPr>
                <w:sz w:val="20"/>
                <w:szCs w:val="20"/>
              </w:rPr>
            </w:pPr>
            <w:r>
              <w:rPr>
                <w:sz w:val="20"/>
                <w:szCs w:val="20"/>
              </w:rPr>
              <w:t>High molar refractivity → lipophilic → membrane damage</w:t>
            </w:r>
          </w:p>
        </w:tc>
      </w:tr>
    </w:tbl>
    <w:p>
      <w:pPr>
        <w:pStyle w:val="Normal"/>
        <w:bidi w:val="0"/>
        <w:jc w:val="start"/>
        <w:rPr>
          <w:sz w:val="20"/>
          <w:szCs w:val="20"/>
        </w:rPr>
      </w:pPr>
      <w:r>
        <w:rPr>
          <w:sz w:val="20"/>
          <w:szCs w:val="20"/>
        </w:rPr>
      </w:r>
    </w:p>
    <w:p>
      <w:pPr>
        <w:pStyle w:val="Normal"/>
        <w:bidi w:val="0"/>
        <w:jc w:val="start"/>
        <w:rPr>
          <w:sz w:val="20"/>
          <w:szCs w:val="20"/>
        </w:rPr>
      </w:pPr>
      <w:r>
        <w:rPr>
          <w:sz w:val="20"/>
          <w:szCs w:val="20"/>
        </w:rPr>
      </w:r>
    </w:p>
    <w:p>
      <w:pPr>
        <w:pStyle w:val="Normal"/>
        <w:bidi w:val="0"/>
        <w:jc w:val="start"/>
        <w:rPr>
          <w:sz w:val="20"/>
          <w:szCs w:val="20"/>
        </w:rPr>
      </w:pPr>
      <w:r>
        <w:rPr>
          <w:sz w:val="20"/>
          <w:szCs w:val="20"/>
        </w:rPr>
      </w:r>
    </w:p>
    <w:p>
      <w:pPr>
        <w:pStyle w:val="Normal"/>
        <w:bidi w:val="0"/>
        <w:jc w:val="start"/>
        <w:rPr>
          <w:sz w:val="20"/>
          <w:szCs w:val="20"/>
        </w:rPr>
      </w:pPr>
      <w:r>
        <w:rPr>
          <w:sz w:val="20"/>
          <w:szCs w:val="20"/>
        </w:rPr>
      </w:r>
    </w:p>
    <w:p>
      <w:pPr>
        <w:pStyle w:val="Normal"/>
        <w:bidi w:val="0"/>
        <w:jc w:val="start"/>
        <w:rPr>
          <w:b/>
          <w:bCs/>
          <w:sz w:val="20"/>
          <w:szCs w:val="20"/>
        </w:rPr>
      </w:pPr>
      <w:r>
        <w:rPr>
          <w:b/>
          <w:bCs/>
          <w:sz w:val="20"/>
          <w:szCs w:val="20"/>
        </w:rPr>
      </w:r>
    </w:p>
    <w:tbl>
      <w:tblPr>
        <w:tblW w:w="9638" w:type="dxa"/>
        <w:jc w:val="start"/>
        <w:tblInd w:w="0" w:type="dxa"/>
        <w:tblLayout w:type="fixed"/>
        <w:tblCellMar>
          <w:top w:w="120" w:type="dxa"/>
          <w:start w:w="120" w:type="dxa"/>
          <w:bottom w:w="120" w:type="dxa"/>
          <w:end w:w="120" w:type="dxa"/>
        </w:tblCellMar>
      </w:tblPr>
      <w:tblGrid>
        <w:gridCol w:w="2919"/>
        <w:gridCol w:w="3680"/>
        <w:gridCol w:w="3039"/>
      </w:tblGrid>
      <w:tr>
        <w:trPr>
          <w:tblHeader w:val="true"/>
        </w:trPr>
        <w:tc>
          <w:tcPr>
            <w:tcW w:w="2919"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ind w:hanging="0" w:start="0" w:end="0"/>
              <w:jc w:val="start"/>
              <w:rPr>
                <w:sz w:val="20"/>
                <w:szCs w:val="20"/>
              </w:rPr>
            </w:pPr>
            <w:r>
              <w:rPr>
                <w:sz w:val="20"/>
                <w:szCs w:val="20"/>
              </w:rPr>
              <w:t>Feature Model Found</w:t>
            </w:r>
          </w:p>
        </w:tc>
        <w:tc>
          <w:tcPr>
            <w:tcW w:w="3680"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ind w:hanging="0" w:start="0" w:end="0"/>
              <w:jc w:val="start"/>
              <w:rPr>
                <w:sz w:val="20"/>
                <w:szCs w:val="20"/>
              </w:rPr>
            </w:pPr>
            <w:r>
              <w:rPr>
                <w:sz w:val="20"/>
                <w:szCs w:val="20"/>
              </w:rPr>
              <w:t>Biological Connection</w:t>
            </w:r>
          </w:p>
        </w:tc>
        <w:tc>
          <w:tcPr>
            <w:tcW w:w="3039"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ind w:hanging="0" w:start="0" w:end="0"/>
              <w:jc w:val="start"/>
              <w:rPr>
                <w:sz w:val="20"/>
                <w:szCs w:val="20"/>
              </w:rPr>
            </w:pPr>
            <w:r>
              <w:rPr>
                <w:sz w:val="20"/>
                <w:szCs w:val="20"/>
              </w:rPr>
              <w:t>Is it Ok</w:t>
            </w:r>
          </w:p>
        </w:tc>
      </w:tr>
      <w:tr>
        <w:trPr/>
        <w:tc>
          <w:tcPr>
            <w:tcW w:w="2919"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rStyle w:val="Strong"/>
                <w:sz w:val="20"/>
                <w:szCs w:val="20"/>
              </w:rPr>
              <w:t>EState_VSA2</w:t>
            </w:r>
            <w:r>
              <w:rPr>
                <w:sz w:val="20"/>
                <w:szCs w:val="20"/>
              </w:rPr>
              <w:t xml:space="preserve"> (electronic state + surface area)</w:t>
            </w:r>
          </w:p>
        </w:tc>
        <w:tc>
          <w:tcPr>
            <w:tcW w:w="3680"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sz w:val="20"/>
                <w:szCs w:val="20"/>
              </w:rPr>
            </w:pPr>
            <w:r>
              <w:rPr>
                <w:sz w:val="20"/>
                <w:szCs w:val="20"/>
              </w:rPr>
              <w:t>High values = lipophilic compounds that accumulate in membranes</w:t>
            </w:r>
          </w:p>
        </w:tc>
        <w:tc>
          <w:tcPr>
            <w:tcW w:w="3039"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rStyle w:val="Strong"/>
                <w:sz w:val="20"/>
                <w:szCs w:val="20"/>
              </w:rPr>
              <w:t xml:space="preserve">YES - </w:t>
            </w:r>
            <w:r>
              <w:rPr>
                <w:sz w:val="20"/>
                <w:szCs w:val="20"/>
              </w:rPr>
              <w:t>Ferroptosis happens in membranes</w:t>
            </w:r>
          </w:p>
        </w:tc>
      </w:tr>
      <w:tr>
        <w:trPr/>
        <w:tc>
          <w:tcPr>
            <w:tcW w:w="2919"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rStyle w:val="Strong"/>
                <w:sz w:val="20"/>
                <w:szCs w:val="20"/>
              </w:rPr>
              <w:t>HBD</w:t>
            </w:r>
            <w:r>
              <w:rPr>
                <w:sz w:val="20"/>
                <w:szCs w:val="20"/>
              </w:rPr>
              <w:t xml:space="preserve"> (H-bond donors)</w:t>
            </w:r>
          </w:p>
        </w:tc>
        <w:tc>
          <w:tcPr>
            <w:tcW w:w="3680"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sz w:val="20"/>
                <w:szCs w:val="20"/>
              </w:rPr>
            </w:pPr>
            <w:r>
              <w:rPr>
                <w:sz w:val="20"/>
                <w:szCs w:val="20"/>
              </w:rPr>
              <w:t>High HBD = antioxidant behavior (donate H to radicals)</w:t>
            </w:r>
          </w:p>
        </w:tc>
        <w:tc>
          <w:tcPr>
            <w:tcW w:w="3039"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rStyle w:val="Strong"/>
                <w:sz w:val="20"/>
                <w:szCs w:val="20"/>
              </w:rPr>
              <w:t xml:space="preserve">YES - </w:t>
            </w:r>
            <w:r>
              <w:rPr>
                <w:sz w:val="20"/>
                <w:szCs w:val="20"/>
              </w:rPr>
              <w:t>Antioxidants PREVENT ferroptosis</w:t>
            </w:r>
          </w:p>
        </w:tc>
      </w:tr>
      <w:tr>
        <w:trPr/>
        <w:tc>
          <w:tcPr>
            <w:tcW w:w="2919"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rStyle w:val="Strong"/>
                <w:sz w:val="20"/>
                <w:szCs w:val="20"/>
              </w:rPr>
              <w:t>SMR_VSA1</w:t>
            </w:r>
            <w:r>
              <w:rPr>
                <w:sz w:val="20"/>
                <w:szCs w:val="20"/>
              </w:rPr>
              <w:t xml:space="preserve"> (molar refractivity + surface area)</w:t>
            </w:r>
          </w:p>
        </w:tc>
        <w:tc>
          <w:tcPr>
            <w:tcW w:w="3680"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sz w:val="20"/>
                <w:szCs w:val="20"/>
              </w:rPr>
            </w:pPr>
            <w:r>
              <w:rPr>
                <w:sz w:val="20"/>
                <w:szCs w:val="20"/>
              </w:rPr>
              <w:t>Measures lipophilicity</w:t>
            </w:r>
          </w:p>
        </w:tc>
        <w:tc>
          <w:tcPr>
            <w:tcW w:w="3039"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rStyle w:val="Strong"/>
                <w:sz w:val="20"/>
                <w:szCs w:val="20"/>
              </w:rPr>
              <w:t xml:space="preserve">YES - </w:t>
            </w:r>
            <w:r>
              <w:rPr>
                <w:sz w:val="20"/>
                <w:szCs w:val="20"/>
              </w:rPr>
              <w:t>Lipophilic = membrane accumulation</w:t>
            </w:r>
          </w:p>
        </w:tc>
      </w:tr>
      <w:tr>
        <w:trPr/>
        <w:tc>
          <w:tcPr>
            <w:tcW w:w="2919"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rStyle w:val="Strong"/>
                <w:sz w:val="20"/>
                <w:szCs w:val="20"/>
              </w:rPr>
              <w:t>Partial charges</w:t>
            </w:r>
            <w:r>
              <w:rPr>
                <w:sz w:val="20"/>
                <w:szCs w:val="20"/>
              </w:rPr>
              <w:t xml:space="preserve"> (Min/Max)</w:t>
            </w:r>
          </w:p>
        </w:tc>
        <w:tc>
          <w:tcPr>
            <w:tcW w:w="3680"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sz w:val="20"/>
                <w:szCs w:val="20"/>
              </w:rPr>
            </w:pPr>
            <w:r>
              <w:rPr>
                <w:sz w:val="20"/>
                <w:szCs w:val="20"/>
              </w:rPr>
              <w:t>Related to iron binding and redox reactions</w:t>
            </w:r>
          </w:p>
        </w:tc>
        <w:tc>
          <w:tcPr>
            <w:tcW w:w="3039"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rStyle w:val="Strong"/>
                <w:sz w:val="20"/>
                <w:szCs w:val="20"/>
              </w:rPr>
              <w:t xml:space="preserve">YES - </w:t>
            </w:r>
            <w:r>
              <w:rPr>
                <w:sz w:val="20"/>
                <w:szCs w:val="20"/>
              </w:rPr>
              <w:t>Ferroptosis needs iron and redox chemistry</w:t>
            </w:r>
          </w:p>
        </w:tc>
      </w:tr>
      <w:tr>
        <w:trPr/>
        <w:tc>
          <w:tcPr>
            <w:tcW w:w="2919"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rStyle w:val="Strong"/>
                <w:sz w:val="20"/>
                <w:szCs w:val="20"/>
              </w:rPr>
              <w:t>VSA_EState2</w:t>
            </w:r>
          </w:p>
        </w:tc>
        <w:tc>
          <w:tcPr>
            <w:tcW w:w="3680"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sz w:val="20"/>
                <w:szCs w:val="20"/>
              </w:rPr>
            </w:pPr>
            <w:r>
              <w:rPr>
                <w:sz w:val="20"/>
                <w:szCs w:val="20"/>
              </w:rPr>
              <w:t>Electronic properties affecting reactivity</w:t>
            </w:r>
          </w:p>
        </w:tc>
        <w:tc>
          <w:tcPr>
            <w:tcW w:w="3039" w:type="dxa"/>
            <w:tcBorders>
              <w:top w:val="single" w:sz="2" w:space="0" w:color="DDDDDD"/>
              <w:start w:val="single" w:sz="2" w:space="0" w:color="DDDDDD"/>
              <w:bottom w:val="single" w:sz="2" w:space="0" w:color="DDDDDD"/>
              <w:end w:val="single" w:sz="2" w:space="0" w:color="DDDDDD"/>
            </w:tcBorders>
            <w:vAlign w:val="center"/>
          </w:tcPr>
          <w:p>
            <w:pPr>
              <w:pStyle w:val="TableContents"/>
              <w:jc w:val="start"/>
              <w:rPr/>
            </w:pPr>
            <w:r>
              <w:rPr>
                <w:rStyle w:val="Strong"/>
                <w:sz w:val="20"/>
                <w:szCs w:val="20"/>
              </w:rPr>
              <w:t xml:space="preserve">YES - </w:t>
            </w:r>
            <w:r>
              <w:rPr>
                <w:sz w:val="20"/>
                <w:szCs w:val="20"/>
              </w:rPr>
              <w:t>Oxidation reactions drive ferroptosis</w:t>
            </w:r>
          </w:p>
        </w:tc>
      </w:tr>
    </w:tbl>
    <w:p>
      <w:pPr>
        <w:pStyle w:val="Normal"/>
        <w:bidi w:val="0"/>
        <w:jc w:val="start"/>
        <w:rPr>
          <w:b/>
          <w:bCs/>
          <w:sz w:val="20"/>
          <w:szCs w:val="20"/>
        </w:rPr>
      </w:pPr>
      <w:r>
        <w:rPr>
          <w:b/>
          <w:bCs/>
          <w:sz w:val="20"/>
          <w:szCs w:val="20"/>
        </w:rPr>
      </w:r>
    </w:p>
    <w:p>
      <w:pPr>
        <w:pStyle w:val="Normal"/>
        <w:bidi w:val="0"/>
        <w:jc w:val="start"/>
        <w:rPr>
          <w:b/>
          <w:bCs/>
          <w:sz w:val="20"/>
          <w:szCs w:val="20"/>
        </w:rPr>
      </w:pPr>
      <w:r>
        <w:rPr>
          <w:b/>
          <w:bCs/>
          <w:sz w:val="20"/>
          <w:szCs w:val="20"/>
        </w:rPr>
        <w:t>Functional Group Profiling of Critical Structural Features</w:t>
      </w:r>
    </w:p>
    <w:p>
      <w:pPr>
        <w:pStyle w:val="Normal"/>
        <w:bidi w:val="0"/>
        <w:jc w:val="start"/>
        <w:rPr>
          <w:b w:val="false"/>
          <w:bCs w:val="false"/>
          <w:sz w:val="20"/>
          <w:szCs w:val="20"/>
        </w:rPr>
      </w:pPr>
      <w:r>
        <w:rPr>
          <w:b w:val="false"/>
          <w:bCs w:val="false"/>
          <w:sz w:val="20"/>
          <w:szCs w:val="20"/>
        </w:rPr>
        <w:t>To elucidate the chemical basis underlying the predictive power of key Morgan fingerprint bits, we performed functional group enrichment analysis on molecules harboring MORGAN_bit_198 and MORGAN_bit_1683, the second and sixth most important features, respectively. MORGAN_bit_198, which strongly predicted ferroptosis inhibition (negative SHAP values), exhibited pronounced enrichment for aniline groups (4.95-fold, p = 1.66 × 10⁻¹⁰¹) and sulfone moieties (11.96-fold, p = 1.57 × 10⁻⁷⁵), the strongest structural signal identified in this study. Aniline-containing molecules possessed elevated aromatic ring content and hydrogen bond donor capacity, consistent with known radical-scavenging mechanisms. Aromatic amines possess readily abstractable N–H protons and delocalized π-electron systems capable of stabilizing free radicals through resonance, facilitating hydrogen atom transfer reactions that terminate lipid peroxidation chains. Sulfone groups, characterized by electron-withdrawing S=O bonds, stabilize radical intermediates through resonance delocalization, further enhancing antioxidant capacity.</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Conversely, MORGAN_bit_1683, associated with ferroptosis induction (positive SHAP values), was characterized by halogenated aromatic structures (5.97-fold enrichment, p = 4.76 × 10⁻²⁰⁶), tertiary amines (3.04-fold, p = 9.64 × 10⁻¹⁸), and aromatic rings (1.65-fold, p = 9.76 × 10⁻⁴³). Halogenated aromatics are known to enhance lipid membrane partitioning due to increased lipophilicity, thereby concentrating reactive species at sites of lipid peroxidation. The prevalence of tertiary amines in inducers suggests reduced capacity for hydrogen donation compared to primary or secondary amines, limiting antioxidant activity through proton transfer mechanisms. Additional inducer-associated features included amide linkages (1.83-fold, p = 3.06 × 10⁻⁶⁰) and secondary amines (1.72-fold, p = 0.013).</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Notably, amide groups exhibited context-dependent associations, with 6.53-fold enrichment in MORGAN_bit_1440 (inducer-associated, p = 9.88 × 10⁻³²) but 2.58-fold enrichment in MORGAN_bit_1854 (inhibitor-associated, p = 1.52 × 10⁻¹⁰). This dual enrichment indicates that amide reactivity is modulated by neighboring functional groups and molecular environment, with electron-withdrawing contexts favoring pro-oxidant behavior and electron-donating contexts favoring antioxidant behavior.</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Hydrogen bond donor (HBD) capacity emerged as a critical discriminator between the two structural classes. Molecules containing MORGAN_bit_1683 (inducer-associated) exhibited significantly reduced HBD counts compared to non-bit_1683 molecules, whereas MORGAN_bit_198 (inhibitor-associated) molecules maintained HBD levels near the dataset baseline. This reduction in hydrogen-bonding capacity aligns with the mechanistic requirement for ferroptosis induction, where diminished antioxidant defenses permit unchecked propagation of lipid peroxyl radicals (LOO·).</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The differential functional group profiles provide mechanistic insight into classification determinants. Inhibitor-associated structures (MORGAN_bit_198) combine electron-rich aromatic systems with N–H donor groups and sulfone electron sinks, facilitating both radical quenching and hydrogen atom transfer (HAT) reactions that terminate lipid peroxidation chains. Inducer-associated structures (MORGAN_bit_1683) lack these protective features, instead possessing lipophilic halogenated frameworks and electron-withdrawing groups that stabilize radical intermediates and promote oxidative cascades. The enrichment of tertiary amines in inducers represents a shift from antioxidant N–H donors to lipophilic membrane-targeting motifs. These findings demonstrate that machine learning feature importance extends beyond abstract numerical descriptors to reveal chemically interpretable structural determinants with direct mechanistic relevance to ferroptosis biology.</w:t>
      </w:r>
    </w:p>
    <w:p>
      <w:pPr>
        <w:pStyle w:val="Normal"/>
        <w:bidi w:val="0"/>
        <w:jc w:val="start"/>
        <w:rPr>
          <w:b w:val="false"/>
          <w:bCs w:val="false"/>
          <w:sz w:val="20"/>
          <w:szCs w:val="20"/>
        </w:rPr>
      </w:pPr>
      <w:r>
        <w:rPr>
          <w:b w:val="false"/>
          <w:bCs w:val="false"/>
          <w:sz w:val="20"/>
          <w:szCs w:val="20"/>
        </w:rPr>
      </w:r>
    </w:p>
    <w:p>
      <w:pPr>
        <w:pStyle w:val="Normal"/>
        <w:bidi w:val="0"/>
        <w:jc w:val="start"/>
        <w:rPr>
          <w:b/>
          <w:bCs/>
          <w:sz w:val="20"/>
          <w:szCs w:val="20"/>
        </w:rPr>
      </w:pPr>
      <w:r>
        <w:rPr>
          <w:b/>
          <w:bCs/>
          <w:sz w:val="20"/>
          <w:szCs w:val="20"/>
        </w:rPr>
      </w:r>
    </w:p>
    <w:p>
      <w:pPr>
        <w:pStyle w:val="Normal"/>
        <w:bidi w:val="0"/>
        <w:jc w:val="start"/>
        <w:rPr>
          <w:b/>
          <w:bCs/>
          <w:sz w:val="20"/>
          <w:szCs w:val="20"/>
        </w:rPr>
      </w:pPr>
      <w:r>
        <w:rPr>
          <w:b/>
          <w:bCs/>
          <w:sz w:val="20"/>
          <w:szCs w:val="20"/>
        </w:rPr>
      </w:r>
    </w:p>
    <w:p>
      <w:pPr>
        <w:pStyle w:val="Normal"/>
        <w:bidi w:val="0"/>
        <w:jc w:val="start"/>
        <w:rPr>
          <w:b/>
          <w:bCs/>
          <w:sz w:val="20"/>
          <w:szCs w:val="20"/>
        </w:rPr>
      </w:pPr>
      <w:r>
        <w:rPr>
          <w:b/>
          <w:bCs/>
          <w:sz w:val="20"/>
          <w:szCs w:val="20"/>
        </w:rPr>
        <w:t>Structure–Property Design Rules via Functional Group Enrichment</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To translate global feature importance into chemically actionable insights, we performed structure–property design rule extraction through functional group enrichment analysis of molecules associated with the most influential Morgan fingerprint features. Compounds containing the top five Morgan fingerprint bits (MORGAN_bit_198, MORGAN_bit_1683, MORGAN_bit_949, MORGAN_bit_1854, MORGAN_bit_1440) were stratified by class association and analyzed for functional group overrepresentation using Mann-Whitney U tests with significance threshold p &lt; 0.05 and minimum fold-enrichment &gt;1.5.</w:t>
      </w:r>
    </w:p>
    <w:p>
      <w:pPr>
        <w:pStyle w:val="Normal"/>
        <w:bidi w:val="0"/>
        <w:jc w:val="start"/>
        <w:rPr>
          <w:b w:val="false"/>
          <w:bCs w:val="false"/>
          <w:sz w:val="20"/>
          <w:szCs w:val="20"/>
        </w:rPr>
      </w:pPr>
      <w:r>
        <w:rPr>
          <w:b w:val="false"/>
          <w:bCs w:val="false"/>
          <w:sz w:val="20"/>
          <w:szCs w:val="20"/>
        </w:rPr>
      </w:r>
    </w:p>
    <w:p>
      <w:pPr>
        <w:pStyle w:val="Normal"/>
        <w:bidi w:val="0"/>
        <w:jc w:val="start"/>
        <w:rPr>
          <w:b/>
          <w:bCs/>
          <w:sz w:val="20"/>
          <w:szCs w:val="20"/>
        </w:rPr>
      </w:pPr>
      <w:r>
        <w:rPr>
          <w:b/>
          <w:bCs/>
          <w:sz w:val="20"/>
          <w:szCs w:val="20"/>
        </w:rPr>
        <w:t>Inhibitor-Associated Structural Rules</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Molecules harboring inhibitor-associated fingerprints (MORGAN_bit_198, MORGAN_bit_949, MORGAN_bit_1854) exhibited the following enrichments:</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 xml:space="preserve">• </w:t>
      </w:r>
      <w:r>
        <w:rPr>
          <w:b w:val="false"/>
          <w:bCs w:val="false"/>
          <w:sz w:val="20"/>
          <w:szCs w:val="20"/>
        </w:rPr>
        <w:t>Sulfone groups: 11.96-fold (MORGAN_bit_198, p = 1.57 × 10⁻⁷⁵), the strongest structural signal identified. Sulfones act as electron-withdrawing groups capable of stabilizing radical intermediates through resonance with S=O bonds, thereby terminating lipid peroxidation chains.</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 xml:space="preserve">• </w:t>
      </w:r>
      <w:r>
        <w:rPr>
          <w:b w:val="false"/>
          <w:bCs w:val="false"/>
          <w:sz w:val="20"/>
          <w:szCs w:val="20"/>
        </w:rPr>
        <w:t>Aniline motifs: 4.95-fold (MORGAN_bit_198, p = 1.66 × 10⁻¹⁰¹) and 4.90-fold (MORGAN_bit_949, p = 1.31 × 10⁻⁸⁶). Aromatic amines provide readily abstractable N–H protons and delocalized π-systems capable of stabilizing lipid-derived radicals via resonance, facilitating hydrogen atom transfer and radical quenching.</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 xml:space="preserve">• </w:t>
      </w:r>
      <w:r>
        <w:rPr>
          <w:b w:val="false"/>
          <w:bCs w:val="false"/>
          <w:sz w:val="20"/>
          <w:szCs w:val="20"/>
        </w:rPr>
        <w:t>Elevated hydrogen bond donor capacity, consistent with enhanced antioxidant activity through proton transfer to lipid peroxyl radicals.</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This functional profile is consistent with known ferroptosis-inhibitory mechanisms, where electron-rich aromatic systems with N–H donor groups favor radical scavenging and suppress lipid peroxidation cascades.</w:t>
      </w:r>
    </w:p>
    <w:p>
      <w:pPr>
        <w:pStyle w:val="Normal"/>
        <w:bidi w:val="0"/>
        <w:jc w:val="start"/>
        <w:rPr>
          <w:b w:val="false"/>
          <w:bCs w:val="false"/>
          <w:sz w:val="20"/>
          <w:szCs w:val="20"/>
        </w:rPr>
      </w:pPr>
      <w:r>
        <w:rPr>
          <w:b w:val="false"/>
          <w:bCs w:val="false"/>
          <w:sz w:val="20"/>
          <w:szCs w:val="20"/>
        </w:rPr>
      </w:r>
    </w:p>
    <w:p>
      <w:pPr>
        <w:pStyle w:val="Normal"/>
        <w:bidi w:val="0"/>
        <w:jc w:val="start"/>
        <w:rPr>
          <w:b/>
          <w:bCs/>
          <w:sz w:val="20"/>
          <w:szCs w:val="20"/>
        </w:rPr>
      </w:pPr>
      <w:r>
        <w:rPr>
          <w:b/>
          <w:bCs/>
          <w:sz w:val="20"/>
          <w:szCs w:val="20"/>
        </w:rPr>
        <w:t>Inducer-Associated Structural Rules</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In contrast, molecules harboring inducer-associated fingerprints (MORGAN_bit_1683, MORGAN_bit_1440) showed marked enrichment for:</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 xml:space="preserve">• </w:t>
      </w:r>
      <w:r>
        <w:rPr>
          <w:b w:val="false"/>
          <w:bCs w:val="false"/>
          <w:sz w:val="20"/>
          <w:szCs w:val="20"/>
        </w:rPr>
        <w:t>Halogenated aromatic structures: 5.97-fold (MORGAN_bit_1683, p = 4.76 × 10⁻²⁰⁶). Halogenation enhances lipophilicity and membrane partitioning, increasing the local concentration of reactive species within lipid bilayers and facilitating sustained lipid peroxidation.</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 xml:space="preserve">• </w:t>
      </w:r>
      <w:r>
        <w:rPr>
          <w:b w:val="false"/>
          <w:bCs w:val="false"/>
          <w:sz w:val="20"/>
          <w:szCs w:val="20"/>
        </w:rPr>
        <w:t>Tertiary amines: 3.04-fold (MORGAN_bit_1683, p = 9.64 × 10⁻¹⁸). The predominance of tertiary amines reflects reduced hydrogen-bond donor capacity compared to primary or secondary amines, limiting antioxidant activity through proton transfer mechanisms.</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 xml:space="preserve">• </w:t>
      </w:r>
      <w:r>
        <w:rPr>
          <w:b w:val="false"/>
          <w:bCs w:val="false"/>
          <w:sz w:val="20"/>
          <w:szCs w:val="20"/>
        </w:rPr>
        <w:t>Amide linkages: 6.53-fold (MORGAN_bit_1440, p = 9.88 × 10⁻³²) and 1.83-fold (MORGAN_bit_1683, p = 3.06 × 10⁻⁶⁰), with context-dependent effects (see below).</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 xml:space="preserve">• </w:t>
      </w:r>
      <w:r>
        <w:rPr>
          <w:b w:val="false"/>
          <w:bCs w:val="false"/>
          <w:sz w:val="20"/>
          <w:szCs w:val="20"/>
        </w:rPr>
        <w:t>Primary amines: 6.11-fold (MORGAN_bit_1440, p = 6.64 × 10⁻⁷), suggesting pro-oxidant behavior in non-aromatic contexts where resonance stabilization is absent.</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 xml:space="preserve">• </w:t>
      </w:r>
      <w:r>
        <w:rPr>
          <w:b w:val="false"/>
          <w:bCs w:val="false"/>
          <w:sz w:val="20"/>
          <w:szCs w:val="20"/>
        </w:rPr>
        <w:t>Carbonyl groups: 3.79-fold (MORGAN_bit_1440, p = 8.98 × 10⁻²⁵), potentially serving as sites for redox cycling and radical propagation.</w:t>
      </w:r>
    </w:p>
    <w:p>
      <w:pPr>
        <w:pStyle w:val="Normal"/>
        <w:bidi w:val="0"/>
        <w:jc w:val="start"/>
        <w:rPr>
          <w:b w:val="false"/>
          <w:bCs w:val="false"/>
          <w:sz w:val="20"/>
          <w:szCs w:val="20"/>
        </w:rPr>
      </w:pPr>
      <w:r>
        <w:rPr>
          <w:b w:val="false"/>
          <w:bCs w:val="false"/>
          <w:sz w:val="20"/>
          <w:szCs w:val="20"/>
        </w:rPr>
      </w:r>
    </w:p>
    <w:p>
      <w:pPr>
        <w:pStyle w:val="Normal"/>
        <w:bidi w:val="0"/>
        <w:jc w:val="start"/>
        <w:rPr>
          <w:b/>
          <w:bCs/>
          <w:sz w:val="20"/>
          <w:szCs w:val="20"/>
        </w:rPr>
      </w:pPr>
      <w:r>
        <w:rPr>
          <w:b/>
          <w:bCs/>
          <w:sz w:val="20"/>
          <w:szCs w:val="20"/>
        </w:rPr>
        <w:t>Context-Dependent Functional Groups</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Amide groups exhibited opposing enrichments depending on molecular environment: 6.53-fold in MORGAN_bit_1440 (inducer-biased, p = 9.88 × 10⁻³²) versus 2.58-fold in MORGAN_bit_1854 (inhibitor-biased, p = 1.52 × 10⁻¹⁰). This context-dependence indicates that amide reactivity is modulated by neighboring functional groups, with electron-withdrawing environments favoring pro-oxidant behavior and electron-donating environments favoring antioxidant behavior. Similarly, carbonyl groups appeared in both inducer (3.79-fold) and inhibitor (1.55-fold) contexts, reflecting their dual roles as redox-active sites and hydrogen-bond acceptors.</w:t>
      </w:r>
    </w:p>
    <w:p>
      <w:pPr>
        <w:pStyle w:val="Normal"/>
        <w:bidi w:val="0"/>
        <w:jc w:val="start"/>
        <w:rPr>
          <w:b w:val="false"/>
          <w:bCs w:val="false"/>
          <w:sz w:val="20"/>
          <w:szCs w:val="20"/>
        </w:rPr>
      </w:pPr>
      <w:r>
        <w:rPr>
          <w:b w:val="false"/>
          <w:bCs w:val="false"/>
          <w:sz w:val="20"/>
          <w:szCs w:val="20"/>
        </w:rPr>
      </w:r>
    </w:p>
    <w:p>
      <w:pPr>
        <w:pStyle w:val="Normal"/>
        <w:bidi w:val="0"/>
        <w:jc w:val="start"/>
        <w:rPr>
          <w:b/>
          <w:bCs/>
          <w:sz w:val="20"/>
          <w:szCs w:val="20"/>
        </w:rPr>
      </w:pPr>
      <w:r>
        <w:rPr>
          <w:b/>
          <w:bCs/>
          <w:sz w:val="20"/>
          <w:szCs w:val="20"/>
        </w:rPr>
        <w:t>Actionable Design Principles</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Together, these findings establish clear structure–property design rules:</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To bias toward ferroptosis inhibitors: Prioritize sulfone groups (11.96× enrichment), aniline motifs (4.95× enrichment), electron-rich aromatic systems, and maximize hydrogen bond donor capacity.</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To bias toward ferroptosis inducers: Introduce halogenated aromatics (5.97× enrichment), tertiary amines (3.04× enrichment), minimize hydrogen bond donor capacity, and incorporate electron-withdrawing groups.</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Importantly, these rules emerge directly from model-learned features and exhibit exceptionally strong statistical support (all p &lt; 10⁻¹⁰ for primary claims), bridging numerical importance scores with mechanistically interpretable chemical determinants rooted in ferroptosis biology.</w:t>
      </w:r>
    </w:p>
    <w:p>
      <w:pPr>
        <w:pStyle w:val="Normal"/>
        <w:bidi w:val="0"/>
        <w:jc w:val="start"/>
        <w:rPr>
          <w:b/>
          <w:bCs/>
          <w:sz w:val="20"/>
          <w:szCs w:val="20"/>
        </w:rPr>
      </w:pPr>
      <w:r>
        <w:rPr>
          <w:b/>
          <w:bCs/>
          <w:sz w:val="20"/>
          <w:szCs w:val="20"/>
        </w:rPr>
      </w:r>
    </w:p>
    <w:p>
      <w:pPr>
        <w:pStyle w:val="Normal"/>
        <w:bidi w:val="0"/>
        <w:jc w:val="start"/>
        <w:rPr>
          <w:b/>
          <w:bCs/>
          <w:sz w:val="20"/>
          <w:szCs w:val="20"/>
        </w:rPr>
      </w:pPr>
      <w:r>
        <w:rPr>
          <w:b/>
          <w:bCs/>
          <w:sz w:val="20"/>
          <w:szCs w:val="20"/>
        </w:rPr>
      </w:r>
    </w:p>
    <w:p>
      <w:pPr>
        <w:pStyle w:val="Normal"/>
        <w:bidi w:val="0"/>
        <w:jc w:val="start"/>
        <w:rPr>
          <w:b/>
          <w:bCs/>
          <w:sz w:val="20"/>
          <w:szCs w:val="20"/>
        </w:rPr>
      </w:pPr>
      <w:r>
        <w:rPr>
          <w:b/>
          <w:bCs/>
          <w:sz w:val="20"/>
          <w:szCs w:val="20"/>
        </w:rPr>
        <w:t>Counterfactual Structural Analysis</w:t>
      </w:r>
    </w:p>
    <w:p>
      <w:pPr>
        <w:pStyle w:val="Normal"/>
        <w:bidi w:val="0"/>
        <w:jc w:val="start"/>
        <w:rPr>
          <w:b w:val="false"/>
          <w:bCs w:val="false"/>
          <w:sz w:val="20"/>
          <w:szCs w:val="20"/>
        </w:rPr>
      </w:pPr>
      <w:r>
        <w:rPr>
          <w:b w:val="false"/>
          <w:bCs w:val="false"/>
          <w:sz w:val="20"/>
          <w:szCs w:val="20"/>
        </w:rPr>
        <w:t>To evaluate the local stability and chemical plausibility of model decisions, we performed counterfactual structural analysis on compounds lying near the classification decision boundary (predicted probability between 0.45 and 0.55). This analysis probes whether minimal, chemically reasonable perturbations produce coherent and context-dependent changes in model predictions, thereby assessing sensitivity to small structural modifications.</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Counterfactual molecules were generated using conservative, single-site edits that preserve the molecular scaffold. Two classes of perturbations were considered based on prior feature importance and design-rule analyses: (i) conversion of aniline moieties to tertiary amines, reducing hydrogen-bond donor capacity while retaining aromatic character, and (ii) single-site aromatic halogenation, increasing lipophilicity without altering core topology. No atom deletions, scaffold rearrangements, or nonlocal transformations were permitted.</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Re-evaluation of counterfactual pairs using the trained ensemble model revealed modest but chemically interpretable probability shifts. Aniline-to-tertiary amine conversion resulted in a small increase in ferroptosis inducer probability (ΔP = +0.012), consistent with reduced antioxidant hydrogen-donation capacity and the observed tertiary amine enrichment in inducers (3.04-fold, p = 9.64 × 10⁻¹⁸). Aromatic halogenation produced context-dependent effects: in a lipophilic, low-hydrogen-bond-donor scaffold (statin-like derivative), halogenation shifted the prediction toward induction (ΔP = +0.032), whereas in highly polyphenolic, hydrogen-bond-rich scaffolds (flavonoid and glycosylated flavonoid), the same modification decreased inducer probability (ΔP = −0.15 and −0.08, respectively).</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These results demonstrate that the model does not respond uniformly to isolated structural motifs but instead integrates them within their broader chemical context. Halogenation favors induction in lipophilic scaffolds where enhanced membrane partitioning dominates, but disfavors it in polyphenolic scaffolds where existing hydrogen-bond donor capacity is critical for inhibitor activity. The disruption of antioxidant hydrogen-bonding networks by halogenation in electron-rich aromatics outweighs the pro-oxidant lipophilicity gain, resulting in net inhibitor-favoring shifts.</w:t>
      </w:r>
    </w:p>
    <w:p>
      <w:pPr>
        <w:pStyle w:val="Normal"/>
        <w:bidi w:val="0"/>
        <w:jc w:val="start"/>
        <w:rPr>
          <w:b w:val="false"/>
          <w:bCs w:val="false"/>
          <w:sz w:val="20"/>
          <w:szCs w:val="20"/>
        </w:rPr>
      </w:pPr>
      <w:r>
        <w:rPr>
          <w:b w:val="false"/>
          <w:bCs w:val="false"/>
          <w:sz w:val="20"/>
          <w:szCs w:val="20"/>
        </w:rPr>
      </w:r>
    </w:p>
    <w:p>
      <w:pPr>
        <w:pStyle w:val="Normal"/>
        <w:bidi w:val="0"/>
        <w:jc w:val="start"/>
        <w:rPr>
          <w:b w:val="false"/>
          <w:bCs w:val="false"/>
          <w:sz w:val="20"/>
          <w:szCs w:val="20"/>
        </w:rPr>
      </w:pPr>
      <w:r>
        <w:rPr>
          <w:b w:val="false"/>
          <w:bCs w:val="false"/>
          <w:sz w:val="20"/>
          <w:szCs w:val="20"/>
        </w:rPr>
        <w:t>The absence of abrupt prediction flips and the presence of scaffold-dependent directional responses indicate a locally smooth and chemically coherent decision boundary. This counterfactual validation supports that the classifier's predictions are not driven by fragile fingerprint coincidences, but by stable structure–activity relationships aligned with ferroptosis biology. The context-dependent halogenation effect, in particular, recapitulates the mechanistic balance between membrane partitioning (pro-inducer) and antioxidant capacity (pro-inhibitor), demonstrating that the ensemble model has learned chemically meaningful trade-offs rather than spurious correlations.</w:t>
      </w:r>
    </w:p>
    <w:p>
      <w:pPr>
        <w:pStyle w:val="Normal"/>
        <w:bidi w:val="0"/>
        <w:jc w:val="start"/>
        <w:rPr>
          <w:sz w:val="20"/>
          <w:szCs w:val="20"/>
        </w:rPr>
      </w:pPr>
      <w:r>
        <w:rPr>
          <w:sz w:val="20"/>
          <w:szCs w:val="20"/>
        </w:rPr>
      </w:r>
    </w:p>
    <w:p>
      <w:pPr>
        <w:pStyle w:val="Normal"/>
        <w:bidi w:val="0"/>
        <w:jc w:val="start"/>
        <w:rPr>
          <w:b w:val="false"/>
          <w:bCs w:val="false"/>
          <w:sz w:val="20"/>
          <w:szCs w:val="20"/>
        </w:rPr>
      </w:pPr>
      <w:r>
        <w:rPr>
          <w:b w:val="false"/>
          <w:bCs w:val="false"/>
          <w:sz w:val="20"/>
          <w:szCs w:val="20"/>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99"/>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LibreOffice/25.8.4.2$Linux_X86_64 LibreOffice_project/580$Build-2</Application>
  <AppVersion>15.0000</AppVersion>
  <Pages>4</Pages>
  <Words>2092</Words>
  <Characters>14631</Characters>
  <CharactersWithSpaces>16575</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2026-01-21T22:34:36Z</dcterms:created>
  <dc:creator/>
  <dc:description/>
  <dc:language>en-IN</dc:language>
  <cp:lastModifiedBy/>
  <dcterms:modified xsi:type="dcterms:W3CDTF">2026-01-24T18:58:18Z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