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0C02B" w14:textId="318F921D" w:rsidR="00E87FFD" w:rsidRDefault="00B43FE1">
      <w:pPr>
        <w:pStyle w:val="Heading1"/>
        <w:pBdr>
          <w:bottom w:val="single" w:sz="8" w:space="4" w:color="1F3864"/>
        </w:pBdr>
        <w:spacing w:before="340" w:after="160"/>
        <w:rPr>
          <w:b/>
          <w:bCs/>
          <w:color w:val="1F3864"/>
          <w:sz w:val="30"/>
          <w:szCs w:val="30"/>
        </w:rPr>
      </w:pPr>
      <w:r w:rsidRPr="00B43FE1">
        <w:rPr>
          <w:b/>
          <w:bCs/>
          <w:color w:val="1F3864"/>
          <w:sz w:val="30"/>
          <w:szCs w:val="30"/>
        </w:rPr>
        <w:drawing>
          <wp:inline distT="0" distB="0" distL="0" distR="0" wp14:anchorId="6BE524B2" wp14:editId="27645831">
            <wp:extent cx="6692662" cy="8768715"/>
            <wp:effectExtent l="0" t="0" r="0" b="0"/>
            <wp:docPr id="88406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62347" name=""/>
                    <pic:cNvPicPr/>
                  </pic:nvPicPr>
                  <pic:blipFill>
                    <a:blip r:embed="rId7"/>
                    <a:stretch>
                      <a:fillRect/>
                    </a:stretch>
                  </pic:blipFill>
                  <pic:spPr>
                    <a:xfrm>
                      <a:off x="0" y="0"/>
                      <a:ext cx="6735284" cy="8824558"/>
                    </a:xfrm>
                    <a:prstGeom prst="rect">
                      <a:avLst/>
                    </a:prstGeom>
                  </pic:spPr>
                </pic:pic>
              </a:graphicData>
            </a:graphic>
          </wp:inline>
        </w:drawing>
      </w:r>
    </w:p>
    <w:p w14:paraId="4C5D0BA0" w14:textId="77777777" w:rsidR="00E87FFD" w:rsidRDefault="00E87FFD">
      <w:pPr>
        <w:pStyle w:val="Heading1"/>
        <w:pBdr>
          <w:bottom w:val="single" w:sz="8" w:space="4" w:color="1F3864"/>
        </w:pBdr>
        <w:spacing w:before="340" w:after="160"/>
        <w:rPr>
          <w:b/>
          <w:bCs/>
          <w:color w:val="1F3864"/>
          <w:sz w:val="30"/>
          <w:szCs w:val="30"/>
        </w:rPr>
      </w:pPr>
    </w:p>
    <w:p w14:paraId="02F37E71" w14:textId="327C6E64" w:rsidR="00CF35B0" w:rsidRDefault="00000000">
      <w:pPr>
        <w:pStyle w:val="Heading1"/>
        <w:pBdr>
          <w:bottom w:val="single" w:sz="8" w:space="4" w:color="1F3864"/>
        </w:pBdr>
        <w:spacing w:before="340" w:after="160"/>
      </w:pPr>
      <w:r>
        <w:rPr>
          <w:b/>
          <w:bCs/>
          <w:color w:val="1F3864"/>
          <w:sz w:val="30"/>
          <w:szCs w:val="30"/>
        </w:rPr>
        <w:t>1. Introduction</w:t>
      </w:r>
    </w:p>
    <w:p w14:paraId="524666CD" w14:textId="77777777" w:rsidR="00CF35B0" w:rsidRDefault="00000000">
      <w:pPr>
        <w:spacing w:after="160" w:line="300" w:lineRule="auto"/>
        <w:jc w:val="both"/>
      </w:pPr>
      <w:r>
        <w:t>An online auction system with real-time bidding (RTB) allows multiple geographically distributed users to compete for an item or an advertising impression by submitting bids that are processed, ranked, and broadcast to all participants within milliseconds of submission. The problem spans two closely related research traditions. The first is computational advertising RTB, where demand-side platforms algorithmically bid on ad impressions within tens of milliseconds using auction theory, causal inference, and machine learning. The second is the consumer-facing live-</w:t>
      </w:r>
      <w:proofErr w:type="spellStart"/>
      <w:r>
        <w:t>auction</w:t>
      </w:r>
      <w:proofErr w:type="spellEnd"/>
      <w:r>
        <w:t xml:space="preserve"> platform, where buyers and sellers interact through a web or mobile interface and the central engineering challenge is delivering consistent, low-latency, fraud-resistant bid updates to every connected client under high concurrency.</w:t>
      </w:r>
    </w:p>
    <w:p w14:paraId="71E2B7B0" w14:textId="77777777" w:rsidR="00CF35B0" w:rsidRDefault="00000000">
      <w:pPr>
        <w:spacing w:after="160" w:line="300" w:lineRule="auto"/>
        <w:jc w:val="both"/>
      </w:pPr>
      <w:r>
        <w:t>Both traditions converge on a common set of concerns: auction mechanism design, real-time communication architecture, concurrency and data consistency, fraud and security, and predictive analytics for bidding behaviour. This report surveys the published literature across these concerns to build a grounded understanding of existing approaches before undertaking the design of an Online Auction System with Real-Time Bidding as the assigned academic problem statement.</w:t>
      </w:r>
    </w:p>
    <w:p w14:paraId="21ADDD64" w14:textId="77777777" w:rsidR="00CF35B0" w:rsidRDefault="00000000">
      <w:pPr>
        <w:pStyle w:val="Heading1"/>
        <w:pBdr>
          <w:bottom w:val="single" w:sz="8" w:space="4" w:color="1F3864"/>
        </w:pBdr>
        <w:spacing w:before="340" w:after="160"/>
      </w:pPr>
      <w:r>
        <w:rPr>
          <w:b/>
          <w:bCs/>
          <w:color w:val="1F3864"/>
          <w:sz w:val="30"/>
          <w:szCs w:val="30"/>
        </w:rPr>
        <w:t>2. Objectives of the Literature Survey</w:t>
      </w:r>
    </w:p>
    <w:p w14:paraId="261301F2" w14:textId="77777777" w:rsidR="00CF35B0" w:rsidRDefault="00000000">
      <w:pPr>
        <w:pStyle w:val="ListParagraph"/>
        <w:numPr>
          <w:ilvl w:val="0"/>
          <w:numId w:val="1"/>
        </w:numPr>
        <w:spacing w:after="90" w:line="290" w:lineRule="auto"/>
      </w:pPr>
      <w:r>
        <w:t>To identify credible, peer-reviewed and industry-grade research addressing real-time bidding, live auction architecture, and auction mechanism design.</w:t>
      </w:r>
    </w:p>
    <w:p w14:paraId="423E78BB" w14:textId="77777777" w:rsidR="00CF35B0" w:rsidRDefault="00000000">
      <w:pPr>
        <w:pStyle w:val="ListParagraph"/>
        <w:numPr>
          <w:ilvl w:val="0"/>
          <w:numId w:val="1"/>
        </w:numPr>
        <w:spacing w:after="90" w:line="290" w:lineRule="auto"/>
      </w:pPr>
      <w:r>
        <w:t>To summarise the objectives, methodology, technology stack, dataset/tools, and key findings of each selected paper.</w:t>
      </w:r>
    </w:p>
    <w:p w14:paraId="71AA7346" w14:textId="77777777" w:rsidR="00CF35B0" w:rsidRDefault="00000000">
      <w:pPr>
        <w:pStyle w:val="ListParagraph"/>
        <w:numPr>
          <w:ilvl w:val="0"/>
          <w:numId w:val="1"/>
        </w:numPr>
        <w:spacing w:after="90" w:line="290" w:lineRule="auto"/>
      </w:pPr>
      <w:r>
        <w:t>To compare the selected approaches on parameters relevant to a real-time bidding system: latency, scalability, security, accuracy, and methodology.</w:t>
      </w:r>
    </w:p>
    <w:p w14:paraId="3315405D" w14:textId="77777777" w:rsidR="00CF35B0" w:rsidRDefault="00000000">
      <w:pPr>
        <w:pStyle w:val="ListParagraph"/>
        <w:numPr>
          <w:ilvl w:val="0"/>
          <w:numId w:val="1"/>
        </w:numPr>
        <w:spacing w:after="90" w:line="290" w:lineRule="auto"/>
      </w:pPr>
      <w:r>
        <w:t>To identify the limitations and unresolved challenges reported across the literature.</w:t>
      </w:r>
    </w:p>
    <w:p w14:paraId="5152F40B" w14:textId="77777777" w:rsidR="00CF35B0" w:rsidRDefault="00000000">
      <w:pPr>
        <w:pStyle w:val="ListParagraph"/>
        <w:numPr>
          <w:ilvl w:val="0"/>
          <w:numId w:val="1"/>
        </w:numPr>
        <w:spacing w:after="90" w:line="290" w:lineRule="auto"/>
      </w:pPr>
      <w:r>
        <w:t>To synthesise these limitations into a coherent research gap statement relevant to the assigned problem.</w:t>
      </w:r>
    </w:p>
    <w:p w14:paraId="7669360A" w14:textId="77777777" w:rsidR="00CF35B0" w:rsidRDefault="00000000">
      <w:pPr>
        <w:pStyle w:val="ListParagraph"/>
        <w:numPr>
          <w:ilvl w:val="0"/>
          <w:numId w:val="1"/>
        </w:numPr>
        <w:spacing w:after="90" w:line="290" w:lineRule="auto"/>
      </w:pPr>
      <w:r>
        <w:t>To propose future research directions and design improvements grounded in the identified gap.</w:t>
      </w:r>
    </w:p>
    <w:p w14:paraId="3D4B1AFD" w14:textId="77777777" w:rsidR="00CF35B0" w:rsidRDefault="00000000">
      <w:pPr>
        <w:pStyle w:val="Heading1"/>
        <w:pBdr>
          <w:bottom w:val="single" w:sz="8" w:space="4" w:color="1F3864"/>
        </w:pBdr>
        <w:spacing w:before="340" w:after="160"/>
      </w:pPr>
      <w:r>
        <w:rPr>
          <w:b/>
          <w:bCs/>
          <w:color w:val="1F3864"/>
          <w:sz w:val="30"/>
          <w:szCs w:val="30"/>
        </w:rPr>
        <w:t>3. Methodology of Paper Selection</w:t>
      </w:r>
    </w:p>
    <w:p w14:paraId="05573168" w14:textId="77777777" w:rsidR="00CF35B0" w:rsidRDefault="00000000">
      <w:pPr>
        <w:spacing w:after="160" w:line="300" w:lineRule="auto"/>
        <w:jc w:val="both"/>
      </w:pPr>
      <w:r>
        <w:t xml:space="preserve">Papers were sourced from IEEE Xplore, ScienceDirect, </w:t>
      </w:r>
      <w:proofErr w:type="spellStart"/>
      <w:r>
        <w:t>arXiv</w:t>
      </w:r>
      <w:proofErr w:type="spellEnd"/>
      <w:r>
        <w:t xml:space="preserve">, Springer, and peer-reviewed engineering journals (IJARSCT, IJEAST, FMDB Transactions), using search terms such as "real-time bidding", "online auction system", "WebSocket bidding", "blockchain auction", and "auction mechanism design". Selection prioritised papers published between 2014 and 2025 that (a) proposed or evaluated a real-time bidding mechanism, system architecture, or predictive model, and (b) reported a concrete methodology, technology stack, or dataset rather than opinion alone. Ten papers were selected to give balanced coverage across four sub-themes: auction </w:t>
      </w:r>
      <w:r>
        <w:lastRenderedPageBreak/>
        <w:t>mechanism design and causal inference (Papers 1-3), system architecture for live bidding (Papers 4-7), predictive analytics for bidding (Paper 8), and blockchain-based security (Papers 9-10).</w:t>
      </w:r>
    </w:p>
    <w:p w14:paraId="7D0F1FEB" w14:textId="77777777" w:rsidR="00CF35B0" w:rsidRDefault="00000000">
      <w:pPr>
        <w:pStyle w:val="Heading1"/>
        <w:pBdr>
          <w:bottom w:val="single" w:sz="8" w:space="4" w:color="1F3864"/>
        </w:pBdr>
        <w:spacing w:before="340" w:after="160"/>
      </w:pPr>
      <w:r>
        <w:rPr>
          <w:b/>
          <w:bCs/>
          <w:color w:val="1F3864"/>
          <w:sz w:val="30"/>
          <w:szCs w:val="30"/>
        </w:rPr>
        <w:t>4. Individual Paper Reviews</w:t>
      </w:r>
    </w:p>
    <w:p w14:paraId="484882F7" w14:textId="77777777" w:rsidR="00CF35B0" w:rsidRDefault="00000000">
      <w:pPr>
        <w:pStyle w:val="Heading2"/>
        <w:spacing w:before="260" w:after="120"/>
      </w:pPr>
      <w:r>
        <w:rPr>
          <w:b/>
          <w:bCs/>
          <w:color w:val="2E5395"/>
          <w:sz w:val="25"/>
          <w:szCs w:val="25"/>
        </w:rPr>
        <w:t>4.1 Online Causal Inference for Advertising in Real-Time Bidding Auctions [1]</w:t>
      </w:r>
    </w:p>
    <w:p w14:paraId="20D51CAB" w14:textId="77777777" w:rsidR="00CF35B0" w:rsidRDefault="00000000">
      <w:pPr>
        <w:spacing w:after="120" w:line="300" w:lineRule="auto"/>
        <w:jc w:val="both"/>
      </w:pPr>
      <w:r>
        <w:rPr>
          <w:b/>
          <w:bCs/>
          <w:color w:val="2E5395"/>
        </w:rPr>
        <w:t xml:space="preserve">Objective: </w:t>
      </w:r>
      <w:r>
        <w:t>To measure the true causal effect of advertising bought through RTB, separating genuine ad impact from selection effects inherent in auction-won impressions.</w:t>
      </w:r>
    </w:p>
    <w:p w14:paraId="2AB984EB" w14:textId="77777777" w:rsidR="00CF35B0" w:rsidRDefault="00000000">
      <w:pPr>
        <w:spacing w:after="120" w:line="300" w:lineRule="auto"/>
        <w:jc w:val="both"/>
      </w:pPr>
      <w:r>
        <w:rPr>
          <w:b/>
          <w:bCs/>
          <w:color w:val="2E5395"/>
        </w:rPr>
        <w:t xml:space="preserve">Methodology / Technology: </w:t>
      </w:r>
      <w:r>
        <w:t>The authors exploit the economic structure of first- and second-price auctions to show that the causal effect of advertising is identified by the advertiser's optimal bid. They embed this insight in an adapted Thompson-sampling multi-armed-bandit algorithm for online adaptive experimentation, and derive a regret bound that is shown to be order-optimal.</w:t>
      </w:r>
    </w:p>
    <w:p w14:paraId="2A2CF913" w14:textId="77777777" w:rsidR="00CF35B0" w:rsidRDefault="00000000">
      <w:pPr>
        <w:spacing w:after="120" w:line="300" w:lineRule="auto"/>
        <w:jc w:val="both"/>
      </w:pPr>
      <w:r>
        <w:rPr>
          <w:b/>
          <w:bCs/>
          <w:color w:val="2E5395"/>
        </w:rPr>
        <w:t xml:space="preserve">Dataset / Tools: </w:t>
      </w:r>
      <w:r>
        <w:t>Proprietary RTB display-advertising campaign data; algorithm validated through simulation and a field application.</w:t>
      </w:r>
    </w:p>
    <w:p w14:paraId="1A5C0F3E" w14:textId="77777777" w:rsidR="00CF35B0" w:rsidRDefault="00000000">
      <w:pPr>
        <w:spacing w:after="120" w:line="300" w:lineRule="auto"/>
        <w:jc w:val="both"/>
      </w:pPr>
      <w:r>
        <w:rPr>
          <w:b/>
          <w:bCs/>
          <w:color w:val="2E5395"/>
        </w:rPr>
        <w:t xml:space="preserve">Key Findings: </w:t>
      </w:r>
      <w:r>
        <w:t>The proposed method recovers optimal bids — and hence advertising effects — while minimising the cost of experimentation, and is shown empirically to outperform commonly used causal-inference baselines used in industry.</w:t>
      </w:r>
    </w:p>
    <w:p w14:paraId="58C17FFC" w14:textId="77777777" w:rsidR="00CF35B0" w:rsidRDefault="00000000">
      <w:pPr>
        <w:pStyle w:val="Heading2"/>
        <w:spacing w:before="260" w:after="120"/>
      </w:pPr>
      <w:r>
        <w:rPr>
          <w:b/>
          <w:bCs/>
          <w:color w:val="2E5395"/>
          <w:sz w:val="25"/>
          <w:szCs w:val="25"/>
        </w:rPr>
        <w:t>4.2 Towards Trustworthy AI-Empowered Real-Time Bidding for Online Advertisement Auctioning [2]</w:t>
      </w:r>
    </w:p>
    <w:p w14:paraId="1257C4CF" w14:textId="77777777" w:rsidR="00CF35B0" w:rsidRDefault="00000000">
      <w:pPr>
        <w:spacing w:after="120" w:line="300" w:lineRule="auto"/>
        <w:jc w:val="both"/>
      </w:pPr>
      <w:r>
        <w:rPr>
          <w:b/>
          <w:bCs/>
          <w:color w:val="2E5395"/>
        </w:rPr>
        <w:t xml:space="preserve">Objective: </w:t>
      </w:r>
      <w:r>
        <w:t>To map the trustworthy-AI landscape of AI-empowered RTB (AIRTB) systems and provide the first comprehensive survey and taxonomy of the field.</w:t>
      </w:r>
    </w:p>
    <w:p w14:paraId="4C260002" w14:textId="77777777" w:rsidR="00CF35B0" w:rsidRDefault="00000000">
      <w:pPr>
        <w:spacing w:after="120" w:line="300" w:lineRule="auto"/>
        <w:jc w:val="both"/>
      </w:pPr>
      <w:r>
        <w:rPr>
          <w:b/>
          <w:bCs/>
          <w:color w:val="2E5395"/>
        </w:rPr>
        <w:t xml:space="preserve">Methodology / Technology: </w:t>
      </w:r>
      <w:r>
        <w:t>Systematic literature synthesis; the authors analyse the RTB technology ecosystem and stakeholders, then construct a multi-tiered taxonomy of trustworthy AIRTB spanning security, robustness, and fairness techniques.</w:t>
      </w:r>
    </w:p>
    <w:p w14:paraId="68DB1927" w14:textId="77777777" w:rsidR="00CF35B0" w:rsidRDefault="00000000">
      <w:pPr>
        <w:spacing w:after="120" w:line="300" w:lineRule="auto"/>
        <w:jc w:val="both"/>
      </w:pPr>
      <w:r>
        <w:rPr>
          <w:b/>
          <w:bCs/>
          <w:color w:val="2E5395"/>
        </w:rPr>
        <w:t xml:space="preserve">Dataset / Tools: </w:t>
      </w:r>
      <w:r>
        <w:t>Secondary data — a curated corpus of prior AIRTB and trustworthy-AI publications; no primary experimental dataset.</w:t>
      </w:r>
    </w:p>
    <w:p w14:paraId="3860D17F" w14:textId="77777777" w:rsidR="00CF35B0" w:rsidRDefault="00000000">
      <w:pPr>
        <w:spacing w:after="120" w:line="300" w:lineRule="auto"/>
        <w:jc w:val="both"/>
      </w:pPr>
      <w:r>
        <w:rPr>
          <w:b/>
          <w:bCs/>
          <w:color w:val="2E5395"/>
        </w:rPr>
        <w:t xml:space="preserve">Key Findings: </w:t>
      </w:r>
      <w:r>
        <w:t>AIRTB systems remain vulnerable to fraud (e.g., budget-depleting click fraud) despite algorithmic sophistication; the taxonomy exposes under-studied areas, particularly robustness to adversarial bidders and fairness across advertisers of different scale.</w:t>
      </w:r>
    </w:p>
    <w:p w14:paraId="7551D74A" w14:textId="77777777" w:rsidR="00CF35B0" w:rsidRDefault="00000000">
      <w:pPr>
        <w:pStyle w:val="Heading2"/>
        <w:spacing w:before="260" w:after="120"/>
      </w:pPr>
      <w:r>
        <w:rPr>
          <w:b/>
          <w:bCs/>
          <w:color w:val="2E5395"/>
          <w:sz w:val="25"/>
          <w:szCs w:val="25"/>
        </w:rPr>
        <w:t>4.3 Improving Auction Mechanisms for Online Real-Time Bidding Advertising with a Two-Stage Resale Model [3]</w:t>
      </w:r>
    </w:p>
    <w:p w14:paraId="5FBD3023" w14:textId="77777777" w:rsidR="00CF35B0" w:rsidRDefault="00000000">
      <w:pPr>
        <w:spacing w:after="120" w:line="300" w:lineRule="auto"/>
        <w:jc w:val="both"/>
      </w:pPr>
      <w:r>
        <w:rPr>
          <w:b/>
          <w:bCs/>
          <w:color w:val="2E5395"/>
        </w:rPr>
        <w:t xml:space="preserve">Objective: </w:t>
      </w:r>
      <w:r>
        <w:t>To design mechanism-level improvements to the two-stage resale auction used by demand-side platforms (DSPs) in RTB ecosystems, so as to raise total revenue for both advertisers and DSPs.</w:t>
      </w:r>
    </w:p>
    <w:p w14:paraId="77EC8B19" w14:textId="77777777" w:rsidR="00CF35B0" w:rsidRDefault="00000000">
      <w:pPr>
        <w:spacing w:after="120" w:line="300" w:lineRule="auto"/>
        <w:jc w:val="both"/>
      </w:pPr>
      <w:r>
        <w:rPr>
          <w:b/>
          <w:bCs/>
          <w:color w:val="2E5395"/>
        </w:rPr>
        <w:t xml:space="preserve">Methodology / Technology: </w:t>
      </w:r>
      <w:r>
        <w:t>Formal auction-mechanism design combined with a computational-experiment approach to validate the proposed mechanisms against the conventional two-stage resale baseline.</w:t>
      </w:r>
    </w:p>
    <w:p w14:paraId="48A13CDC" w14:textId="77777777" w:rsidR="00CF35B0" w:rsidRDefault="00000000">
      <w:pPr>
        <w:spacing w:after="120" w:line="300" w:lineRule="auto"/>
        <w:jc w:val="both"/>
      </w:pPr>
      <w:r>
        <w:rPr>
          <w:b/>
          <w:bCs/>
          <w:color w:val="2E5395"/>
        </w:rPr>
        <w:lastRenderedPageBreak/>
        <w:t xml:space="preserve">Dataset / Tools: </w:t>
      </w:r>
      <w:r>
        <w:t>Simulated RTB market environment modelling first-stage DSP-internal auctions and second-stage ad-exchange auctions.</w:t>
      </w:r>
    </w:p>
    <w:p w14:paraId="6CA8AAA5" w14:textId="77777777" w:rsidR="00CF35B0" w:rsidRDefault="00000000">
      <w:pPr>
        <w:spacing w:after="120" w:line="300" w:lineRule="auto"/>
        <w:jc w:val="both"/>
      </w:pPr>
      <w:r>
        <w:rPr>
          <w:b/>
          <w:bCs/>
          <w:color w:val="2E5395"/>
        </w:rPr>
        <w:t xml:space="preserve">Key Findings: </w:t>
      </w:r>
      <w:r>
        <w:t>The proposed mechanisms increase total revenue for both advertisers and DSPs relative to the standard two-stage resale design, establishing a new research direction in optimal mechanism design for RTB.</w:t>
      </w:r>
    </w:p>
    <w:p w14:paraId="1DA77D45" w14:textId="77777777" w:rsidR="00CF35B0" w:rsidRDefault="00000000">
      <w:pPr>
        <w:pStyle w:val="Heading2"/>
        <w:spacing w:before="260" w:after="120"/>
      </w:pPr>
      <w:r>
        <w:rPr>
          <w:b/>
          <w:bCs/>
          <w:color w:val="2E5395"/>
          <w:sz w:val="25"/>
          <w:szCs w:val="25"/>
        </w:rPr>
        <w:t>4.4 Implementation of Online Bidding System with Live Auction Using Improvised Sorting Technique [4]</w:t>
      </w:r>
    </w:p>
    <w:p w14:paraId="3D7D8753" w14:textId="77777777" w:rsidR="00CF35B0" w:rsidRDefault="00000000">
      <w:pPr>
        <w:spacing w:after="120" w:line="300" w:lineRule="auto"/>
        <w:jc w:val="both"/>
      </w:pPr>
      <w:r>
        <w:rPr>
          <w:b/>
          <w:bCs/>
          <w:color w:val="2E5395"/>
        </w:rPr>
        <w:t xml:space="preserve">Objective: </w:t>
      </w:r>
      <w:r>
        <w:t>To reduce the time taken to extract the current highest bid from a stream of incoming bids in a live online-bidding application.</w:t>
      </w:r>
    </w:p>
    <w:p w14:paraId="13BD4B07" w14:textId="77777777" w:rsidR="00CF35B0" w:rsidRDefault="00000000">
      <w:pPr>
        <w:spacing w:after="120" w:line="300" w:lineRule="auto"/>
        <w:jc w:val="both"/>
      </w:pPr>
      <w:r>
        <w:rPr>
          <w:b/>
          <w:bCs/>
          <w:color w:val="2E5395"/>
        </w:rPr>
        <w:t xml:space="preserve">Methodology / Technology: </w:t>
      </w:r>
      <w:r>
        <w:t>Design and implementation of a custom, improvised sorting technique tailored to the online-bidding use case, benchmarked conceptually against conventional sorting algorithms such as quicksort and merge sort.</w:t>
      </w:r>
    </w:p>
    <w:p w14:paraId="5FF41725" w14:textId="77777777" w:rsidR="00CF35B0" w:rsidRDefault="00000000">
      <w:pPr>
        <w:spacing w:after="120" w:line="300" w:lineRule="auto"/>
        <w:jc w:val="both"/>
      </w:pPr>
      <w:r>
        <w:rPr>
          <w:b/>
          <w:bCs/>
          <w:color w:val="2E5395"/>
        </w:rPr>
        <w:t xml:space="preserve">Dataset / Tools: </w:t>
      </w:r>
      <w:r>
        <w:t>A purpose-built online bidding web application used as the implementation and testing environment.</w:t>
      </w:r>
    </w:p>
    <w:p w14:paraId="3228CAD9" w14:textId="77777777" w:rsidR="00CF35B0" w:rsidRDefault="00000000">
      <w:pPr>
        <w:spacing w:after="120" w:line="300" w:lineRule="auto"/>
        <w:jc w:val="both"/>
      </w:pPr>
      <w:r>
        <w:rPr>
          <w:b/>
          <w:bCs/>
          <w:color w:val="2E5395"/>
        </w:rPr>
        <w:t xml:space="preserve">Key Findings: </w:t>
      </w:r>
      <w:r>
        <w:t>The improvised sorting approach retrieves the highest bid faster than standard recursive sorting algorithms, which the authors argue is important for a bidding system where the current price must update instantly as new bids arrive.</w:t>
      </w:r>
    </w:p>
    <w:p w14:paraId="61FAA997" w14:textId="77777777" w:rsidR="00CF35B0" w:rsidRDefault="00000000">
      <w:pPr>
        <w:pStyle w:val="Heading2"/>
        <w:spacing w:before="260" w:after="120"/>
      </w:pPr>
      <w:r>
        <w:rPr>
          <w:b/>
          <w:bCs/>
          <w:color w:val="2E5395"/>
          <w:sz w:val="25"/>
          <w:szCs w:val="25"/>
        </w:rPr>
        <w:t>4.5 Design and Implementation of a Real-Time Online Bidding System Using Spring Boot and React JS [5]</w:t>
      </w:r>
    </w:p>
    <w:p w14:paraId="6848FFFD" w14:textId="77777777" w:rsidR="00CF35B0" w:rsidRDefault="00000000">
      <w:pPr>
        <w:spacing w:after="120" w:line="300" w:lineRule="auto"/>
        <w:jc w:val="both"/>
      </w:pPr>
      <w:r>
        <w:rPr>
          <w:b/>
          <w:bCs/>
          <w:color w:val="2E5395"/>
        </w:rPr>
        <w:t xml:space="preserve">Objective: </w:t>
      </w:r>
      <w:r>
        <w:t>To design and implement a full-stack, real-time online bidding platform that resolves latency, security, and low-engagement problems reported in earlier auction systems.</w:t>
      </w:r>
    </w:p>
    <w:p w14:paraId="53916998" w14:textId="77777777" w:rsidR="00CF35B0" w:rsidRDefault="00000000">
      <w:pPr>
        <w:spacing w:after="120" w:line="300" w:lineRule="auto"/>
        <w:jc w:val="both"/>
      </w:pPr>
      <w:r>
        <w:rPr>
          <w:b/>
          <w:bCs/>
          <w:color w:val="2E5395"/>
        </w:rPr>
        <w:t xml:space="preserve">Methodology / Technology: </w:t>
      </w:r>
      <w:r>
        <w:t>Three-tier system-development methodology: React JS presentation layer, Spring Boot business-logic/REST-API layer, MySQL data layer, WebSocket real-time communication layer, and Spring Security for authentication/authorisation. Evaluated through unit/integration testing, simulated load testing, and structured user evaluation.</w:t>
      </w:r>
    </w:p>
    <w:p w14:paraId="0C8CE083" w14:textId="77777777" w:rsidR="00CF35B0" w:rsidRDefault="00000000">
      <w:pPr>
        <w:spacing w:after="120" w:line="300" w:lineRule="auto"/>
        <w:jc w:val="both"/>
      </w:pPr>
      <w:r>
        <w:rPr>
          <w:b/>
          <w:bCs/>
          <w:color w:val="2E5395"/>
        </w:rPr>
        <w:t xml:space="preserve">Dataset / Tools: </w:t>
      </w:r>
      <w:r>
        <w:t>Simulated auction scenarios in a controlled test environment; role-based modules for admin, seller, buyer, and delivery personnel; a wallet module for simulated transactions.</w:t>
      </w:r>
    </w:p>
    <w:p w14:paraId="138DB179" w14:textId="77777777" w:rsidR="00CF35B0" w:rsidRDefault="00000000">
      <w:pPr>
        <w:spacing w:after="120" w:line="300" w:lineRule="auto"/>
        <w:jc w:val="both"/>
      </w:pPr>
      <w:r>
        <w:rPr>
          <w:b/>
          <w:bCs/>
          <w:color w:val="2E5395"/>
        </w:rPr>
        <w:t xml:space="preserve">Key Findings: </w:t>
      </w:r>
      <w:r>
        <w:t xml:space="preserve">Bid updates were broadcast instantly to all connected clients via </w:t>
      </w:r>
      <w:proofErr w:type="spellStart"/>
      <w:r>
        <w:t>WebSockets</w:t>
      </w:r>
      <w:proofErr w:type="spellEnd"/>
      <w:r>
        <w:t xml:space="preserve"> with no perceptible latency under moderate load; role-based access, wallet transactions, and delivery tracking functioned as designed; the study explicitly flags fraud detection and cloud-scale deployment as future work rather than solved problems.</w:t>
      </w:r>
    </w:p>
    <w:p w14:paraId="3DDE250E" w14:textId="77777777" w:rsidR="00CF35B0" w:rsidRDefault="00000000">
      <w:pPr>
        <w:pStyle w:val="Heading2"/>
        <w:spacing w:before="260" w:after="120"/>
      </w:pPr>
      <w:r>
        <w:rPr>
          <w:b/>
          <w:bCs/>
          <w:color w:val="2E5395"/>
          <w:sz w:val="25"/>
          <w:szCs w:val="25"/>
        </w:rPr>
        <w:t>4.6 A Scalable Architecture for Concurrent Online Auctions [6]</w:t>
      </w:r>
    </w:p>
    <w:p w14:paraId="0E406979" w14:textId="77777777" w:rsidR="00CF35B0" w:rsidRDefault="00000000">
      <w:pPr>
        <w:spacing w:after="120" w:line="300" w:lineRule="auto"/>
        <w:jc w:val="both"/>
      </w:pPr>
      <w:r>
        <w:rPr>
          <w:b/>
          <w:bCs/>
          <w:color w:val="2E5395"/>
        </w:rPr>
        <w:t xml:space="preserve">Objective: </w:t>
      </w:r>
      <w:r>
        <w:t>To address the poor scalability of conventional three-tier, thread-based online auction architectures under very large numbers of concurrent bidders.</w:t>
      </w:r>
    </w:p>
    <w:p w14:paraId="581B0333" w14:textId="77777777" w:rsidR="00CF35B0" w:rsidRDefault="00000000">
      <w:pPr>
        <w:spacing w:after="120" w:line="300" w:lineRule="auto"/>
        <w:jc w:val="both"/>
      </w:pPr>
      <w:r>
        <w:rPr>
          <w:b/>
          <w:bCs/>
          <w:color w:val="2E5395"/>
        </w:rPr>
        <w:lastRenderedPageBreak/>
        <w:t xml:space="preserve">Methodology / Technology: </w:t>
      </w:r>
      <w:r>
        <w:t>Proposes an architectural framework built on the Open Telecom Platform using the concurrent language Erlang and the embedded Yaws web server, exploiting lightweight process-based concurrency instead of OS threads.</w:t>
      </w:r>
    </w:p>
    <w:p w14:paraId="1F5696DE" w14:textId="77777777" w:rsidR="00CF35B0" w:rsidRDefault="00000000">
      <w:pPr>
        <w:spacing w:after="120" w:line="300" w:lineRule="auto"/>
        <w:jc w:val="both"/>
      </w:pPr>
      <w:r>
        <w:rPr>
          <w:b/>
          <w:bCs/>
          <w:color w:val="2E5395"/>
        </w:rPr>
        <w:t xml:space="preserve">Dataset / Tools: </w:t>
      </w:r>
      <w:r>
        <w:t>Prototype implementations of "unique-bid" and "penny" auction types, benchmarked under synthetic concurrent-user load and compared against existing thread-based auction systems.</w:t>
      </w:r>
    </w:p>
    <w:p w14:paraId="57E6863C" w14:textId="77777777" w:rsidR="00CF35B0" w:rsidRDefault="00000000">
      <w:pPr>
        <w:spacing w:after="120" w:line="300" w:lineRule="auto"/>
        <w:jc w:val="both"/>
      </w:pPr>
      <w:r>
        <w:rPr>
          <w:b/>
          <w:bCs/>
          <w:color w:val="2E5395"/>
        </w:rPr>
        <w:t xml:space="preserve">Key Findings: </w:t>
      </w:r>
      <w:r>
        <w:t>The Erlang/OTP-based architecture scales to hundreds of thousands of concurrent bidders and benefits directly from multicore and symmetric-multiprocessing hardware, substantially outperforming thread-based designs at scale.</w:t>
      </w:r>
    </w:p>
    <w:p w14:paraId="41B87F7E" w14:textId="77777777" w:rsidR="00CF35B0" w:rsidRDefault="00000000">
      <w:pPr>
        <w:pStyle w:val="Heading2"/>
        <w:spacing w:before="260" w:after="120"/>
      </w:pPr>
      <w:r>
        <w:rPr>
          <w:b/>
          <w:bCs/>
          <w:color w:val="2E5395"/>
          <w:sz w:val="25"/>
          <w:szCs w:val="25"/>
        </w:rPr>
        <w:t xml:space="preserve">4.7 </w:t>
      </w:r>
      <w:proofErr w:type="spellStart"/>
      <w:r>
        <w:rPr>
          <w:b/>
          <w:bCs/>
          <w:color w:val="2E5395"/>
          <w:sz w:val="25"/>
          <w:szCs w:val="25"/>
        </w:rPr>
        <w:t>uAuction</w:t>
      </w:r>
      <w:proofErr w:type="spellEnd"/>
      <w:r>
        <w:rPr>
          <w:b/>
          <w:bCs/>
          <w:color w:val="2E5395"/>
          <w:sz w:val="25"/>
          <w:szCs w:val="25"/>
        </w:rPr>
        <w:t>: Analysis, Design, and Implementation of a Secure Online Auction System [7]</w:t>
      </w:r>
    </w:p>
    <w:p w14:paraId="5DFFDA7D" w14:textId="77777777" w:rsidR="00CF35B0" w:rsidRDefault="00000000">
      <w:pPr>
        <w:spacing w:after="120" w:line="300" w:lineRule="auto"/>
        <w:jc w:val="both"/>
      </w:pPr>
      <w:r>
        <w:rPr>
          <w:b/>
          <w:bCs/>
          <w:color w:val="2E5395"/>
        </w:rPr>
        <w:t xml:space="preserve">Objective: </w:t>
      </w:r>
      <w:r>
        <w:t>To build a controlled, ethically sound research testbed for studying online-auction fraud (e.g., shill bidding, bid shielding) and evaluating countermeasures — something commercial platforms cannot ethically permit.</w:t>
      </w:r>
    </w:p>
    <w:p w14:paraId="3B6DE5D2" w14:textId="77777777" w:rsidR="00CF35B0" w:rsidRDefault="00000000">
      <w:pPr>
        <w:spacing w:after="120" w:line="300" w:lineRule="auto"/>
        <w:jc w:val="both"/>
      </w:pPr>
      <w:r>
        <w:rPr>
          <w:b/>
          <w:bCs/>
          <w:color w:val="2E5395"/>
        </w:rPr>
        <w:t xml:space="preserve">Methodology / Technology: </w:t>
      </w:r>
      <w:r>
        <w:t xml:space="preserve">Custom design and implementation of an auction server, </w:t>
      </w:r>
      <w:proofErr w:type="spellStart"/>
      <w:r>
        <w:t>uAuction</w:t>
      </w:r>
      <w:proofErr w:type="spellEnd"/>
      <w:r>
        <w:t>, purpose-built to allow controlled injection and measurement of fraudulent bidding behaviour and evaluation of detection algorithms such as a Live Shill Score.</w:t>
      </w:r>
    </w:p>
    <w:p w14:paraId="02167F29" w14:textId="77777777" w:rsidR="00CF35B0" w:rsidRDefault="00000000">
      <w:pPr>
        <w:spacing w:after="120" w:line="300" w:lineRule="auto"/>
        <w:jc w:val="both"/>
      </w:pPr>
      <w:r>
        <w:rPr>
          <w:b/>
          <w:bCs/>
          <w:color w:val="2E5395"/>
        </w:rPr>
        <w:t xml:space="preserve">Dataset / Tools: </w:t>
      </w:r>
      <w:r>
        <w:t xml:space="preserve">Self-generated auction transaction data produced within the </w:t>
      </w:r>
      <w:proofErr w:type="spellStart"/>
      <w:r>
        <w:t>uAuction</w:t>
      </w:r>
      <w:proofErr w:type="spellEnd"/>
      <w:r>
        <w:t xml:space="preserve"> testbed, since real commercial fraud data is not shared publicly for sensitivity reasons.</w:t>
      </w:r>
    </w:p>
    <w:p w14:paraId="34190184" w14:textId="77777777" w:rsidR="00CF35B0" w:rsidRDefault="00000000">
      <w:pPr>
        <w:spacing w:after="120" w:line="300" w:lineRule="auto"/>
        <w:jc w:val="both"/>
      </w:pPr>
      <w:r>
        <w:rPr>
          <w:b/>
          <w:bCs/>
          <w:color w:val="2E5395"/>
        </w:rPr>
        <w:t xml:space="preserve">Key Findings: </w:t>
      </w:r>
      <w:r>
        <w:t>The Live Shill Score approach can potentially flag shill-bidding attempts before an auction closes, demonstrating that fraud countermeasures can be evaluated rigorously in a controlled research environment.</w:t>
      </w:r>
    </w:p>
    <w:p w14:paraId="3E5BF295" w14:textId="77777777" w:rsidR="00CF35B0" w:rsidRDefault="00000000">
      <w:pPr>
        <w:pStyle w:val="Heading2"/>
        <w:spacing w:before="260" w:after="120"/>
      </w:pPr>
      <w:r>
        <w:rPr>
          <w:b/>
          <w:bCs/>
          <w:color w:val="2E5395"/>
          <w:sz w:val="25"/>
          <w:szCs w:val="25"/>
        </w:rPr>
        <w:t>4.8 Online Auction Forecasting Precision: Real-Time Bidding Insights and Price Predictions with Machine Learning [8]</w:t>
      </w:r>
    </w:p>
    <w:p w14:paraId="68760F80" w14:textId="77777777" w:rsidR="00CF35B0" w:rsidRDefault="00000000">
      <w:pPr>
        <w:spacing w:after="120" w:line="300" w:lineRule="auto"/>
        <w:jc w:val="both"/>
      </w:pPr>
      <w:r>
        <w:rPr>
          <w:b/>
          <w:bCs/>
          <w:color w:val="2E5395"/>
        </w:rPr>
        <w:t xml:space="preserve">Objective: </w:t>
      </w:r>
      <w:r>
        <w:t>To predict bid progression and the final selling price of an ongoing online auction so that both bidders and sellers can make better-informed, data-driven decisions.</w:t>
      </w:r>
    </w:p>
    <w:p w14:paraId="143D8562" w14:textId="77777777" w:rsidR="00CF35B0" w:rsidRDefault="00000000">
      <w:pPr>
        <w:spacing w:after="120" w:line="300" w:lineRule="auto"/>
        <w:jc w:val="both"/>
      </w:pPr>
      <w:r>
        <w:rPr>
          <w:b/>
          <w:bCs/>
          <w:color w:val="2E5395"/>
        </w:rPr>
        <w:t xml:space="preserve">Methodology / Technology: </w:t>
      </w:r>
      <w:r>
        <w:t xml:space="preserve">Comparative machine-learning approach using </w:t>
      </w:r>
      <w:proofErr w:type="spellStart"/>
      <w:r>
        <w:t>XGBoost</w:t>
      </w:r>
      <w:proofErr w:type="spellEnd"/>
      <w:r>
        <w:t xml:space="preserve"> and linear regression, with k-fold cross-validation and Z-score-based outlier analysis; performance measured using Root Mean Squared Error (RMSE).</w:t>
      </w:r>
    </w:p>
    <w:p w14:paraId="1732B8F3" w14:textId="77777777" w:rsidR="00CF35B0" w:rsidRDefault="00000000">
      <w:pPr>
        <w:spacing w:after="120" w:line="300" w:lineRule="auto"/>
        <w:jc w:val="both"/>
      </w:pPr>
      <w:r>
        <w:rPr>
          <w:b/>
          <w:bCs/>
          <w:color w:val="2E5395"/>
        </w:rPr>
        <w:t xml:space="preserve">Dataset / Tools: </w:t>
      </w:r>
      <w:r>
        <w:t>A certified, publicly available online-auction dataset containing historical bid sequences and final sale prices.</w:t>
      </w:r>
    </w:p>
    <w:p w14:paraId="0FEE0C89" w14:textId="77777777" w:rsidR="00CF35B0" w:rsidRDefault="00000000">
      <w:pPr>
        <w:spacing w:after="120" w:line="300" w:lineRule="auto"/>
        <w:jc w:val="both"/>
      </w:pPr>
      <w:r>
        <w:rPr>
          <w:b/>
          <w:bCs/>
          <w:color w:val="2E5395"/>
        </w:rPr>
        <w:t xml:space="preserve">Key Findings: </w:t>
      </w:r>
      <w:proofErr w:type="spellStart"/>
      <w:r>
        <w:t>XGBoost</w:t>
      </w:r>
      <w:proofErr w:type="spellEnd"/>
      <w:r>
        <w:t xml:space="preserve"> captured the non-linear relationships in bidding behaviour more effectively than linear regression, producing more accurate bid-trajectory and final-price forecasts; the authors note that anomaly/outlier handling remains a persistent weakness.</w:t>
      </w:r>
    </w:p>
    <w:p w14:paraId="3A639779" w14:textId="77777777" w:rsidR="00CF35B0" w:rsidRDefault="00000000">
      <w:pPr>
        <w:pStyle w:val="Heading2"/>
        <w:spacing w:before="260" w:after="120"/>
      </w:pPr>
      <w:r>
        <w:rPr>
          <w:b/>
          <w:bCs/>
          <w:color w:val="2E5395"/>
          <w:sz w:val="25"/>
          <w:szCs w:val="25"/>
        </w:rPr>
        <w:t>4.9 E-Auction Using Blockchain Mechanism [9]</w:t>
      </w:r>
    </w:p>
    <w:p w14:paraId="19B6BD2C" w14:textId="77777777" w:rsidR="00CF35B0" w:rsidRDefault="00000000">
      <w:pPr>
        <w:spacing w:after="120" w:line="300" w:lineRule="auto"/>
        <w:jc w:val="both"/>
      </w:pPr>
      <w:r>
        <w:rPr>
          <w:b/>
          <w:bCs/>
          <w:color w:val="2E5395"/>
        </w:rPr>
        <w:t xml:space="preserve">Objective: </w:t>
      </w:r>
      <w:r>
        <w:t>To prevent fraudulent bid tampering and enhance transparency and accountability in online auction transactions using blockchain technology.</w:t>
      </w:r>
    </w:p>
    <w:p w14:paraId="12840E04" w14:textId="77777777" w:rsidR="00CF35B0" w:rsidRDefault="00000000">
      <w:pPr>
        <w:spacing w:after="120" w:line="300" w:lineRule="auto"/>
        <w:jc w:val="both"/>
      </w:pPr>
      <w:r>
        <w:rPr>
          <w:b/>
          <w:bCs/>
          <w:color w:val="2E5395"/>
        </w:rPr>
        <w:lastRenderedPageBreak/>
        <w:t xml:space="preserve">Methodology / Technology: </w:t>
      </w:r>
      <w:r>
        <w:t>Integration of smart contracts to automatically validate and immutably record every bid, combined with MetaMask-based wallet verification so participants can confirm transactions before they are committed to the chain.</w:t>
      </w:r>
    </w:p>
    <w:p w14:paraId="6F1A5870" w14:textId="77777777" w:rsidR="00CF35B0" w:rsidRDefault="00000000">
      <w:pPr>
        <w:spacing w:after="120" w:line="300" w:lineRule="auto"/>
        <w:jc w:val="both"/>
      </w:pPr>
      <w:r>
        <w:rPr>
          <w:b/>
          <w:bCs/>
          <w:color w:val="2E5395"/>
        </w:rPr>
        <w:t xml:space="preserve">Dataset / Tools: </w:t>
      </w:r>
      <w:r>
        <w:t>Deployment and testing on an Ethereum-based blockchain test network.</w:t>
      </w:r>
    </w:p>
    <w:p w14:paraId="60BFA83D" w14:textId="77777777" w:rsidR="00CF35B0" w:rsidRDefault="00000000">
      <w:pPr>
        <w:spacing w:after="120" w:line="300" w:lineRule="auto"/>
        <w:jc w:val="both"/>
      </w:pPr>
      <w:r>
        <w:rPr>
          <w:b/>
          <w:bCs/>
          <w:color w:val="2E5395"/>
        </w:rPr>
        <w:t xml:space="preserve">Key Findings: </w:t>
      </w:r>
      <w:r>
        <w:t>The blockchain-based design achieved full (100%) bid-record integrity across tested scenarios and provided end-to-end, real-time auditability of bids, increasing participant trust in the auction outcome.</w:t>
      </w:r>
    </w:p>
    <w:p w14:paraId="33A60733" w14:textId="77777777" w:rsidR="00CF35B0" w:rsidRDefault="00000000">
      <w:pPr>
        <w:pStyle w:val="Heading2"/>
        <w:spacing w:before="260" w:after="120"/>
      </w:pPr>
      <w:r>
        <w:rPr>
          <w:b/>
          <w:bCs/>
          <w:color w:val="2E5395"/>
          <w:sz w:val="25"/>
          <w:szCs w:val="25"/>
        </w:rPr>
        <w:t>4.10 Integration of Blockchain and Auction Models: A Survey, Some Applications, and Challenges [10]</w:t>
      </w:r>
    </w:p>
    <w:p w14:paraId="036EFD9B" w14:textId="77777777" w:rsidR="00CF35B0" w:rsidRDefault="00000000">
      <w:pPr>
        <w:spacing w:after="120" w:line="300" w:lineRule="auto"/>
        <w:jc w:val="both"/>
      </w:pPr>
      <w:r>
        <w:rPr>
          <w:b/>
          <w:bCs/>
          <w:color w:val="2E5395"/>
        </w:rPr>
        <w:t xml:space="preserve">Objective: </w:t>
      </w:r>
      <w:r>
        <w:t>To comprehensively survey the state of the art in combining blockchain technology with auction models and to identify open research challenges across application domains.</w:t>
      </w:r>
    </w:p>
    <w:p w14:paraId="5403E120" w14:textId="77777777" w:rsidR="00CF35B0" w:rsidRDefault="00000000">
      <w:pPr>
        <w:spacing w:after="120" w:line="300" w:lineRule="auto"/>
        <w:jc w:val="both"/>
      </w:pPr>
      <w:r>
        <w:rPr>
          <w:b/>
          <w:bCs/>
          <w:color w:val="2E5395"/>
        </w:rPr>
        <w:t xml:space="preserve">Methodology / Technology: </w:t>
      </w:r>
      <w:r>
        <w:t>Systematic survey with an application-oriented taxonomy classifying existing blockchain-auction integrations (e.g., cloud resource trading, IoT spectrum auctions, e-commerce).</w:t>
      </w:r>
    </w:p>
    <w:p w14:paraId="33E05CD8" w14:textId="77777777" w:rsidR="00CF35B0" w:rsidRDefault="00000000">
      <w:pPr>
        <w:spacing w:after="120" w:line="300" w:lineRule="auto"/>
        <w:jc w:val="both"/>
      </w:pPr>
      <w:r>
        <w:rPr>
          <w:b/>
          <w:bCs/>
          <w:color w:val="2E5395"/>
        </w:rPr>
        <w:t xml:space="preserve">Dataset / Tools: </w:t>
      </w:r>
      <w:r>
        <w:t>Secondary data — a large corpus of blockchain-auction publications across networking, security, and mechanism-design venues.</w:t>
      </w:r>
    </w:p>
    <w:p w14:paraId="4156AA9A" w14:textId="77777777" w:rsidR="00CF35B0" w:rsidRDefault="00000000">
      <w:pPr>
        <w:spacing w:after="120" w:line="300" w:lineRule="auto"/>
        <w:jc w:val="both"/>
      </w:pPr>
      <w:r>
        <w:rPr>
          <w:b/>
          <w:bCs/>
          <w:color w:val="2E5395"/>
        </w:rPr>
        <w:t xml:space="preserve">Key Findings: </w:t>
      </w:r>
      <w:r>
        <w:t>Blockchain integration improves transparency and tamper-resistance in auctions, but the survey identifies unresolved trade-offs between decentralisation, transaction throughput/latency, and bidder privacy that limit real-time deployment at scale.</w:t>
      </w:r>
    </w:p>
    <w:p w14:paraId="34DBB182" w14:textId="77777777" w:rsidR="00CF35B0" w:rsidRDefault="00000000">
      <w:pPr>
        <w:pStyle w:val="Heading1"/>
        <w:pBdr>
          <w:bottom w:val="single" w:sz="8" w:space="4" w:color="1F3864"/>
        </w:pBdr>
        <w:spacing w:before="340" w:after="160"/>
      </w:pPr>
      <w:r>
        <w:rPr>
          <w:b/>
          <w:bCs/>
          <w:color w:val="1F3864"/>
          <w:sz w:val="30"/>
          <w:szCs w:val="30"/>
        </w:rPr>
        <w:t>5. Comparative Literature Survey Table</w:t>
      </w:r>
    </w:p>
    <w:p w14:paraId="6B35A0B7" w14:textId="77777777" w:rsidR="00CF35B0" w:rsidRDefault="00000000">
      <w:pPr>
        <w:spacing w:after="160" w:line="300" w:lineRule="auto"/>
        <w:jc w:val="both"/>
      </w:pPr>
      <w:r>
        <w:t>Table 1 consolidates the ten reviewed papers on author/year, research problem, methodology, dataset/tools, key findings, and the limitation or research gap each paper leaves open. Papers are ordered as introduced in Section 4.</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
        <w:gridCol w:w="1214"/>
        <w:gridCol w:w="1461"/>
        <w:gridCol w:w="1398"/>
        <w:gridCol w:w="1411"/>
        <w:gridCol w:w="1691"/>
        <w:gridCol w:w="2169"/>
      </w:tblGrid>
      <w:tr w:rsidR="00CF35B0" w14:paraId="4F3130F5" w14:textId="77777777">
        <w:tblPrEx>
          <w:tblCellMar>
            <w:top w:w="0" w:type="dxa"/>
            <w:bottom w:w="0" w:type="dxa"/>
          </w:tblCellMar>
        </w:tblPrEx>
        <w:trPr>
          <w:tblHeader/>
        </w:trPr>
        <w:tc>
          <w:tcPr>
            <w:tcW w:w="500" w:type="dxa"/>
            <w:shd w:val="clear" w:color="auto" w:fill="1F3864"/>
            <w:tcMar>
              <w:top w:w="90" w:type="dxa"/>
              <w:left w:w="90" w:type="dxa"/>
              <w:bottom w:w="90" w:type="dxa"/>
              <w:right w:w="90" w:type="dxa"/>
            </w:tcMar>
            <w:vAlign w:val="center"/>
          </w:tcPr>
          <w:p w14:paraId="03637A2E" w14:textId="77777777" w:rsidR="00CF35B0" w:rsidRDefault="00000000">
            <w:pPr>
              <w:spacing w:line="250" w:lineRule="auto"/>
            </w:pPr>
            <w:r>
              <w:rPr>
                <w:b/>
                <w:bCs/>
                <w:color w:val="FFFFFF"/>
                <w:sz w:val="18"/>
                <w:szCs w:val="18"/>
              </w:rPr>
              <w:t>#</w:t>
            </w:r>
          </w:p>
        </w:tc>
        <w:tc>
          <w:tcPr>
            <w:tcW w:w="1220" w:type="dxa"/>
            <w:shd w:val="clear" w:color="auto" w:fill="1F3864"/>
            <w:tcMar>
              <w:top w:w="90" w:type="dxa"/>
              <w:left w:w="90" w:type="dxa"/>
              <w:bottom w:w="90" w:type="dxa"/>
              <w:right w:w="90" w:type="dxa"/>
            </w:tcMar>
            <w:vAlign w:val="center"/>
          </w:tcPr>
          <w:p w14:paraId="1A52E731" w14:textId="77777777" w:rsidR="00CF35B0" w:rsidRDefault="00000000">
            <w:pPr>
              <w:spacing w:line="250" w:lineRule="auto"/>
            </w:pPr>
            <w:r>
              <w:rPr>
                <w:b/>
                <w:bCs/>
                <w:color w:val="FFFFFF"/>
                <w:sz w:val="18"/>
                <w:szCs w:val="18"/>
              </w:rPr>
              <w:t>Author / Year</w:t>
            </w:r>
          </w:p>
        </w:tc>
        <w:tc>
          <w:tcPr>
            <w:tcW w:w="1400" w:type="dxa"/>
            <w:shd w:val="clear" w:color="auto" w:fill="1F3864"/>
            <w:tcMar>
              <w:top w:w="90" w:type="dxa"/>
              <w:left w:w="90" w:type="dxa"/>
              <w:bottom w:w="90" w:type="dxa"/>
              <w:right w:w="90" w:type="dxa"/>
            </w:tcMar>
            <w:vAlign w:val="center"/>
          </w:tcPr>
          <w:p w14:paraId="797C0A47" w14:textId="77777777" w:rsidR="00CF35B0" w:rsidRDefault="00000000">
            <w:pPr>
              <w:spacing w:line="250" w:lineRule="auto"/>
            </w:pPr>
            <w:r>
              <w:rPr>
                <w:b/>
                <w:bCs/>
                <w:color w:val="FFFFFF"/>
                <w:sz w:val="18"/>
                <w:szCs w:val="18"/>
              </w:rPr>
              <w:t>Research Problem</w:t>
            </w:r>
          </w:p>
        </w:tc>
        <w:tc>
          <w:tcPr>
            <w:tcW w:w="1400" w:type="dxa"/>
            <w:shd w:val="clear" w:color="auto" w:fill="1F3864"/>
            <w:tcMar>
              <w:top w:w="90" w:type="dxa"/>
              <w:left w:w="90" w:type="dxa"/>
              <w:bottom w:w="90" w:type="dxa"/>
              <w:right w:w="90" w:type="dxa"/>
            </w:tcMar>
            <w:vAlign w:val="center"/>
          </w:tcPr>
          <w:p w14:paraId="26A350F0" w14:textId="77777777" w:rsidR="00CF35B0" w:rsidRDefault="00000000">
            <w:pPr>
              <w:spacing w:line="250" w:lineRule="auto"/>
            </w:pPr>
            <w:r>
              <w:rPr>
                <w:b/>
                <w:bCs/>
                <w:color w:val="FFFFFF"/>
                <w:sz w:val="18"/>
                <w:szCs w:val="18"/>
              </w:rPr>
              <w:t>Methodology</w:t>
            </w:r>
          </w:p>
        </w:tc>
        <w:tc>
          <w:tcPr>
            <w:tcW w:w="1420" w:type="dxa"/>
            <w:shd w:val="clear" w:color="auto" w:fill="1F3864"/>
            <w:tcMar>
              <w:top w:w="90" w:type="dxa"/>
              <w:left w:w="90" w:type="dxa"/>
              <w:bottom w:w="90" w:type="dxa"/>
              <w:right w:w="90" w:type="dxa"/>
            </w:tcMar>
            <w:vAlign w:val="center"/>
          </w:tcPr>
          <w:p w14:paraId="6264C680" w14:textId="77777777" w:rsidR="00CF35B0" w:rsidRDefault="00000000">
            <w:pPr>
              <w:spacing w:line="250" w:lineRule="auto"/>
            </w:pPr>
            <w:r>
              <w:rPr>
                <w:b/>
                <w:bCs/>
                <w:color w:val="FFFFFF"/>
                <w:sz w:val="18"/>
                <w:szCs w:val="18"/>
              </w:rPr>
              <w:t>Dataset / Tools</w:t>
            </w:r>
          </w:p>
        </w:tc>
        <w:tc>
          <w:tcPr>
            <w:tcW w:w="1700" w:type="dxa"/>
            <w:shd w:val="clear" w:color="auto" w:fill="1F3864"/>
            <w:tcMar>
              <w:top w:w="90" w:type="dxa"/>
              <w:left w:w="90" w:type="dxa"/>
              <w:bottom w:w="90" w:type="dxa"/>
              <w:right w:w="90" w:type="dxa"/>
            </w:tcMar>
            <w:vAlign w:val="center"/>
          </w:tcPr>
          <w:p w14:paraId="4F2008FF" w14:textId="77777777" w:rsidR="00CF35B0" w:rsidRDefault="00000000">
            <w:pPr>
              <w:spacing w:line="250" w:lineRule="auto"/>
            </w:pPr>
            <w:r>
              <w:rPr>
                <w:b/>
                <w:bCs/>
                <w:color w:val="FFFFFF"/>
                <w:sz w:val="18"/>
                <w:szCs w:val="18"/>
              </w:rPr>
              <w:t>Key Findings</w:t>
            </w:r>
          </w:p>
        </w:tc>
        <w:tc>
          <w:tcPr>
            <w:tcW w:w="2200" w:type="dxa"/>
            <w:shd w:val="clear" w:color="auto" w:fill="1F3864"/>
            <w:tcMar>
              <w:top w:w="90" w:type="dxa"/>
              <w:left w:w="90" w:type="dxa"/>
              <w:bottom w:w="90" w:type="dxa"/>
              <w:right w:w="90" w:type="dxa"/>
            </w:tcMar>
            <w:vAlign w:val="center"/>
          </w:tcPr>
          <w:p w14:paraId="1B05F914" w14:textId="77777777" w:rsidR="00CF35B0" w:rsidRDefault="00000000">
            <w:pPr>
              <w:spacing w:line="250" w:lineRule="auto"/>
            </w:pPr>
            <w:r>
              <w:rPr>
                <w:b/>
                <w:bCs/>
                <w:color w:val="FFFFFF"/>
                <w:sz w:val="18"/>
                <w:szCs w:val="18"/>
              </w:rPr>
              <w:t>Limitation / Research Gap</w:t>
            </w:r>
          </w:p>
        </w:tc>
      </w:tr>
      <w:tr w:rsidR="00CF35B0" w14:paraId="3D2D7C0D" w14:textId="77777777">
        <w:tblPrEx>
          <w:tblCellMar>
            <w:top w:w="0" w:type="dxa"/>
            <w:bottom w:w="0" w:type="dxa"/>
          </w:tblCellMar>
        </w:tblPrEx>
        <w:tc>
          <w:tcPr>
            <w:tcW w:w="500" w:type="dxa"/>
            <w:tcMar>
              <w:top w:w="90" w:type="dxa"/>
              <w:left w:w="90" w:type="dxa"/>
              <w:bottom w:w="90" w:type="dxa"/>
              <w:right w:w="90" w:type="dxa"/>
            </w:tcMar>
            <w:vAlign w:val="center"/>
          </w:tcPr>
          <w:p w14:paraId="2D3005CA" w14:textId="77777777" w:rsidR="00CF35B0" w:rsidRDefault="00000000">
            <w:pPr>
              <w:spacing w:line="250" w:lineRule="auto"/>
            </w:pPr>
            <w:r>
              <w:rPr>
                <w:color w:val="000000"/>
                <w:sz w:val="18"/>
                <w:szCs w:val="18"/>
              </w:rPr>
              <w:t>1</w:t>
            </w:r>
          </w:p>
        </w:tc>
        <w:tc>
          <w:tcPr>
            <w:tcW w:w="1220" w:type="dxa"/>
            <w:tcMar>
              <w:top w:w="90" w:type="dxa"/>
              <w:left w:w="90" w:type="dxa"/>
              <w:bottom w:w="90" w:type="dxa"/>
              <w:right w:w="90" w:type="dxa"/>
            </w:tcMar>
            <w:vAlign w:val="center"/>
          </w:tcPr>
          <w:p w14:paraId="265AE79B" w14:textId="77777777" w:rsidR="00CF35B0" w:rsidRDefault="00000000">
            <w:pPr>
              <w:spacing w:line="250" w:lineRule="auto"/>
            </w:pPr>
            <w:r>
              <w:rPr>
                <w:color w:val="000000"/>
                <w:sz w:val="18"/>
                <w:szCs w:val="18"/>
              </w:rPr>
              <w:t>Waisman et al., 2021 [1]</w:t>
            </w:r>
          </w:p>
        </w:tc>
        <w:tc>
          <w:tcPr>
            <w:tcW w:w="1400" w:type="dxa"/>
            <w:tcMar>
              <w:top w:w="90" w:type="dxa"/>
              <w:left w:w="90" w:type="dxa"/>
              <w:bottom w:w="90" w:type="dxa"/>
              <w:right w:w="90" w:type="dxa"/>
            </w:tcMar>
            <w:vAlign w:val="center"/>
          </w:tcPr>
          <w:p w14:paraId="0873FB41" w14:textId="77777777" w:rsidR="00CF35B0" w:rsidRDefault="00000000">
            <w:pPr>
              <w:spacing w:line="250" w:lineRule="auto"/>
            </w:pPr>
            <w:r>
              <w:rPr>
                <w:color w:val="000000"/>
                <w:sz w:val="18"/>
                <w:szCs w:val="18"/>
              </w:rPr>
              <w:t>Measuring true causal effect of RTB display ads</w:t>
            </w:r>
          </w:p>
        </w:tc>
        <w:tc>
          <w:tcPr>
            <w:tcW w:w="1400" w:type="dxa"/>
            <w:tcMar>
              <w:top w:w="90" w:type="dxa"/>
              <w:left w:w="90" w:type="dxa"/>
              <w:bottom w:w="90" w:type="dxa"/>
              <w:right w:w="90" w:type="dxa"/>
            </w:tcMar>
            <w:vAlign w:val="center"/>
          </w:tcPr>
          <w:p w14:paraId="647AAD33" w14:textId="77777777" w:rsidR="00CF35B0" w:rsidRDefault="00000000">
            <w:pPr>
              <w:spacing w:line="250" w:lineRule="auto"/>
            </w:pPr>
            <w:r>
              <w:rPr>
                <w:color w:val="000000"/>
                <w:sz w:val="18"/>
                <w:szCs w:val="18"/>
              </w:rPr>
              <w:t>Thompson-sampling multi-armed bandit; first/second-price auction theory</w:t>
            </w:r>
          </w:p>
        </w:tc>
        <w:tc>
          <w:tcPr>
            <w:tcW w:w="1420" w:type="dxa"/>
            <w:tcMar>
              <w:top w:w="90" w:type="dxa"/>
              <w:left w:w="90" w:type="dxa"/>
              <w:bottom w:w="90" w:type="dxa"/>
              <w:right w:w="90" w:type="dxa"/>
            </w:tcMar>
            <w:vAlign w:val="center"/>
          </w:tcPr>
          <w:p w14:paraId="51536D65" w14:textId="77777777" w:rsidR="00CF35B0" w:rsidRDefault="00000000">
            <w:pPr>
              <w:spacing w:line="250" w:lineRule="auto"/>
            </w:pPr>
            <w:r>
              <w:rPr>
                <w:color w:val="000000"/>
                <w:sz w:val="18"/>
                <w:szCs w:val="18"/>
              </w:rPr>
              <w:t>Proprietary RTB advertiser log data</w:t>
            </w:r>
          </w:p>
        </w:tc>
        <w:tc>
          <w:tcPr>
            <w:tcW w:w="1700" w:type="dxa"/>
            <w:tcMar>
              <w:top w:w="90" w:type="dxa"/>
              <w:left w:w="90" w:type="dxa"/>
              <w:bottom w:w="90" w:type="dxa"/>
              <w:right w:w="90" w:type="dxa"/>
            </w:tcMar>
            <w:vAlign w:val="center"/>
          </w:tcPr>
          <w:p w14:paraId="08989CCD" w14:textId="77777777" w:rsidR="00CF35B0" w:rsidRDefault="00000000">
            <w:pPr>
              <w:spacing w:line="250" w:lineRule="auto"/>
            </w:pPr>
            <w:r>
              <w:rPr>
                <w:color w:val="000000"/>
                <w:sz w:val="18"/>
                <w:szCs w:val="18"/>
              </w:rPr>
              <w:t>Recovers optimal bids and advertising effect with lower experimentation cost than standard A/B tests</w:t>
            </w:r>
          </w:p>
        </w:tc>
        <w:tc>
          <w:tcPr>
            <w:tcW w:w="2200" w:type="dxa"/>
            <w:tcMar>
              <w:top w:w="90" w:type="dxa"/>
              <w:left w:w="90" w:type="dxa"/>
              <w:bottom w:w="90" w:type="dxa"/>
              <w:right w:w="90" w:type="dxa"/>
            </w:tcMar>
            <w:vAlign w:val="center"/>
          </w:tcPr>
          <w:p w14:paraId="61C42788" w14:textId="77777777" w:rsidR="00CF35B0" w:rsidRDefault="00000000">
            <w:pPr>
              <w:spacing w:line="250" w:lineRule="auto"/>
            </w:pPr>
            <w:r>
              <w:rPr>
                <w:color w:val="000000"/>
                <w:sz w:val="18"/>
                <w:szCs w:val="18"/>
              </w:rPr>
              <w:t>Assumes rational bidder economic behaviour; not validated on live consumer-to-consumer auctions</w:t>
            </w:r>
          </w:p>
        </w:tc>
      </w:tr>
      <w:tr w:rsidR="00CF35B0" w14:paraId="1AF6119F" w14:textId="77777777">
        <w:tblPrEx>
          <w:tblCellMar>
            <w:top w:w="0" w:type="dxa"/>
            <w:bottom w:w="0" w:type="dxa"/>
          </w:tblCellMar>
        </w:tblPrEx>
        <w:tc>
          <w:tcPr>
            <w:tcW w:w="500" w:type="dxa"/>
            <w:tcMar>
              <w:top w:w="90" w:type="dxa"/>
              <w:left w:w="90" w:type="dxa"/>
              <w:bottom w:w="90" w:type="dxa"/>
              <w:right w:w="90" w:type="dxa"/>
            </w:tcMar>
            <w:vAlign w:val="center"/>
          </w:tcPr>
          <w:p w14:paraId="14FCCAED" w14:textId="77777777" w:rsidR="00CF35B0" w:rsidRDefault="00000000">
            <w:pPr>
              <w:spacing w:line="250" w:lineRule="auto"/>
            </w:pPr>
            <w:r>
              <w:rPr>
                <w:color w:val="000000"/>
                <w:sz w:val="18"/>
                <w:szCs w:val="18"/>
              </w:rPr>
              <w:t>2</w:t>
            </w:r>
          </w:p>
        </w:tc>
        <w:tc>
          <w:tcPr>
            <w:tcW w:w="1220" w:type="dxa"/>
            <w:tcMar>
              <w:top w:w="90" w:type="dxa"/>
              <w:left w:w="90" w:type="dxa"/>
              <w:bottom w:w="90" w:type="dxa"/>
              <w:right w:w="90" w:type="dxa"/>
            </w:tcMar>
            <w:vAlign w:val="center"/>
          </w:tcPr>
          <w:p w14:paraId="4101B586" w14:textId="77777777" w:rsidR="00CF35B0" w:rsidRDefault="00000000">
            <w:pPr>
              <w:spacing w:line="250" w:lineRule="auto"/>
            </w:pPr>
            <w:r>
              <w:rPr>
                <w:color w:val="000000"/>
                <w:sz w:val="18"/>
                <w:szCs w:val="18"/>
              </w:rPr>
              <w:t>Tang &amp; Yu, 2022 [2]</w:t>
            </w:r>
          </w:p>
        </w:tc>
        <w:tc>
          <w:tcPr>
            <w:tcW w:w="1400" w:type="dxa"/>
            <w:tcMar>
              <w:top w:w="90" w:type="dxa"/>
              <w:left w:w="90" w:type="dxa"/>
              <w:bottom w:w="90" w:type="dxa"/>
              <w:right w:w="90" w:type="dxa"/>
            </w:tcMar>
            <w:vAlign w:val="center"/>
          </w:tcPr>
          <w:p w14:paraId="799D9DD5" w14:textId="77777777" w:rsidR="00CF35B0" w:rsidRDefault="00000000">
            <w:pPr>
              <w:spacing w:line="250" w:lineRule="auto"/>
            </w:pPr>
            <w:r>
              <w:rPr>
                <w:color w:val="000000"/>
                <w:sz w:val="18"/>
                <w:szCs w:val="18"/>
              </w:rPr>
              <w:t>Trustworthiness of AI-driven RTB ecosystems</w:t>
            </w:r>
          </w:p>
        </w:tc>
        <w:tc>
          <w:tcPr>
            <w:tcW w:w="1400" w:type="dxa"/>
            <w:tcMar>
              <w:top w:w="90" w:type="dxa"/>
              <w:left w:w="90" w:type="dxa"/>
              <w:bottom w:w="90" w:type="dxa"/>
              <w:right w:w="90" w:type="dxa"/>
            </w:tcMar>
            <w:vAlign w:val="center"/>
          </w:tcPr>
          <w:p w14:paraId="2EBCF183" w14:textId="77777777" w:rsidR="00CF35B0" w:rsidRDefault="00000000">
            <w:pPr>
              <w:spacing w:line="250" w:lineRule="auto"/>
            </w:pPr>
            <w:r>
              <w:rPr>
                <w:color w:val="000000"/>
                <w:sz w:val="18"/>
                <w:szCs w:val="18"/>
              </w:rPr>
              <w:t>Systematic taxonomy / survey of security, robustness, fairness techniques</w:t>
            </w:r>
          </w:p>
        </w:tc>
        <w:tc>
          <w:tcPr>
            <w:tcW w:w="1420" w:type="dxa"/>
            <w:tcMar>
              <w:top w:w="90" w:type="dxa"/>
              <w:left w:w="90" w:type="dxa"/>
              <w:bottom w:w="90" w:type="dxa"/>
              <w:right w:w="90" w:type="dxa"/>
            </w:tcMar>
            <w:vAlign w:val="center"/>
          </w:tcPr>
          <w:p w14:paraId="2189EF41" w14:textId="77777777" w:rsidR="00CF35B0" w:rsidRDefault="00000000">
            <w:pPr>
              <w:spacing w:line="250" w:lineRule="auto"/>
            </w:pPr>
            <w:r>
              <w:rPr>
                <w:color w:val="000000"/>
                <w:sz w:val="18"/>
                <w:szCs w:val="18"/>
              </w:rPr>
              <w:t>Literature corpus (no primary dataset)</w:t>
            </w:r>
          </w:p>
        </w:tc>
        <w:tc>
          <w:tcPr>
            <w:tcW w:w="1700" w:type="dxa"/>
            <w:tcMar>
              <w:top w:w="90" w:type="dxa"/>
              <w:left w:w="90" w:type="dxa"/>
              <w:bottom w:w="90" w:type="dxa"/>
              <w:right w:w="90" w:type="dxa"/>
            </w:tcMar>
            <w:vAlign w:val="center"/>
          </w:tcPr>
          <w:p w14:paraId="43AC6116" w14:textId="77777777" w:rsidR="00CF35B0" w:rsidRDefault="00000000">
            <w:pPr>
              <w:spacing w:line="250" w:lineRule="auto"/>
            </w:pPr>
            <w:r>
              <w:rPr>
                <w:color w:val="000000"/>
                <w:sz w:val="18"/>
                <w:szCs w:val="18"/>
              </w:rPr>
              <w:t>First multi-tiered taxonomy linking stakeholders to trust dimensions in AIRTB</w:t>
            </w:r>
          </w:p>
        </w:tc>
        <w:tc>
          <w:tcPr>
            <w:tcW w:w="2200" w:type="dxa"/>
            <w:tcMar>
              <w:top w:w="90" w:type="dxa"/>
              <w:left w:w="90" w:type="dxa"/>
              <w:bottom w:w="90" w:type="dxa"/>
              <w:right w:w="90" w:type="dxa"/>
            </w:tcMar>
            <w:vAlign w:val="center"/>
          </w:tcPr>
          <w:p w14:paraId="471565FA" w14:textId="77777777" w:rsidR="00CF35B0" w:rsidRDefault="00000000">
            <w:pPr>
              <w:spacing w:line="250" w:lineRule="auto"/>
            </w:pPr>
            <w:r>
              <w:rPr>
                <w:color w:val="000000"/>
                <w:sz w:val="18"/>
                <w:szCs w:val="18"/>
              </w:rPr>
              <w:t>Survey-level only; no experimental validation of the proposed taxonomy</w:t>
            </w:r>
          </w:p>
        </w:tc>
      </w:tr>
      <w:tr w:rsidR="00CF35B0" w14:paraId="5F147020" w14:textId="77777777">
        <w:tblPrEx>
          <w:tblCellMar>
            <w:top w:w="0" w:type="dxa"/>
            <w:bottom w:w="0" w:type="dxa"/>
          </w:tblCellMar>
        </w:tblPrEx>
        <w:tc>
          <w:tcPr>
            <w:tcW w:w="500" w:type="dxa"/>
            <w:tcMar>
              <w:top w:w="90" w:type="dxa"/>
              <w:left w:w="90" w:type="dxa"/>
              <w:bottom w:w="90" w:type="dxa"/>
              <w:right w:w="90" w:type="dxa"/>
            </w:tcMar>
            <w:vAlign w:val="center"/>
          </w:tcPr>
          <w:p w14:paraId="6D0EC684" w14:textId="77777777" w:rsidR="00CF35B0" w:rsidRDefault="00000000">
            <w:pPr>
              <w:spacing w:line="250" w:lineRule="auto"/>
            </w:pPr>
            <w:r>
              <w:rPr>
                <w:color w:val="000000"/>
                <w:sz w:val="18"/>
                <w:szCs w:val="18"/>
              </w:rPr>
              <w:t>3</w:t>
            </w:r>
          </w:p>
        </w:tc>
        <w:tc>
          <w:tcPr>
            <w:tcW w:w="1220" w:type="dxa"/>
            <w:tcMar>
              <w:top w:w="90" w:type="dxa"/>
              <w:left w:w="90" w:type="dxa"/>
              <w:bottom w:w="90" w:type="dxa"/>
              <w:right w:w="90" w:type="dxa"/>
            </w:tcMar>
            <w:vAlign w:val="center"/>
          </w:tcPr>
          <w:p w14:paraId="6AE2BA46" w14:textId="77777777" w:rsidR="00CF35B0" w:rsidRDefault="00000000">
            <w:pPr>
              <w:spacing w:line="250" w:lineRule="auto"/>
            </w:pPr>
            <w:r>
              <w:rPr>
                <w:color w:val="000000"/>
                <w:sz w:val="18"/>
                <w:szCs w:val="18"/>
              </w:rPr>
              <w:t>Qin, Yuan &amp; Wang, 2017 [3]</w:t>
            </w:r>
          </w:p>
        </w:tc>
        <w:tc>
          <w:tcPr>
            <w:tcW w:w="1400" w:type="dxa"/>
            <w:tcMar>
              <w:top w:w="90" w:type="dxa"/>
              <w:left w:w="90" w:type="dxa"/>
              <w:bottom w:w="90" w:type="dxa"/>
              <w:right w:w="90" w:type="dxa"/>
            </w:tcMar>
            <w:vAlign w:val="center"/>
          </w:tcPr>
          <w:p w14:paraId="1711073E" w14:textId="77777777" w:rsidR="00CF35B0" w:rsidRDefault="00000000">
            <w:pPr>
              <w:spacing w:line="250" w:lineRule="auto"/>
            </w:pPr>
            <w:r>
              <w:rPr>
                <w:color w:val="000000"/>
                <w:sz w:val="18"/>
                <w:szCs w:val="18"/>
              </w:rPr>
              <w:t xml:space="preserve">Revenue inefficiency in </w:t>
            </w:r>
            <w:r>
              <w:rPr>
                <w:color w:val="000000"/>
                <w:sz w:val="18"/>
                <w:szCs w:val="18"/>
              </w:rPr>
              <w:lastRenderedPageBreak/>
              <w:t>two-stage DSP resale auctions</w:t>
            </w:r>
          </w:p>
        </w:tc>
        <w:tc>
          <w:tcPr>
            <w:tcW w:w="1400" w:type="dxa"/>
            <w:tcMar>
              <w:top w:w="90" w:type="dxa"/>
              <w:left w:w="90" w:type="dxa"/>
              <w:bottom w:w="90" w:type="dxa"/>
              <w:right w:w="90" w:type="dxa"/>
            </w:tcMar>
            <w:vAlign w:val="center"/>
          </w:tcPr>
          <w:p w14:paraId="034F9A16" w14:textId="77777777" w:rsidR="00CF35B0" w:rsidRDefault="00000000">
            <w:pPr>
              <w:spacing w:line="250" w:lineRule="auto"/>
            </w:pPr>
            <w:r>
              <w:rPr>
                <w:color w:val="000000"/>
                <w:sz w:val="18"/>
                <w:szCs w:val="18"/>
              </w:rPr>
              <w:lastRenderedPageBreak/>
              <w:t>Mechanism design with computational-</w:t>
            </w:r>
            <w:r>
              <w:rPr>
                <w:color w:val="000000"/>
                <w:sz w:val="18"/>
                <w:szCs w:val="18"/>
              </w:rPr>
              <w:lastRenderedPageBreak/>
              <w:t>experiment validation</w:t>
            </w:r>
          </w:p>
        </w:tc>
        <w:tc>
          <w:tcPr>
            <w:tcW w:w="1420" w:type="dxa"/>
            <w:tcMar>
              <w:top w:w="90" w:type="dxa"/>
              <w:left w:w="90" w:type="dxa"/>
              <w:bottom w:w="90" w:type="dxa"/>
              <w:right w:w="90" w:type="dxa"/>
            </w:tcMar>
            <w:vAlign w:val="center"/>
          </w:tcPr>
          <w:p w14:paraId="1FD6F930" w14:textId="77777777" w:rsidR="00CF35B0" w:rsidRDefault="00000000">
            <w:pPr>
              <w:spacing w:line="250" w:lineRule="auto"/>
            </w:pPr>
            <w:r>
              <w:rPr>
                <w:color w:val="000000"/>
                <w:sz w:val="18"/>
                <w:szCs w:val="18"/>
              </w:rPr>
              <w:lastRenderedPageBreak/>
              <w:t>Simulated RTB market experiments</w:t>
            </w:r>
          </w:p>
        </w:tc>
        <w:tc>
          <w:tcPr>
            <w:tcW w:w="1700" w:type="dxa"/>
            <w:tcMar>
              <w:top w:w="90" w:type="dxa"/>
              <w:left w:w="90" w:type="dxa"/>
              <w:bottom w:w="90" w:type="dxa"/>
              <w:right w:w="90" w:type="dxa"/>
            </w:tcMar>
            <w:vAlign w:val="center"/>
          </w:tcPr>
          <w:p w14:paraId="15226CF3" w14:textId="77777777" w:rsidR="00CF35B0" w:rsidRDefault="00000000">
            <w:pPr>
              <w:spacing w:line="250" w:lineRule="auto"/>
            </w:pPr>
            <w:r>
              <w:rPr>
                <w:color w:val="000000"/>
                <w:sz w:val="18"/>
                <w:szCs w:val="18"/>
              </w:rPr>
              <w:t xml:space="preserve">Proposed mechanism improves total </w:t>
            </w:r>
            <w:r>
              <w:rPr>
                <w:color w:val="000000"/>
                <w:sz w:val="18"/>
                <w:szCs w:val="18"/>
              </w:rPr>
              <w:lastRenderedPageBreak/>
              <w:t>revenue for both advertisers and DSPs</w:t>
            </w:r>
          </w:p>
        </w:tc>
        <w:tc>
          <w:tcPr>
            <w:tcW w:w="2200" w:type="dxa"/>
            <w:tcMar>
              <w:top w:w="90" w:type="dxa"/>
              <w:left w:w="90" w:type="dxa"/>
              <w:bottom w:w="90" w:type="dxa"/>
              <w:right w:w="90" w:type="dxa"/>
            </w:tcMar>
            <w:vAlign w:val="center"/>
          </w:tcPr>
          <w:p w14:paraId="64BA6DD5" w14:textId="77777777" w:rsidR="00CF35B0" w:rsidRDefault="00000000">
            <w:pPr>
              <w:spacing w:line="250" w:lineRule="auto"/>
            </w:pPr>
            <w:r>
              <w:rPr>
                <w:color w:val="000000"/>
                <w:sz w:val="18"/>
                <w:szCs w:val="18"/>
              </w:rPr>
              <w:lastRenderedPageBreak/>
              <w:t>Simulation-based; lacks deployment on a live ad exchange</w:t>
            </w:r>
          </w:p>
        </w:tc>
      </w:tr>
      <w:tr w:rsidR="00CF35B0" w14:paraId="38246FCE" w14:textId="77777777">
        <w:tblPrEx>
          <w:tblCellMar>
            <w:top w:w="0" w:type="dxa"/>
            <w:bottom w:w="0" w:type="dxa"/>
          </w:tblCellMar>
        </w:tblPrEx>
        <w:tc>
          <w:tcPr>
            <w:tcW w:w="500" w:type="dxa"/>
            <w:tcMar>
              <w:top w:w="90" w:type="dxa"/>
              <w:left w:w="90" w:type="dxa"/>
              <w:bottom w:w="90" w:type="dxa"/>
              <w:right w:w="90" w:type="dxa"/>
            </w:tcMar>
            <w:vAlign w:val="center"/>
          </w:tcPr>
          <w:p w14:paraId="2E1E5D1C" w14:textId="77777777" w:rsidR="00CF35B0" w:rsidRDefault="00000000">
            <w:pPr>
              <w:spacing w:line="250" w:lineRule="auto"/>
            </w:pPr>
            <w:r>
              <w:rPr>
                <w:color w:val="000000"/>
                <w:sz w:val="18"/>
                <w:szCs w:val="18"/>
              </w:rPr>
              <w:t>4</w:t>
            </w:r>
          </w:p>
        </w:tc>
        <w:tc>
          <w:tcPr>
            <w:tcW w:w="1220" w:type="dxa"/>
            <w:tcMar>
              <w:top w:w="90" w:type="dxa"/>
              <w:left w:w="90" w:type="dxa"/>
              <w:bottom w:w="90" w:type="dxa"/>
              <w:right w:w="90" w:type="dxa"/>
            </w:tcMar>
            <w:vAlign w:val="center"/>
          </w:tcPr>
          <w:p w14:paraId="5DE6BAB6" w14:textId="77777777" w:rsidR="00CF35B0" w:rsidRDefault="00000000">
            <w:pPr>
              <w:spacing w:line="250" w:lineRule="auto"/>
            </w:pPr>
            <w:r>
              <w:rPr>
                <w:color w:val="000000"/>
                <w:sz w:val="18"/>
                <w:szCs w:val="18"/>
              </w:rPr>
              <w:t>Tyagi et al., 2020 [4]</w:t>
            </w:r>
          </w:p>
        </w:tc>
        <w:tc>
          <w:tcPr>
            <w:tcW w:w="1400" w:type="dxa"/>
            <w:tcMar>
              <w:top w:w="90" w:type="dxa"/>
              <w:left w:w="90" w:type="dxa"/>
              <w:bottom w:w="90" w:type="dxa"/>
              <w:right w:w="90" w:type="dxa"/>
            </w:tcMar>
            <w:vAlign w:val="center"/>
          </w:tcPr>
          <w:p w14:paraId="7795B327" w14:textId="77777777" w:rsidR="00CF35B0" w:rsidRDefault="00000000">
            <w:pPr>
              <w:spacing w:line="250" w:lineRule="auto"/>
            </w:pPr>
            <w:r>
              <w:rPr>
                <w:color w:val="000000"/>
                <w:sz w:val="18"/>
                <w:szCs w:val="18"/>
              </w:rPr>
              <w:t>Slow bid-ranking in live online bidding</w:t>
            </w:r>
          </w:p>
        </w:tc>
        <w:tc>
          <w:tcPr>
            <w:tcW w:w="1400" w:type="dxa"/>
            <w:tcMar>
              <w:top w:w="90" w:type="dxa"/>
              <w:left w:w="90" w:type="dxa"/>
              <w:bottom w:w="90" w:type="dxa"/>
              <w:right w:w="90" w:type="dxa"/>
            </w:tcMar>
            <w:vAlign w:val="center"/>
          </w:tcPr>
          <w:p w14:paraId="4506D39B" w14:textId="77777777" w:rsidR="00CF35B0" w:rsidRDefault="00000000">
            <w:pPr>
              <w:spacing w:line="250" w:lineRule="auto"/>
            </w:pPr>
            <w:r>
              <w:rPr>
                <w:color w:val="000000"/>
                <w:sz w:val="18"/>
                <w:szCs w:val="18"/>
              </w:rPr>
              <w:t>Improvised sorting algorithm for real-time highest-bid extraction</w:t>
            </w:r>
          </w:p>
        </w:tc>
        <w:tc>
          <w:tcPr>
            <w:tcW w:w="1420" w:type="dxa"/>
            <w:tcMar>
              <w:top w:w="90" w:type="dxa"/>
              <w:left w:w="90" w:type="dxa"/>
              <w:bottom w:w="90" w:type="dxa"/>
              <w:right w:w="90" w:type="dxa"/>
            </w:tcMar>
            <w:vAlign w:val="center"/>
          </w:tcPr>
          <w:p w14:paraId="31F0C5A4" w14:textId="77777777" w:rsidR="00CF35B0" w:rsidRDefault="00000000">
            <w:pPr>
              <w:spacing w:line="250" w:lineRule="auto"/>
            </w:pPr>
            <w:r>
              <w:rPr>
                <w:color w:val="000000"/>
                <w:sz w:val="18"/>
                <w:szCs w:val="18"/>
              </w:rPr>
              <w:t>Custom-built bidding web application</w:t>
            </w:r>
          </w:p>
        </w:tc>
        <w:tc>
          <w:tcPr>
            <w:tcW w:w="1700" w:type="dxa"/>
            <w:tcMar>
              <w:top w:w="90" w:type="dxa"/>
              <w:left w:w="90" w:type="dxa"/>
              <w:bottom w:w="90" w:type="dxa"/>
              <w:right w:w="90" w:type="dxa"/>
            </w:tcMar>
            <w:vAlign w:val="center"/>
          </w:tcPr>
          <w:p w14:paraId="7CDAE05E" w14:textId="77777777" w:rsidR="00CF35B0" w:rsidRDefault="00000000">
            <w:pPr>
              <w:spacing w:line="250" w:lineRule="auto"/>
            </w:pPr>
            <w:r>
              <w:rPr>
                <w:color w:val="000000"/>
                <w:sz w:val="18"/>
                <w:szCs w:val="18"/>
              </w:rPr>
              <w:t>Reduced time complexity of highest-bid retrieval versus quicksort/merge sort</w:t>
            </w:r>
          </w:p>
        </w:tc>
        <w:tc>
          <w:tcPr>
            <w:tcW w:w="2200" w:type="dxa"/>
            <w:tcMar>
              <w:top w:w="90" w:type="dxa"/>
              <w:left w:w="90" w:type="dxa"/>
              <w:bottom w:w="90" w:type="dxa"/>
              <w:right w:w="90" w:type="dxa"/>
            </w:tcMar>
            <w:vAlign w:val="center"/>
          </w:tcPr>
          <w:p w14:paraId="73DE7466" w14:textId="77777777" w:rsidR="00CF35B0" w:rsidRDefault="00000000">
            <w:pPr>
              <w:spacing w:line="250" w:lineRule="auto"/>
            </w:pPr>
            <w:r>
              <w:rPr>
                <w:color w:val="000000"/>
                <w:sz w:val="18"/>
                <w:szCs w:val="18"/>
              </w:rPr>
              <w:t>No large-scale concurrency or network-latency testing reported</w:t>
            </w:r>
          </w:p>
        </w:tc>
      </w:tr>
      <w:tr w:rsidR="00CF35B0" w14:paraId="68C1C6DF" w14:textId="77777777">
        <w:tblPrEx>
          <w:tblCellMar>
            <w:top w:w="0" w:type="dxa"/>
            <w:bottom w:w="0" w:type="dxa"/>
          </w:tblCellMar>
        </w:tblPrEx>
        <w:tc>
          <w:tcPr>
            <w:tcW w:w="500" w:type="dxa"/>
            <w:tcMar>
              <w:top w:w="90" w:type="dxa"/>
              <w:left w:w="90" w:type="dxa"/>
              <w:bottom w:w="90" w:type="dxa"/>
              <w:right w:w="90" w:type="dxa"/>
            </w:tcMar>
            <w:vAlign w:val="center"/>
          </w:tcPr>
          <w:p w14:paraId="68E20A53" w14:textId="77777777" w:rsidR="00CF35B0" w:rsidRDefault="00000000">
            <w:pPr>
              <w:spacing w:line="250" w:lineRule="auto"/>
            </w:pPr>
            <w:r>
              <w:rPr>
                <w:color w:val="000000"/>
                <w:sz w:val="18"/>
                <w:szCs w:val="18"/>
              </w:rPr>
              <w:t>5</w:t>
            </w:r>
          </w:p>
        </w:tc>
        <w:tc>
          <w:tcPr>
            <w:tcW w:w="1220" w:type="dxa"/>
            <w:tcMar>
              <w:top w:w="90" w:type="dxa"/>
              <w:left w:w="90" w:type="dxa"/>
              <w:bottom w:w="90" w:type="dxa"/>
              <w:right w:w="90" w:type="dxa"/>
            </w:tcMar>
            <w:vAlign w:val="center"/>
          </w:tcPr>
          <w:p w14:paraId="42B2FFD9" w14:textId="77777777" w:rsidR="00CF35B0" w:rsidRDefault="00000000">
            <w:pPr>
              <w:spacing w:line="250" w:lineRule="auto"/>
            </w:pPr>
            <w:proofErr w:type="spellStart"/>
            <w:r>
              <w:rPr>
                <w:color w:val="000000"/>
                <w:sz w:val="18"/>
                <w:szCs w:val="18"/>
              </w:rPr>
              <w:t>Bodkhe</w:t>
            </w:r>
            <w:proofErr w:type="spellEnd"/>
            <w:r>
              <w:rPr>
                <w:color w:val="000000"/>
                <w:sz w:val="18"/>
                <w:szCs w:val="18"/>
              </w:rPr>
              <w:t>, Jadhav &amp; Sontakke, 2025 [5]</w:t>
            </w:r>
          </w:p>
        </w:tc>
        <w:tc>
          <w:tcPr>
            <w:tcW w:w="1400" w:type="dxa"/>
            <w:tcMar>
              <w:top w:w="90" w:type="dxa"/>
              <w:left w:w="90" w:type="dxa"/>
              <w:bottom w:w="90" w:type="dxa"/>
              <w:right w:w="90" w:type="dxa"/>
            </w:tcMar>
            <w:vAlign w:val="center"/>
          </w:tcPr>
          <w:p w14:paraId="680DFEAC" w14:textId="77777777" w:rsidR="00CF35B0" w:rsidRDefault="00000000">
            <w:pPr>
              <w:spacing w:line="250" w:lineRule="auto"/>
            </w:pPr>
            <w:r>
              <w:rPr>
                <w:color w:val="000000"/>
                <w:sz w:val="18"/>
                <w:szCs w:val="18"/>
              </w:rPr>
              <w:t>Latency and low engagement in live bidding platforms</w:t>
            </w:r>
          </w:p>
        </w:tc>
        <w:tc>
          <w:tcPr>
            <w:tcW w:w="1400" w:type="dxa"/>
            <w:tcMar>
              <w:top w:w="90" w:type="dxa"/>
              <w:left w:w="90" w:type="dxa"/>
              <w:bottom w:w="90" w:type="dxa"/>
              <w:right w:w="90" w:type="dxa"/>
            </w:tcMar>
            <w:vAlign w:val="center"/>
          </w:tcPr>
          <w:p w14:paraId="7BEFFA53" w14:textId="77777777" w:rsidR="00CF35B0" w:rsidRDefault="00000000">
            <w:pPr>
              <w:spacing w:line="250" w:lineRule="auto"/>
            </w:pPr>
            <w:r>
              <w:rPr>
                <w:color w:val="000000"/>
                <w:sz w:val="18"/>
                <w:szCs w:val="18"/>
              </w:rPr>
              <w:t>Three-tier architecture: React JS, Spring Boot, MySQL, WebSocket</w:t>
            </w:r>
          </w:p>
        </w:tc>
        <w:tc>
          <w:tcPr>
            <w:tcW w:w="1420" w:type="dxa"/>
            <w:tcMar>
              <w:top w:w="90" w:type="dxa"/>
              <w:left w:w="90" w:type="dxa"/>
              <w:bottom w:w="90" w:type="dxa"/>
              <w:right w:w="90" w:type="dxa"/>
            </w:tcMar>
            <w:vAlign w:val="center"/>
          </w:tcPr>
          <w:p w14:paraId="40634D4B" w14:textId="77777777" w:rsidR="00CF35B0" w:rsidRDefault="00000000">
            <w:pPr>
              <w:spacing w:line="250" w:lineRule="auto"/>
            </w:pPr>
            <w:r>
              <w:rPr>
                <w:color w:val="000000"/>
                <w:sz w:val="18"/>
                <w:szCs w:val="18"/>
              </w:rPr>
              <w:t>Simulated auction scenarios, controlled test environment</w:t>
            </w:r>
          </w:p>
        </w:tc>
        <w:tc>
          <w:tcPr>
            <w:tcW w:w="1700" w:type="dxa"/>
            <w:tcMar>
              <w:top w:w="90" w:type="dxa"/>
              <w:left w:w="90" w:type="dxa"/>
              <w:bottom w:w="90" w:type="dxa"/>
              <w:right w:w="90" w:type="dxa"/>
            </w:tcMar>
            <w:vAlign w:val="center"/>
          </w:tcPr>
          <w:p w14:paraId="3C991BED" w14:textId="77777777" w:rsidR="00CF35B0" w:rsidRDefault="00000000">
            <w:pPr>
              <w:spacing w:line="250" w:lineRule="auto"/>
            </w:pPr>
            <w:r>
              <w:rPr>
                <w:color w:val="000000"/>
                <w:sz w:val="18"/>
                <w:szCs w:val="18"/>
              </w:rPr>
              <w:t>WebSocket broadcast gave instantaneous bid propagation; role-based access and wallet module validated</w:t>
            </w:r>
          </w:p>
        </w:tc>
        <w:tc>
          <w:tcPr>
            <w:tcW w:w="2200" w:type="dxa"/>
            <w:tcMar>
              <w:top w:w="90" w:type="dxa"/>
              <w:left w:w="90" w:type="dxa"/>
              <w:bottom w:w="90" w:type="dxa"/>
              <w:right w:w="90" w:type="dxa"/>
            </w:tcMar>
            <w:vAlign w:val="center"/>
          </w:tcPr>
          <w:p w14:paraId="58D1193B" w14:textId="77777777" w:rsidR="00CF35B0" w:rsidRDefault="00000000">
            <w:pPr>
              <w:spacing w:line="250" w:lineRule="auto"/>
            </w:pPr>
            <w:r>
              <w:rPr>
                <w:color w:val="000000"/>
                <w:sz w:val="18"/>
                <w:szCs w:val="18"/>
              </w:rPr>
              <w:t>Tested only under moderate load; no fraud-detection or distributed deployment</w:t>
            </w:r>
          </w:p>
        </w:tc>
      </w:tr>
      <w:tr w:rsidR="00CF35B0" w14:paraId="42D6F7D0" w14:textId="77777777">
        <w:tblPrEx>
          <w:tblCellMar>
            <w:top w:w="0" w:type="dxa"/>
            <w:bottom w:w="0" w:type="dxa"/>
          </w:tblCellMar>
        </w:tblPrEx>
        <w:tc>
          <w:tcPr>
            <w:tcW w:w="500" w:type="dxa"/>
            <w:tcMar>
              <w:top w:w="90" w:type="dxa"/>
              <w:left w:w="90" w:type="dxa"/>
              <w:bottom w:w="90" w:type="dxa"/>
              <w:right w:w="90" w:type="dxa"/>
            </w:tcMar>
            <w:vAlign w:val="center"/>
          </w:tcPr>
          <w:p w14:paraId="6CF73C11" w14:textId="77777777" w:rsidR="00CF35B0" w:rsidRDefault="00000000">
            <w:pPr>
              <w:spacing w:line="250" w:lineRule="auto"/>
            </w:pPr>
            <w:r>
              <w:rPr>
                <w:color w:val="000000"/>
                <w:sz w:val="18"/>
                <w:szCs w:val="18"/>
              </w:rPr>
              <w:t>6</w:t>
            </w:r>
          </w:p>
        </w:tc>
        <w:tc>
          <w:tcPr>
            <w:tcW w:w="1220" w:type="dxa"/>
            <w:tcMar>
              <w:top w:w="90" w:type="dxa"/>
              <w:left w:w="90" w:type="dxa"/>
              <w:bottom w:w="90" w:type="dxa"/>
              <w:right w:w="90" w:type="dxa"/>
            </w:tcMar>
            <w:vAlign w:val="center"/>
          </w:tcPr>
          <w:p w14:paraId="63C836F5" w14:textId="77777777" w:rsidR="00CF35B0" w:rsidRDefault="00000000">
            <w:pPr>
              <w:spacing w:line="250" w:lineRule="auto"/>
            </w:pPr>
            <w:r>
              <w:rPr>
                <w:color w:val="000000"/>
                <w:sz w:val="18"/>
                <w:szCs w:val="18"/>
              </w:rPr>
              <w:t>Karakostas, 2014 [6]</w:t>
            </w:r>
          </w:p>
        </w:tc>
        <w:tc>
          <w:tcPr>
            <w:tcW w:w="1400" w:type="dxa"/>
            <w:tcMar>
              <w:top w:w="90" w:type="dxa"/>
              <w:left w:w="90" w:type="dxa"/>
              <w:bottom w:w="90" w:type="dxa"/>
              <w:right w:w="90" w:type="dxa"/>
            </w:tcMar>
            <w:vAlign w:val="center"/>
          </w:tcPr>
          <w:p w14:paraId="12F14CAB" w14:textId="77777777" w:rsidR="00CF35B0" w:rsidRDefault="00000000">
            <w:pPr>
              <w:spacing w:line="250" w:lineRule="auto"/>
            </w:pPr>
            <w:r>
              <w:rPr>
                <w:color w:val="000000"/>
                <w:sz w:val="18"/>
                <w:szCs w:val="18"/>
              </w:rPr>
              <w:t>Poor scalability of thread-based auction servers</w:t>
            </w:r>
          </w:p>
        </w:tc>
        <w:tc>
          <w:tcPr>
            <w:tcW w:w="1400" w:type="dxa"/>
            <w:tcMar>
              <w:top w:w="90" w:type="dxa"/>
              <w:left w:w="90" w:type="dxa"/>
              <w:bottom w:w="90" w:type="dxa"/>
              <w:right w:w="90" w:type="dxa"/>
            </w:tcMar>
            <w:vAlign w:val="center"/>
          </w:tcPr>
          <w:p w14:paraId="4E16F2AB" w14:textId="77777777" w:rsidR="00CF35B0" w:rsidRDefault="00000000">
            <w:pPr>
              <w:spacing w:line="250" w:lineRule="auto"/>
            </w:pPr>
            <w:r>
              <w:rPr>
                <w:color w:val="000000"/>
                <w:sz w:val="18"/>
                <w:szCs w:val="18"/>
              </w:rPr>
              <w:t>Erlang/OTP soft real-time platform with Yaws web server</w:t>
            </w:r>
          </w:p>
        </w:tc>
        <w:tc>
          <w:tcPr>
            <w:tcW w:w="1420" w:type="dxa"/>
            <w:tcMar>
              <w:top w:w="90" w:type="dxa"/>
              <w:left w:w="90" w:type="dxa"/>
              <w:bottom w:w="90" w:type="dxa"/>
              <w:right w:w="90" w:type="dxa"/>
            </w:tcMar>
            <w:vAlign w:val="center"/>
          </w:tcPr>
          <w:p w14:paraId="61686CF3" w14:textId="77777777" w:rsidR="00CF35B0" w:rsidRDefault="00000000">
            <w:pPr>
              <w:spacing w:line="250" w:lineRule="auto"/>
            </w:pPr>
            <w:r>
              <w:rPr>
                <w:color w:val="000000"/>
                <w:sz w:val="18"/>
                <w:szCs w:val="18"/>
              </w:rPr>
              <w:t>Synthetic load benchmark (unique-bid and penny auction prototypes)</w:t>
            </w:r>
          </w:p>
        </w:tc>
        <w:tc>
          <w:tcPr>
            <w:tcW w:w="1700" w:type="dxa"/>
            <w:tcMar>
              <w:top w:w="90" w:type="dxa"/>
              <w:left w:w="90" w:type="dxa"/>
              <w:bottom w:w="90" w:type="dxa"/>
              <w:right w:w="90" w:type="dxa"/>
            </w:tcMar>
            <w:vAlign w:val="center"/>
          </w:tcPr>
          <w:p w14:paraId="7E289684" w14:textId="77777777" w:rsidR="00CF35B0" w:rsidRDefault="00000000">
            <w:pPr>
              <w:spacing w:line="250" w:lineRule="auto"/>
            </w:pPr>
            <w:r>
              <w:rPr>
                <w:color w:val="000000"/>
                <w:sz w:val="18"/>
                <w:szCs w:val="18"/>
              </w:rPr>
              <w:t>Scaled to hundreds of thousands of concurrent bidders using lightweight concurrent processes</w:t>
            </w:r>
          </w:p>
        </w:tc>
        <w:tc>
          <w:tcPr>
            <w:tcW w:w="2200" w:type="dxa"/>
            <w:tcMar>
              <w:top w:w="90" w:type="dxa"/>
              <w:left w:w="90" w:type="dxa"/>
              <w:bottom w:w="90" w:type="dxa"/>
              <w:right w:w="90" w:type="dxa"/>
            </w:tcMar>
            <w:vAlign w:val="center"/>
          </w:tcPr>
          <w:p w14:paraId="762349E6" w14:textId="77777777" w:rsidR="00CF35B0" w:rsidRDefault="00000000">
            <w:pPr>
              <w:spacing w:line="250" w:lineRule="auto"/>
            </w:pPr>
            <w:r>
              <w:rPr>
                <w:color w:val="000000"/>
                <w:sz w:val="18"/>
                <w:szCs w:val="18"/>
              </w:rPr>
              <w:t>Erlang/OTP stack has a steep learning curve; not integrated with modern cloud-native tooling</w:t>
            </w:r>
          </w:p>
        </w:tc>
      </w:tr>
      <w:tr w:rsidR="00CF35B0" w14:paraId="43B2B011" w14:textId="77777777">
        <w:tblPrEx>
          <w:tblCellMar>
            <w:top w:w="0" w:type="dxa"/>
            <w:bottom w:w="0" w:type="dxa"/>
          </w:tblCellMar>
        </w:tblPrEx>
        <w:tc>
          <w:tcPr>
            <w:tcW w:w="500" w:type="dxa"/>
            <w:tcMar>
              <w:top w:w="90" w:type="dxa"/>
              <w:left w:w="90" w:type="dxa"/>
              <w:bottom w:w="90" w:type="dxa"/>
              <w:right w:w="90" w:type="dxa"/>
            </w:tcMar>
            <w:vAlign w:val="center"/>
          </w:tcPr>
          <w:p w14:paraId="4BEDB8C2" w14:textId="77777777" w:rsidR="00CF35B0" w:rsidRDefault="00000000">
            <w:pPr>
              <w:spacing w:line="250" w:lineRule="auto"/>
            </w:pPr>
            <w:r>
              <w:rPr>
                <w:color w:val="000000"/>
                <w:sz w:val="18"/>
                <w:szCs w:val="18"/>
              </w:rPr>
              <w:t>7</w:t>
            </w:r>
          </w:p>
        </w:tc>
        <w:tc>
          <w:tcPr>
            <w:tcW w:w="1220" w:type="dxa"/>
            <w:tcMar>
              <w:top w:w="90" w:type="dxa"/>
              <w:left w:w="90" w:type="dxa"/>
              <w:bottom w:w="90" w:type="dxa"/>
              <w:right w:w="90" w:type="dxa"/>
            </w:tcMar>
            <w:vAlign w:val="center"/>
          </w:tcPr>
          <w:p w14:paraId="79D5CE47" w14:textId="77777777" w:rsidR="00CF35B0" w:rsidRDefault="00000000">
            <w:pPr>
              <w:spacing w:line="250" w:lineRule="auto"/>
            </w:pPr>
            <w:proofErr w:type="spellStart"/>
            <w:r>
              <w:rPr>
                <w:color w:val="000000"/>
                <w:sz w:val="18"/>
                <w:szCs w:val="18"/>
              </w:rPr>
              <w:t>Majadi</w:t>
            </w:r>
            <w:proofErr w:type="spellEnd"/>
            <w:r>
              <w:rPr>
                <w:color w:val="000000"/>
                <w:sz w:val="18"/>
                <w:szCs w:val="18"/>
              </w:rPr>
              <w:t>, Trevathan &amp; Bergmann, 2016 [7]</w:t>
            </w:r>
          </w:p>
        </w:tc>
        <w:tc>
          <w:tcPr>
            <w:tcW w:w="1400" w:type="dxa"/>
            <w:tcMar>
              <w:top w:w="90" w:type="dxa"/>
              <w:left w:w="90" w:type="dxa"/>
              <w:bottom w:w="90" w:type="dxa"/>
              <w:right w:w="90" w:type="dxa"/>
            </w:tcMar>
            <w:vAlign w:val="center"/>
          </w:tcPr>
          <w:p w14:paraId="1A5777E6" w14:textId="77777777" w:rsidR="00CF35B0" w:rsidRDefault="00000000">
            <w:pPr>
              <w:spacing w:line="250" w:lineRule="auto"/>
            </w:pPr>
            <w:r>
              <w:rPr>
                <w:color w:val="000000"/>
                <w:sz w:val="18"/>
                <w:szCs w:val="18"/>
              </w:rPr>
              <w:t>Difficulty of testing auction-fraud countermeasures safely</w:t>
            </w:r>
          </w:p>
        </w:tc>
        <w:tc>
          <w:tcPr>
            <w:tcW w:w="1400" w:type="dxa"/>
            <w:tcMar>
              <w:top w:w="90" w:type="dxa"/>
              <w:left w:w="90" w:type="dxa"/>
              <w:bottom w:w="90" w:type="dxa"/>
              <w:right w:w="90" w:type="dxa"/>
            </w:tcMar>
            <w:vAlign w:val="center"/>
          </w:tcPr>
          <w:p w14:paraId="289F8102" w14:textId="77777777" w:rsidR="00CF35B0" w:rsidRDefault="00000000">
            <w:pPr>
              <w:spacing w:line="250" w:lineRule="auto"/>
            </w:pPr>
            <w:r>
              <w:rPr>
                <w:color w:val="000000"/>
                <w:sz w:val="18"/>
                <w:szCs w:val="18"/>
              </w:rPr>
              <w:t>Custom auction server (</w:t>
            </w:r>
            <w:proofErr w:type="spellStart"/>
            <w:r>
              <w:rPr>
                <w:color w:val="000000"/>
                <w:sz w:val="18"/>
                <w:szCs w:val="18"/>
              </w:rPr>
              <w:t>uAuction</w:t>
            </w:r>
            <w:proofErr w:type="spellEnd"/>
            <w:r>
              <w:rPr>
                <w:color w:val="000000"/>
                <w:sz w:val="18"/>
                <w:szCs w:val="18"/>
              </w:rPr>
              <w:t>) built as a controlled research testbed</w:t>
            </w:r>
          </w:p>
        </w:tc>
        <w:tc>
          <w:tcPr>
            <w:tcW w:w="1420" w:type="dxa"/>
            <w:tcMar>
              <w:top w:w="90" w:type="dxa"/>
              <w:left w:w="90" w:type="dxa"/>
              <w:bottom w:w="90" w:type="dxa"/>
              <w:right w:w="90" w:type="dxa"/>
            </w:tcMar>
            <w:vAlign w:val="center"/>
          </w:tcPr>
          <w:p w14:paraId="0A24E406" w14:textId="77777777" w:rsidR="00CF35B0" w:rsidRDefault="00000000">
            <w:pPr>
              <w:spacing w:line="250" w:lineRule="auto"/>
            </w:pPr>
            <w:r>
              <w:rPr>
                <w:color w:val="000000"/>
                <w:sz w:val="18"/>
                <w:szCs w:val="18"/>
              </w:rPr>
              <w:t>Self-generated auction transaction logs</w:t>
            </w:r>
          </w:p>
        </w:tc>
        <w:tc>
          <w:tcPr>
            <w:tcW w:w="1700" w:type="dxa"/>
            <w:tcMar>
              <w:top w:w="90" w:type="dxa"/>
              <w:left w:w="90" w:type="dxa"/>
              <w:bottom w:w="90" w:type="dxa"/>
              <w:right w:w="90" w:type="dxa"/>
            </w:tcMar>
            <w:vAlign w:val="center"/>
          </w:tcPr>
          <w:p w14:paraId="444C79CB" w14:textId="77777777" w:rsidR="00CF35B0" w:rsidRDefault="00000000">
            <w:pPr>
              <w:spacing w:line="250" w:lineRule="auto"/>
            </w:pPr>
            <w:r>
              <w:rPr>
                <w:color w:val="000000"/>
                <w:sz w:val="18"/>
                <w:szCs w:val="18"/>
              </w:rPr>
              <w:t>Enabled controlled study of shill bidding and bid-shielding detection algorithms</w:t>
            </w:r>
          </w:p>
        </w:tc>
        <w:tc>
          <w:tcPr>
            <w:tcW w:w="2200" w:type="dxa"/>
            <w:tcMar>
              <w:top w:w="90" w:type="dxa"/>
              <w:left w:w="90" w:type="dxa"/>
              <w:bottom w:w="90" w:type="dxa"/>
              <w:right w:w="90" w:type="dxa"/>
            </w:tcMar>
            <w:vAlign w:val="center"/>
          </w:tcPr>
          <w:p w14:paraId="44E942C1" w14:textId="77777777" w:rsidR="00CF35B0" w:rsidRDefault="00000000">
            <w:pPr>
              <w:spacing w:line="250" w:lineRule="auto"/>
            </w:pPr>
            <w:r>
              <w:rPr>
                <w:color w:val="000000"/>
                <w:sz w:val="18"/>
                <w:szCs w:val="18"/>
              </w:rPr>
              <w:t>Research prototype only; not benchmarked for production-scale concurrency</w:t>
            </w:r>
          </w:p>
        </w:tc>
      </w:tr>
      <w:tr w:rsidR="00CF35B0" w14:paraId="6E510FBC" w14:textId="77777777">
        <w:tblPrEx>
          <w:tblCellMar>
            <w:top w:w="0" w:type="dxa"/>
            <w:bottom w:w="0" w:type="dxa"/>
          </w:tblCellMar>
        </w:tblPrEx>
        <w:tc>
          <w:tcPr>
            <w:tcW w:w="500" w:type="dxa"/>
            <w:tcMar>
              <w:top w:w="90" w:type="dxa"/>
              <w:left w:w="90" w:type="dxa"/>
              <w:bottom w:w="90" w:type="dxa"/>
              <w:right w:w="90" w:type="dxa"/>
            </w:tcMar>
            <w:vAlign w:val="center"/>
          </w:tcPr>
          <w:p w14:paraId="391960BB" w14:textId="77777777" w:rsidR="00CF35B0" w:rsidRDefault="00000000">
            <w:pPr>
              <w:spacing w:line="250" w:lineRule="auto"/>
            </w:pPr>
            <w:r>
              <w:rPr>
                <w:color w:val="000000"/>
                <w:sz w:val="18"/>
                <w:szCs w:val="18"/>
              </w:rPr>
              <w:t>8</w:t>
            </w:r>
          </w:p>
        </w:tc>
        <w:tc>
          <w:tcPr>
            <w:tcW w:w="1220" w:type="dxa"/>
            <w:tcMar>
              <w:top w:w="90" w:type="dxa"/>
              <w:left w:w="90" w:type="dxa"/>
              <w:bottom w:w="90" w:type="dxa"/>
              <w:right w:w="90" w:type="dxa"/>
            </w:tcMar>
            <w:vAlign w:val="center"/>
          </w:tcPr>
          <w:p w14:paraId="1DA0B6A2" w14:textId="77777777" w:rsidR="00CF35B0" w:rsidRDefault="00000000">
            <w:pPr>
              <w:spacing w:line="250" w:lineRule="auto"/>
            </w:pPr>
            <w:r>
              <w:rPr>
                <w:color w:val="000000"/>
                <w:sz w:val="18"/>
                <w:szCs w:val="18"/>
              </w:rPr>
              <w:t>Princy Reshma et al., 2023 [8]</w:t>
            </w:r>
          </w:p>
        </w:tc>
        <w:tc>
          <w:tcPr>
            <w:tcW w:w="1400" w:type="dxa"/>
            <w:tcMar>
              <w:top w:w="90" w:type="dxa"/>
              <w:left w:w="90" w:type="dxa"/>
              <w:bottom w:w="90" w:type="dxa"/>
              <w:right w:w="90" w:type="dxa"/>
            </w:tcMar>
            <w:vAlign w:val="center"/>
          </w:tcPr>
          <w:p w14:paraId="398B3061" w14:textId="77777777" w:rsidR="00CF35B0" w:rsidRDefault="00000000">
            <w:pPr>
              <w:spacing w:line="250" w:lineRule="auto"/>
            </w:pPr>
            <w:r>
              <w:rPr>
                <w:color w:val="000000"/>
                <w:sz w:val="18"/>
                <w:szCs w:val="18"/>
              </w:rPr>
              <w:t>Predicting bid progression and final auction price</w:t>
            </w:r>
          </w:p>
        </w:tc>
        <w:tc>
          <w:tcPr>
            <w:tcW w:w="1400" w:type="dxa"/>
            <w:tcMar>
              <w:top w:w="90" w:type="dxa"/>
              <w:left w:w="90" w:type="dxa"/>
              <w:bottom w:w="90" w:type="dxa"/>
              <w:right w:w="90" w:type="dxa"/>
            </w:tcMar>
            <w:vAlign w:val="center"/>
          </w:tcPr>
          <w:p w14:paraId="2BCBD6AD" w14:textId="77777777" w:rsidR="00CF35B0" w:rsidRDefault="00000000">
            <w:pPr>
              <w:spacing w:line="250" w:lineRule="auto"/>
            </w:pPr>
            <w:proofErr w:type="spellStart"/>
            <w:r>
              <w:rPr>
                <w:color w:val="000000"/>
                <w:sz w:val="18"/>
                <w:szCs w:val="18"/>
              </w:rPr>
              <w:t>XGBoost</w:t>
            </w:r>
            <w:proofErr w:type="spellEnd"/>
            <w:r>
              <w:rPr>
                <w:color w:val="000000"/>
                <w:sz w:val="18"/>
                <w:szCs w:val="18"/>
              </w:rPr>
              <w:t xml:space="preserve"> and linear regression with k-fold validation</w:t>
            </w:r>
          </w:p>
        </w:tc>
        <w:tc>
          <w:tcPr>
            <w:tcW w:w="1420" w:type="dxa"/>
            <w:tcMar>
              <w:top w:w="90" w:type="dxa"/>
              <w:left w:w="90" w:type="dxa"/>
              <w:bottom w:w="90" w:type="dxa"/>
              <w:right w:w="90" w:type="dxa"/>
            </w:tcMar>
            <w:vAlign w:val="center"/>
          </w:tcPr>
          <w:p w14:paraId="45F771BB" w14:textId="77777777" w:rsidR="00CF35B0" w:rsidRDefault="00000000">
            <w:pPr>
              <w:spacing w:line="250" w:lineRule="auto"/>
            </w:pPr>
            <w:r>
              <w:rPr>
                <w:color w:val="000000"/>
                <w:sz w:val="18"/>
                <w:szCs w:val="18"/>
              </w:rPr>
              <w:t>Certified public online-auction dataset</w:t>
            </w:r>
          </w:p>
        </w:tc>
        <w:tc>
          <w:tcPr>
            <w:tcW w:w="1700" w:type="dxa"/>
            <w:tcMar>
              <w:top w:w="90" w:type="dxa"/>
              <w:left w:w="90" w:type="dxa"/>
              <w:bottom w:w="90" w:type="dxa"/>
              <w:right w:w="90" w:type="dxa"/>
            </w:tcMar>
            <w:vAlign w:val="center"/>
          </w:tcPr>
          <w:p w14:paraId="40D2E654" w14:textId="77777777" w:rsidR="00CF35B0" w:rsidRDefault="00000000">
            <w:pPr>
              <w:spacing w:line="250" w:lineRule="auto"/>
            </w:pPr>
            <w:r>
              <w:rPr>
                <w:color w:val="000000"/>
                <w:sz w:val="18"/>
                <w:szCs w:val="18"/>
              </w:rPr>
              <w:t xml:space="preserve">ML models captured non-linear bidding patterns; </w:t>
            </w:r>
            <w:proofErr w:type="spellStart"/>
            <w:r>
              <w:rPr>
                <w:color w:val="000000"/>
                <w:sz w:val="18"/>
                <w:szCs w:val="18"/>
              </w:rPr>
              <w:t>XGBoost</w:t>
            </w:r>
            <w:proofErr w:type="spellEnd"/>
            <w:r>
              <w:rPr>
                <w:color w:val="000000"/>
                <w:sz w:val="18"/>
                <w:szCs w:val="18"/>
              </w:rPr>
              <w:t xml:space="preserve"> outperformed linear regression on RMSE</w:t>
            </w:r>
          </w:p>
        </w:tc>
        <w:tc>
          <w:tcPr>
            <w:tcW w:w="2200" w:type="dxa"/>
            <w:tcMar>
              <w:top w:w="90" w:type="dxa"/>
              <w:left w:w="90" w:type="dxa"/>
              <w:bottom w:w="90" w:type="dxa"/>
              <w:right w:w="90" w:type="dxa"/>
            </w:tcMar>
            <w:vAlign w:val="center"/>
          </w:tcPr>
          <w:p w14:paraId="75DB04B8" w14:textId="77777777" w:rsidR="00CF35B0" w:rsidRDefault="00000000">
            <w:pPr>
              <w:spacing w:line="250" w:lineRule="auto"/>
            </w:pPr>
            <w:r>
              <w:rPr>
                <w:color w:val="000000"/>
                <w:sz w:val="18"/>
                <w:szCs w:val="18"/>
              </w:rPr>
              <w:t>Outlier handling in bid data remains weak; model not tested in a live bidding loop</w:t>
            </w:r>
          </w:p>
        </w:tc>
      </w:tr>
      <w:tr w:rsidR="00CF35B0" w14:paraId="645AE098" w14:textId="77777777">
        <w:tblPrEx>
          <w:tblCellMar>
            <w:top w:w="0" w:type="dxa"/>
            <w:bottom w:w="0" w:type="dxa"/>
          </w:tblCellMar>
        </w:tblPrEx>
        <w:tc>
          <w:tcPr>
            <w:tcW w:w="500" w:type="dxa"/>
            <w:tcMar>
              <w:top w:w="90" w:type="dxa"/>
              <w:left w:w="90" w:type="dxa"/>
              <w:bottom w:w="90" w:type="dxa"/>
              <w:right w:w="90" w:type="dxa"/>
            </w:tcMar>
            <w:vAlign w:val="center"/>
          </w:tcPr>
          <w:p w14:paraId="36D59A1B" w14:textId="77777777" w:rsidR="00CF35B0" w:rsidRDefault="00000000">
            <w:pPr>
              <w:spacing w:line="250" w:lineRule="auto"/>
            </w:pPr>
            <w:r>
              <w:rPr>
                <w:color w:val="000000"/>
                <w:sz w:val="18"/>
                <w:szCs w:val="18"/>
              </w:rPr>
              <w:t>9</w:t>
            </w:r>
          </w:p>
        </w:tc>
        <w:tc>
          <w:tcPr>
            <w:tcW w:w="1220" w:type="dxa"/>
            <w:tcMar>
              <w:top w:w="90" w:type="dxa"/>
              <w:left w:w="90" w:type="dxa"/>
              <w:bottom w:w="90" w:type="dxa"/>
              <w:right w:w="90" w:type="dxa"/>
            </w:tcMar>
            <w:vAlign w:val="center"/>
          </w:tcPr>
          <w:p w14:paraId="3B85CC8F" w14:textId="77777777" w:rsidR="00CF35B0" w:rsidRDefault="00000000">
            <w:pPr>
              <w:spacing w:line="250" w:lineRule="auto"/>
            </w:pPr>
            <w:r>
              <w:rPr>
                <w:color w:val="000000"/>
                <w:sz w:val="18"/>
                <w:szCs w:val="18"/>
              </w:rPr>
              <w:t xml:space="preserve">Nikitha, Nalin &amp; </w:t>
            </w:r>
            <w:proofErr w:type="spellStart"/>
            <w:r>
              <w:rPr>
                <w:color w:val="000000"/>
                <w:sz w:val="18"/>
                <w:szCs w:val="18"/>
              </w:rPr>
              <w:t>Kalayselvi</w:t>
            </w:r>
            <w:proofErr w:type="spellEnd"/>
            <w:r>
              <w:rPr>
                <w:color w:val="000000"/>
                <w:sz w:val="18"/>
                <w:szCs w:val="18"/>
              </w:rPr>
              <w:t>, 2023 [9]</w:t>
            </w:r>
          </w:p>
        </w:tc>
        <w:tc>
          <w:tcPr>
            <w:tcW w:w="1400" w:type="dxa"/>
            <w:tcMar>
              <w:top w:w="90" w:type="dxa"/>
              <w:left w:w="90" w:type="dxa"/>
              <w:bottom w:w="90" w:type="dxa"/>
              <w:right w:w="90" w:type="dxa"/>
            </w:tcMar>
            <w:vAlign w:val="center"/>
          </w:tcPr>
          <w:p w14:paraId="1705601F" w14:textId="77777777" w:rsidR="00CF35B0" w:rsidRDefault="00000000">
            <w:pPr>
              <w:spacing w:line="250" w:lineRule="auto"/>
            </w:pPr>
            <w:r>
              <w:rPr>
                <w:color w:val="000000"/>
                <w:sz w:val="18"/>
                <w:szCs w:val="18"/>
              </w:rPr>
              <w:t>Fraud and tampering in online auction bid records</w:t>
            </w:r>
          </w:p>
        </w:tc>
        <w:tc>
          <w:tcPr>
            <w:tcW w:w="1400" w:type="dxa"/>
            <w:tcMar>
              <w:top w:w="90" w:type="dxa"/>
              <w:left w:w="90" w:type="dxa"/>
              <w:bottom w:w="90" w:type="dxa"/>
              <w:right w:w="90" w:type="dxa"/>
            </w:tcMar>
            <w:vAlign w:val="center"/>
          </w:tcPr>
          <w:p w14:paraId="44453464" w14:textId="77777777" w:rsidR="00CF35B0" w:rsidRDefault="00000000">
            <w:pPr>
              <w:spacing w:line="250" w:lineRule="auto"/>
            </w:pPr>
            <w:r>
              <w:rPr>
                <w:color w:val="000000"/>
                <w:sz w:val="18"/>
                <w:szCs w:val="18"/>
              </w:rPr>
              <w:t>Blockchain ledger with smart contracts and MetaMask-based verification</w:t>
            </w:r>
          </w:p>
        </w:tc>
        <w:tc>
          <w:tcPr>
            <w:tcW w:w="1420" w:type="dxa"/>
            <w:tcMar>
              <w:top w:w="90" w:type="dxa"/>
              <w:left w:w="90" w:type="dxa"/>
              <w:bottom w:w="90" w:type="dxa"/>
              <w:right w:w="90" w:type="dxa"/>
            </w:tcMar>
            <w:vAlign w:val="center"/>
          </w:tcPr>
          <w:p w14:paraId="2DF7C3D6" w14:textId="77777777" w:rsidR="00CF35B0" w:rsidRDefault="00000000">
            <w:pPr>
              <w:spacing w:line="250" w:lineRule="auto"/>
            </w:pPr>
            <w:r>
              <w:rPr>
                <w:color w:val="000000"/>
                <w:sz w:val="18"/>
                <w:szCs w:val="18"/>
              </w:rPr>
              <w:t>Ethereum test-network deployment</w:t>
            </w:r>
          </w:p>
        </w:tc>
        <w:tc>
          <w:tcPr>
            <w:tcW w:w="1700" w:type="dxa"/>
            <w:tcMar>
              <w:top w:w="90" w:type="dxa"/>
              <w:left w:w="90" w:type="dxa"/>
              <w:bottom w:w="90" w:type="dxa"/>
              <w:right w:w="90" w:type="dxa"/>
            </w:tcMar>
            <w:vAlign w:val="center"/>
          </w:tcPr>
          <w:p w14:paraId="1520A49D" w14:textId="77777777" w:rsidR="00CF35B0" w:rsidRDefault="00000000">
            <w:pPr>
              <w:spacing w:line="250" w:lineRule="auto"/>
            </w:pPr>
            <w:r>
              <w:rPr>
                <w:color w:val="000000"/>
                <w:sz w:val="18"/>
                <w:szCs w:val="18"/>
              </w:rPr>
              <w:t>100% bid-record integrity in tested scenarios; end-to-end auditability of bids</w:t>
            </w:r>
          </w:p>
        </w:tc>
        <w:tc>
          <w:tcPr>
            <w:tcW w:w="2200" w:type="dxa"/>
            <w:tcMar>
              <w:top w:w="90" w:type="dxa"/>
              <w:left w:w="90" w:type="dxa"/>
              <w:bottom w:w="90" w:type="dxa"/>
              <w:right w:w="90" w:type="dxa"/>
            </w:tcMar>
            <w:vAlign w:val="center"/>
          </w:tcPr>
          <w:p w14:paraId="2057D389" w14:textId="77777777" w:rsidR="00CF35B0" w:rsidRDefault="00000000">
            <w:pPr>
              <w:spacing w:line="250" w:lineRule="auto"/>
            </w:pPr>
            <w:r>
              <w:rPr>
                <w:color w:val="000000"/>
                <w:sz w:val="18"/>
                <w:szCs w:val="18"/>
              </w:rPr>
              <w:t>Gas fees and smart-contract complexity limit accessibility and throughput</w:t>
            </w:r>
          </w:p>
        </w:tc>
      </w:tr>
      <w:tr w:rsidR="00CF35B0" w14:paraId="6E4FC6C5" w14:textId="77777777">
        <w:tblPrEx>
          <w:tblCellMar>
            <w:top w:w="0" w:type="dxa"/>
            <w:bottom w:w="0" w:type="dxa"/>
          </w:tblCellMar>
        </w:tblPrEx>
        <w:tc>
          <w:tcPr>
            <w:tcW w:w="500" w:type="dxa"/>
            <w:tcMar>
              <w:top w:w="90" w:type="dxa"/>
              <w:left w:w="90" w:type="dxa"/>
              <w:bottom w:w="90" w:type="dxa"/>
              <w:right w:w="90" w:type="dxa"/>
            </w:tcMar>
            <w:vAlign w:val="center"/>
          </w:tcPr>
          <w:p w14:paraId="0D671F68" w14:textId="77777777" w:rsidR="00CF35B0" w:rsidRDefault="00000000">
            <w:pPr>
              <w:spacing w:line="250" w:lineRule="auto"/>
            </w:pPr>
            <w:r>
              <w:rPr>
                <w:color w:val="000000"/>
                <w:sz w:val="18"/>
                <w:szCs w:val="18"/>
              </w:rPr>
              <w:t>10</w:t>
            </w:r>
          </w:p>
        </w:tc>
        <w:tc>
          <w:tcPr>
            <w:tcW w:w="1220" w:type="dxa"/>
            <w:tcMar>
              <w:top w:w="90" w:type="dxa"/>
              <w:left w:w="90" w:type="dxa"/>
              <w:bottom w:w="90" w:type="dxa"/>
              <w:right w:w="90" w:type="dxa"/>
            </w:tcMar>
            <w:vAlign w:val="center"/>
          </w:tcPr>
          <w:p w14:paraId="482C99BE" w14:textId="77777777" w:rsidR="00CF35B0" w:rsidRDefault="00000000">
            <w:pPr>
              <w:spacing w:line="250" w:lineRule="auto"/>
            </w:pPr>
            <w:r>
              <w:rPr>
                <w:color w:val="000000"/>
                <w:sz w:val="18"/>
                <w:szCs w:val="18"/>
              </w:rPr>
              <w:t>Shi, de Laat, Grosso &amp; Zhao, 2023 [10]</w:t>
            </w:r>
          </w:p>
        </w:tc>
        <w:tc>
          <w:tcPr>
            <w:tcW w:w="1400" w:type="dxa"/>
            <w:tcMar>
              <w:top w:w="90" w:type="dxa"/>
              <w:left w:w="90" w:type="dxa"/>
              <w:bottom w:w="90" w:type="dxa"/>
              <w:right w:w="90" w:type="dxa"/>
            </w:tcMar>
            <w:vAlign w:val="center"/>
          </w:tcPr>
          <w:p w14:paraId="7212FA5E" w14:textId="77777777" w:rsidR="00CF35B0" w:rsidRDefault="00000000">
            <w:pPr>
              <w:spacing w:line="250" w:lineRule="auto"/>
            </w:pPr>
            <w:r>
              <w:rPr>
                <w:color w:val="000000"/>
                <w:sz w:val="18"/>
                <w:szCs w:val="18"/>
              </w:rPr>
              <w:t>Fragmented research on blockchain-auction integration</w:t>
            </w:r>
          </w:p>
        </w:tc>
        <w:tc>
          <w:tcPr>
            <w:tcW w:w="1400" w:type="dxa"/>
            <w:tcMar>
              <w:top w:w="90" w:type="dxa"/>
              <w:left w:w="90" w:type="dxa"/>
              <w:bottom w:w="90" w:type="dxa"/>
              <w:right w:w="90" w:type="dxa"/>
            </w:tcMar>
            <w:vAlign w:val="center"/>
          </w:tcPr>
          <w:p w14:paraId="5D1BDB03" w14:textId="77777777" w:rsidR="00CF35B0" w:rsidRDefault="00000000">
            <w:pPr>
              <w:spacing w:line="250" w:lineRule="auto"/>
            </w:pPr>
            <w:r>
              <w:rPr>
                <w:color w:val="000000"/>
                <w:sz w:val="18"/>
                <w:szCs w:val="18"/>
              </w:rPr>
              <w:t>Comprehensive taxonomy-based survey of blockchain-auction models</w:t>
            </w:r>
          </w:p>
        </w:tc>
        <w:tc>
          <w:tcPr>
            <w:tcW w:w="1420" w:type="dxa"/>
            <w:tcMar>
              <w:top w:w="90" w:type="dxa"/>
              <w:left w:w="90" w:type="dxa"/>
              <w:bottom w:w="90" w:type="dxa"/>
              <w:right w:w="90" w:type="dxa"/>
            </w:tcMar>
            <w:vAlign w:val="center"/>
          </w:tcPr>
          <w:p w14:paraId="10ADED77" w14:textId="77777777" w:rsidR="00CF35B0" w:rsidRDefault="00000000">
            <w:pPr>
              <w:spacing w:line="250" w:lineRule="auto"/>
            </w:pPr>
            <w:r>
              <w:rPr>
                <w:color w:val="000000"/>
                <w:sz w:val="18"/>
                <w:szCs w:val="18"/>
              </w:rPr>
              <w:t>Literature corpus across cloud, IoT, and e-commerce auctions</w:t>
            </w:r>
          </w:p>
        </w:tc>
        <w:tc>
          <w:tcPr>
            <w:tcW w:w="1700" w:type="dxa"/>
            <w:tcMar>
              <w:top w:w="90" w:type="dxa"/>
              <w:left w:w="90" w:type="dxa"/>
              <w:bottom w:w="90" w:type="dxa"/>
              <w:right w:w="90" w:type="dxa"/>
            </w:tcMar>
            <w:vAlign w:val="center"/>
          </w:tcPr>
          <w:p w14:paraId="7B7BACDE" w14:textId="77777777" w:rsidR="00CF35B0" w:rsidRDefault="00000000">
            <w:pPr>
              <w:spacing w:line="250" w:lineRule="auto"/>
            </w:pPr>
            <w:r>
              <w:rPr>
                <w:color w:val="000000"/>
                <w:sz w:val="18"/>
                <w:szCs w:val="18"/>
              </w:rPr>
              <w:t>Classifies integration patterns and identifies open challenges in privacy, latency, and scalability</w:t>
            </w:r>
          </w:p>
        </w:tc>
        <w:tc>
          <w:tcPr>
            <w:tcW w:w="2200" w:type="dxa"/>
            <w:tcMar>
              <w:top w:w="90" w:type="dxa"/>
              <w:left w:w="90" w:type="dxa"/>
              <w:bottom w:w="90" w:type="dxa"/>
              <w:right w:w="90" w:type="dxa"/>
            </w:tcMar>
            <w:vAlign w:val="center"/>
          </w:tcPr>
          <w:p w14:paraId="52A3BB28" w14:textId="77777777" w:rsidR="00CF35B0" w:rsidRDefault="00000000">
            <w:pPr>
              <w:spacing w:line="250" w:lineRule="auto"/>
            </w:pPr>
            <w:r>
              <w:rPr>
                <w:color w:val="000000"/>
                <w:sz w:val="18"/>
                <w:szCs w:val="18"/>
              </w:rPr>
              <w:t>Survey scope is broad; does not benchmark any single system end-to-end</w:t>
            </w:r>
          </w:p>
        </w:tc>
      </w:tr>
    </w:tbl>
    <w:p w14:paraId="05895A39" w14:textId="77777777" w:rsidR="00CF35B0" w:rsidRDefault="00000000">
      <w:pPr>
        <w:spacing w:before="120" w:after="200"/>
      </w:pPr>
      <w:r>
        <w:rPr>
          <w:i/>
          <w:iCs/>
          <w:sz w:val="19"/>
          <w:szCs w:val="19"/>
        </w:rPr>
        <w:t>Table 1: Comparative summary of the reviewed literature.</w:t>
      </w:r>
    </w:p>
    <w:p w14:paraId="0156EA7E" w14:textId="77777777" w:rsidR="00CF35B0" w:rsidRDefault="00000000">
      <w:pPr>
        <w:pStyle w:val="Heading2"/>
        <w:spacing w:before="260" w:after="120"/>
      </w:pPr>
      <w:r>
        <w:rPr>
          <w:b/>
          <w:bCs/>
          <w:color w:val="2E5395"/>
          <w:sz w:val="25"/>
          <w:szCs w:val="25"/>
        </w:rPr>
        <w:t>5.1 Comparison on Common Parameters</w:t>
      </w:r>
    </w:p>
    <w:p w14:paraId="7E6E9692" w14:textId="77777777" w:rsidR="00CF35B0" w:rsidRDefault="00000000">
      <w:pPr>
        <w:spacing w:after="160" w:line="300" w:lineRule="auto"/>
        <w:jc w:val="both"/>
      </w:pPr>
      <w:r>
        <w:lastRenderedPageBreak/>
        <w:t xml:space="preserve">Across the ten papers, three recurring evaluation parameters emerge: latency/real-time performance, scalability under concurrency, and security/trust. On latency, WebSocket-based architectures [5], [6] consistently outperform polling-based designs, with the Erlang/OTP approach [6] showing the clearest scalability advantage because it avoids thread-per-connection overhead entirely. On accuracy of bidding-related prediction, ensemble methods such as </w:t>
      </w:r>
      <w:proofErr w:type="spellStart"/>
      <w:r>
        <w:t>XGBoost</w:t>
      </w:r>
      <w:proofErr w:type="spellEnd"/>
      <w:r>
        <w:t xml:space="preserve"> [8] outperform simple linear models, mirroring the broader finding in ad-tech RTB [1], [3] that data-driven, adaptive methods beat static, rule-based bidding. On security, blockchain-based designs [9], [10] provide strong tamper-evidence and auditability but at the cost of transaction throughput and gas-fee overhead, a trade-off none of the surveyed papers fully resolves for a live, sub-second bidding context.</w:t>
      </w:r>
    </w:p>
    <w:p w14:paraId="73936516" w14:textId="77777777" w:rsidR="00CF35B0" w:rsidRDefault="00000000">
      <w:pPr>
        <w:pStyle w:val="Heading1"/>
        <w:pBdr>
          <w:bottom w:val="single" w:sz="8" w:space="4" w:color="1F3864"/>
        </w:pBdr>
        <w:spacing w:before="340" w:after="160"/>
      </w:pPr>
      <w:r>
        <w:rPr>
          <w:b/>
          <w:bCs/>
          <w:color w:val="1F3864"/>
          <w:sz w:val="30"/>
          <w:szCs w:val="30"/>
        </w:rPr>
        <w:t>6. Limitations and Challenges of Existing Approaches</w:t>
      </w:r>
    </w:p>
    <w:p w14:paraId="7899E0B8" w14:textId="77777777" w:rsidR="00CF35B0" w:rsidRDefault="00000000">
      <w:pPr>
        <w:pStyle w:val="ListParagraph"/>
        <w:numPr>
          <w:ilvl w:val="0"/>
          <w:numId w:val="1"/>
        </w:numPr>
        <w:spacing w:after="90" w:line="290" w:lineRule="auto"/>
      </w:pPr>
      <w:r>
        <w:t>Latency versus consistency trade-off: WebSocket-based systems [5], [6] achieve low broadcast latency but rely on optimistic assumptions about network ordering; none of the reviewed system-design papers formally resolve the race condition of two simultaneous highest bids under true millisecond-level concurrency.</w:t>
      </w:r>
    </w:p>
    <w:p w14:paraId="424EEA0E" w14:textId="77777777" w:rsidR="00CF35B0" w:rsidRDefault="00000000">
      <w:pPr>
        <w:pStyle w:val="ListParagraph"/>
        <w:numPr>
          <w:ilvl w:val="0"/>
          <w:numId w:val="1"/>
        </w:numPr>
        <w:spacing w:after="90" w:line="290" w:lineRule="auto"/>
      </w:pPr>
      <w:r>
        <w:t>Limited-scale evaluation: most implementation-focused papers [4], [5], [7] are tested under simulated or moderate load rather than production-scale concurrent users, so scalability claims are not always empirically validated at the level demonstrated by the Erlang/OTP study [6].</w:t>
      </w:r>
    </w:p>
    <w:p w14:paraId="6875F4A0" w14:textId="77777777" w:rsidR="00CF35B0" w:rsidRDefault="00000000">
      <w:pPr>
        <w:pStyle w:val="ListParagraph"/>
        <w:numPr>
          <w:ilvl w:val="0"/>
          <w:numId w:val="1"/>
        </w:numPr>
        <w:spacing w:after="90" w:line="290" w:lineRule="auto"/>
      </w:pPr>
      <w:r>
        <w:t>Fraud detection is reactive, not preventive: shill-bidding detection [7] and blockchain auditability [9] both detect or record fraud after the fact rather than preventing manipulation before a bid is accepted.</w:t>
      </w:r>
    </w:p>
    <w:p w14:paraId="10367A4A" w14:textId="77777777" w:rsidR="00CF35B0" w:rsidRDefault="00000000">
      <w:pPr>
        <w:pStyle w:val="ListParagraph"/>
        <w:numPr>
          <w:ilvl w:val="0"/>
          <w:numId w:val="1"/>
        </w:numPr>
        <w:spacing w:after="90" w:line="290" w:lineRule="auto"/>
      </w:pPr>
      <w:r>
        <w:t>Blockchain throughput and cost: smart-contract-based auction security [9], [10] introduces gas fees, transaction confirmation delay, and coding complexity that conflict with the sub-second responsiveness expected of real-time bidding.</w:t>
      </w:r>
    </w:p>
    <w:p w14:paraId="14FE2C65" w14:textId="77777777" w:rsidR="00CF35B0" w:rsidRDefault="00000000">
      <w:pPr>
        <w:pStyle w:val="ListParagraph"/>
        <w:numPr>
          <w:ilvl w:val="0"/>
          <w:numId w:val="1"/>
        </w:numPr>
        <w:spacing w:after="90" w:line="290" w:lineRule="auto"/>
      </w:pPr>
      <w:r>
        <w:t>Ad-tech RTB and consumer-auction research are largely disconnected: causal-inference and mechanism-design work [1], [2], [3] targets programmatic advertising exchanges, while system-architecture work [4], [5], [6], [7] targets consumer-facing marketplaces; predictive and mechanism-design techniques from the former are rarely applied to the latter.</w:t>
      </w:r>
    </w:p>
    <w:p w14:paraId="75F9EB6A" w14:textId="77777777" w:rsidR="00CF35B0" w:rsidRDefault="00000000">
      <w:pPr>
        <w:pStyle w:val="ListParagraph"/>
        <w:numPr>
          <w:ilvl w:val="0"/>
          <w:numId w:val="1"/>
        </w:numPr>
        <w:spacing w:after="90" w:line="290" w:lineRule="auto"/>
      </w:pPr>
      <w:r>
        <w:t>Predictive models are trained offline: the ML price-prediction approach [8] forecasts price trajectories from historical data but is not integrated into a live bidding loop that could recommend a bid in real time.</w:t>
      </w:r>
    </w:p>
    <w:p w14:paraId="0FC941B7" w14:textId="77777777" w:rsidR="00CF35B0" w:rsidRDefault="00000000">
      <w:pPr>
        <w:pStyle w:val="Heading1"/>
        <w:pBdr>
          <w:bottom w:val="single" w:sz="8" w:space="4" w:color="1F3864"/>
        </w:pBdr>
        <w:spacing w:before="340" w:after="160"/>
      </w:pPr>
      <w:r>
        <w:rPr>
          <w:b/>
          <w:bCs/>
          <w:color w:val="1F3864"/>
          <w:sz w:val="30"/>
          <w:szCs w:val="30"/>
        </w:rPr>
        <w:t>7. Research Gap Analysis</w:t>
      </w:r>
    </w:p>
    <w:p w14:paraId="36EAB4DD" w14:textId="77777777" w:rsidR="00CF35B0" w:rsidRDefault="00000000">
      <w:pPr>
        <w:spacing w:after="160" w:line="300" w:lineRule="auto"/>
        <w:jc w:val="both"/>
      </w:pPr>
      <w:r>
        <w:t xml:space="preserve">Synthesising Sections 5 and 6, the literature reveals a clear research gap: there is no reviewed system that simultaneously (a) guarantees millisecond-level, WebSocket-based bid propagation, (b) enforces strict server-side concurrency control so that simultaneous bids are deterministically and fairly resolved, (c) embeds real-time fraud detection rather than post-hoc auditing, and (d) remains lightweight enough to avoid the throughput and cost penalties of full blockchain settlement. System-architecture papers solve real-time communication </w:t>
      </w:r>
      <w:r>
        <w:lastRenderedPageBreak/>
        <w:t>but under-address concurrency correctness and fraud prevention; blockchain papers solve trust and tamper-evidence but at the cost of real-time performance; ad-tech RTB papers solve bidding optimisation and causal measurement but are not designed for consumer-facing live auctions. An online auction system with real-time bidding that integrates lightweight concurrency-safe bid arbitration with real-time analytics-driven fraud signals — without full on-chain settlement for every bid — remains an open design problem.</w:t>
      </w:r>
    </w:p>
    <w:p w14:paraId="652962A4" w14:textId="77777777" w:rsidR="00CF35B0" w:rsidRDefault="00000000">
      <w:pPr>
        <w:pStyle w:val="Heading1"/>
        <w:pBdr>
          <w:bottom w:val="single" w:sz="8" w:space="4" w:color="1F3864"/>
        </w:pBdr>
        <w:spacing w:before="340" w:after="160"/>
      </w:pPr>
      <w:r>
        <w:rPr>
          <w:b/>
          <w:bCs/>
          <w:color w:val="1F3864"/>
          <w:sz w:val="30"/>
          <w:szCs w:val="30"/>
        </w:rPr>
        <w:t>8. Future Research Directions</w:t>
      </w:r>
    </w:p>
    <w:p w14:paraId="7FBA1E0B" w14:textId="77777777" w:rsidR="00CF35B0" w:rsidRDefault="00000000">
      <w:pPr>
        <w:pStyle w:val="ListParagraph"/>
        <w:numPr>
          <w:ilvl w:val="0"/>
          <w:numId w:val="1"/>
        </w:numPr>
        <w:spacing w:after="90" w:line="290" w:lineRule="auto"/>
      </w:pPr>
      <w:r>
        <w:t>Hybrid consistency model: combine WebSocket-based real-time push [5], [6] with server-side optimistic-locking or timestamp-ordered conflict resolution to guarantee a single deterministic winner when bids arrive within the same millisecond window.</w:t>
      </w:r>
    </w:p>
    <w:p w14:paraId="221F7E7D" w14:textId="77777777" w:rsidR="00CF35B0" w:rsidRDefault="00000000">
      <w:pPr>
        <w:pStyle w:val="ListParagraph"/>
        <w:numPr>
          <w:ilvl w:val="0"/>
          <w:numId w:val="1"/>
        </w:numPr>
        <w:spacing w:after="90" w:line="290" w:lineRule="auto"/>
      </w:pPr>
      <w:r>
        <w:t>Lightweight trust layer: record only auction outcomes (not every bid) on a permissioned ledger, borrowing the tamper-evidence benefits of [9], [10] while avoiding per-bid gas costs and confirmation latency.</w:t>
      </w:r>
    </w:p>
    <w:p w14:paraId="2D4449DE" w14:textId="77777777" w:rsidR="00CF35B0" w:rsidRDefault="00000000">
      <w:pPr>
        <w:pStyle w:val="ListParagraph"/>
        <w:numPr>
          <w:ilvl w:val="0"/>
          <w:numId w:val="1"/>
        </w:numPr>
        <w:spacing w:after="90" w:line="290" w:lineRule="auto"/>
      </w:pPr>
      <w:r>
        <w:t>Real-time fraud scoring: adapt the offline Live Shill Score concept [7] into a streaming model that scores each incoming bid as it arrives, rather than only at auction close.</w:t>
      </w:r>
    </w:p>
    <w:p w14:paraId="2FD295ED" w14:textId="77777777" w:rsidR="00CF35B0" w:rsidRDefault="00000000">
      <w:pPr>
        <w:pStyle w:val="ListParagraph"/>
        <w:numPr>
          <w:ilvl w:val="0"/>
          <w:numId w:val="1"/>
        </w:numPr>
        <w:spacing w:after="90" w:line="290" w:lineRule="auto"/>
      </w:pPr>
      <w:r>
        <w:t>In-loop bid prediction: integrate the ensemble price-prediction approach of [8] as a live "suggested bid" or anomaly-flagging feature inside the bidding interface itself, rather than as an offline analytics step.</w:t>
      </w:r>
    </w:p>
    <w:p w14:paraId="3CCE7B7E" w14:textId="77777777" w:rsidR="00CF35B0" w:rsidRDefault="00000000">
      <w:pPr>
        <w:pStyle w:val="ListParagraph"/>
        <w:numPr>
          <w:ilvl w:val="0"/>
          <w:numId w:val="1"/>
        </w:numPr>
        <w:spacing w:after="90" w:line="290" w:lineRule="auto"/>
      </w:pPr>
      <w:r>
        <w:t>Cross-domain mechanism transfer: apply RTB-style causal-inference and mechanism-design techniques [1], [3] to consumer auction platforms to better measure the effect of platform design choices (e.g., reserve price, bid increment) on final outcomes.</w:t>
      </w:r>
    </w:p>
    <w:p w14:paraId="586454CF" w14:textId="77777777" w:rsidR="00CF35B0" w:rsidRDefault="00000000">
      <w:pPr>
        <w:pStyle w:val="ListParagraph"/>
        <w:numPr>
          <w:ilvl w:val="0"/>
          <w:numId w:val="1"/>
        </w:numPr>
        <w:spacing w:after="90" w:line="290" w:lineRule="auto"/>
      </w:pPr>
      <w:r>
        <w:t>Elastic concurrency architecture: evaluate lightweight, process-based concurrency models in the spirit of [6] on modern cloud-native runtimes (containers, serverless) to combine Erlang-style scalability with contemporary deployment practices.</w:t>
      </w:r>
    </w:p>
    <w:p w14:paraId="1C166058" w14:textId="77777777" w:rsidR="00CF35B0" w:rsidRDefault="00000000">
      <w:pPr>
        <w:pStyle w:val="Heading1"/>
        <w:pBdr>
          <w:bottom w:val="single" w:sz="8" w:space="4" w:color="1F3864"/>
        </w:pBdr>
        <w:spacing w:before="340" w:after="160"/>
      </w:pPr>
      <w:r>
        <w:rPr>
          <w:b/>
          <w:bCs/>
          <w:color w:val="1F3864"/>
          <w:sz w:val="30"/>
          <w:szCs w:val="30"/>
        </w:rPr>
        <w:t>9. Conclusion</w:t>
      </w:r>
    </w:p>
    <w:p w14:paraId="217ACCF6" w14:textId="77777777" w:rsidR="00CF35B0" w:rsidRDefault="00000000">
      <w:pPr>
        <w:spacing w:after="160" w:line="300" w:lineRule="auto"/>
        <w:jc w:val="both"/>
      </w:pPr>
      <w:r>
        <w:t>This literature survey reviewed ten papers spanning auction mechanism design, real-time system architecture, predictive analytics, and blockchain security, all relevant to the assigned problem statement of an online auction system with real-time bidding. The comparative analysis shows steady technical progress on real-time communication (</w:t>
      </w:r>
      <w:proofErr w:type="spellStart"/>
      <w:r>
        <w:t>WebSockets</w:t>
      </w:r>
      <w:proofErr w:type="spellEnd"/>
      <w:r>
        <w:t>), scalable concurrency (Erlang/OTP), predictive analytics (</w:t>
      </w:r>
      <w:proofErr w:type="spellStart"/>
      <w:r>
        <w:t>XGBoost</w:t>
      </w:r>
      <w:proofErr w:type="spellEnd"/>
      <w:r>
        <w:t>), and tamper-evident record-keeping (blockchain), but no single reviewed system unifies low-latency delivery, provably fair concurrency control, real-time fraud prevention, and lightweight trust guarantees. This gap directly motivates the design choices for the proposed system, which should combine a WebSocket-based real-time engine with deterministic server-side bid arbitration and a lightweight, streaming approach to fraud and trust rather than relying solely on either full blockchain settlement or purely reactive fraud auditing.</w:t>
      </w:r>
    </w:p>
    <w:p w14:paraId="7F15CDA8" w14:textId="77777777" w:rsidR="00CF35B0" w:rsidRDefault="00000000">
      <w:pPr>
        <w:pStyle w:val="Heading1"/>
        <w:pBdr>
          <w:bottom w:val="single" w:sz="8" w:space="4" w:color="1F3864"/>
        </w:pBdr>
        <w:spacing w:before="340" w:after="160"/>
      </w:pPr>
      <w:r>
        <w:rPr>
          <w:b/>
          <w:bCs/>
          <w:color w:val="1F3864"/>
          <w:sz w:val="30"/>
          <w:szCs w:val="30"/>
        </w:rPr>
        <w:t>References</w:t>
      </w:r>
    </w:p>
    <w:p w14:paraId="027FB380" w14:textId="77777777" w:rsidR="00CF35B0" w:rsidRDefault="00000000">
      <w:pPr>
        <w:spacing w:after="140" w:line="280" w:lineRule="auto"/>
        <w:ind w:left="540" w:hanging="540"/>
      </w:pPr>
      <w:r>
        <w:lastRenderedPageBreak/>
        <w:t>[1] C. Waisman, H. S. Nair, C. Carrion, and N. Xu, "Online Causal Inference for Advertising in Real-Time Bidding Auctions," arXiv:1908.08600, 2021.</w:t>
      </w:r>
    </w:p>
    <w:p w14:paraId="7815E693" w14:textId="77777777" w:rsidR="00CF35B0" w:rsidRDefault="00000000">
      <w:pPr>
        <w:spacing w:after="140" w:line="280" w:lineRule="auto"/>
        <w:ind w:left="540" w:hanging="540"/>
      </w:pPr>
      <w:r>
        <w:t>[2] X. Tang and H. Yu, "Towards Trustworthy AI-Empowered Real-Time Bidding for Online Advertisement Auctioning," arXiv:2210.07770, 2022.</w:t>
      </w:r>
    </w:p>
    <w:p w14:paraId="7B3B94A1" w14:textId="77777777" w:rsidR="00CF35B0" w:rsidRDefault="00000000">
      <w:pPr>
        <w:spacing w:after="140" w:line="280" w:lineRule="auto"/>
        <w:ind w:left="540" w:hanging="540"/>
      </w:pPr>
      <w:r>
        <w:t>[3] R. Qin, Y. Yuan, and F.-Y. Wang, "Improving Auction Mechanisms for Online Real-Time Bidding Advertising with a Two-Stage Resale Model," IFAC-</w:t>
      </w:r>
      <w:proofErr w:type="spellStart"/>
      <w:r>
        <w:t>PapersOnLine</w:t>
      </w:r>
      <w:proofErr w:type="spellEnd"/>
      <w:r>
        <w:t>, ScienceDirect, 2017.</w:t>
      </w:r>
    </w:p>
    <w:p w14:paraId="37C1E5BE" w14:textId="77777777" w:rsidR="00CF35B0" w:rsidRDefault="00000000">
      <w:pPr>
        <w:spacing w:after="140" w:line="280" w:lineRule="auto"/>
        <w:ind w:left="540" w:hanging="540"/>
      </w:pPr>
      <w:r>
        <w:t>[4] V. Tyagi, T. Chopra, T. Aneja, V. Jain, and C. Sharma, "Implementation of Online Bidding System with Live Auction Using Improvised Sorting Technique," International Journal of Engineering Applied Sciences and Technology, vol. 5, no. 1, pp. 382-388, 2020.</w:t>
      </w:r>
    </w:p>
    <w:p w14:paraId="24976A3D" w14:textId="77777777" w:rsidR="00CF35B0" w:rsidRDefault="00000000">
      <w:pPr>
        <w:spacing w:after="140" w:line="280" w:lineRule="auto"/>
        <w:ind w:left="540" w:hanging="540"/>
      </w:pPr>
      <w:r>
        <w:t xml:space="preserve">[5] S. </w:t>
      </w:r>
      <w:proofErr w:type="spellStart"/>
      <w:r>
        <w:t>Bodkhe</w:t>
      </w:r>
      <w:proofErr w:type="spellEnd"/>
      <w:r>
        <w:t>, M. Jadhav, and S. R. Sontakke, "Design and Implementation of a Real-Time Online Bidding System Using Spring Boot and React JS," International Journal of Advanced Research in Science, Communication and Technology (IJARSCT), vol. 5, no. 11, pp. 172-176, 2025.</w:t>
      </w:r>
    </w:p>
    <w:p w14:paraId="5FD3732F" w14:textId="77777777" w:rsidR="00CF35B0" w:rsidRDefault="00000000">
      <w:pPr>
        <w:spacing w:after="140" w:line="280" w:lineRule="auto"/>
        <w:ind w:left="540" w:hanging="540"/>
      </w:pPr>
      <w:r>
        <w:t>[6] B. Karakostas, "A Scalable Architecture for Concurrent Online Auctions," Concurrency and Computation: Practice and Experience, vol. 26, no. 3, pp. 841-850, 2014.</w:t>
      </w:r>
    </w:p>
    <w:p w14:paraId="4DF6C7C9" w14:textId="77777777" w:rsidR="00CF35B0" w:rsidRDefault="00000000">
      <w:pPr>
        <w:spacing w:after="140" w:line="280" w:lineRule="auto"/>
        <w:ind w:left="540" w:hanging="540"/>
      </w:pPr>
      <w:r>
        <w:t xml:space="preserve">[7] N. </w:t>
      </w:r>
      <w:proofErr w:type="spellStart"/>
      <w:r>
        <w:t>Majadi</w:t>
      </w:r>
      <w:proofErr w:type="spellEnd"/>
      <w:r>
        <w:t>, J. Trevathan, and N. W. Bergmann, "</w:t>
      </w:r>
      <w:proofErr w:type="spellStart"/>
      <w:r>
        <w:t>uAuction</w:t>
      </w:r>
      <w:proofErr w:type="spellEnd"/>
      <w:r>
        <w:t>: Analysis, Design, and Implementation of a Secure Online Auction System," in Proc. 2016 IEEE 14th Intl Conf. on Dependable, Autonomic and Secure Computing (DASC/</w:t>
      </w:r>
      <w:proofErr w:type="spellStart"/>
      <w:r>
        <w:t>PiCom</w:t>
      </w:r>
      <w:proofErr w:type="spellEnd"/>
      <w:r>
        <w:t>/</w:t>
      </w:r>
      <w:proofErr w:type="spellStart"/>
      <w:r>
        <w:t>DataCom</w:t>
      </w:r>
      <w:proofErr w:type="spellEnd"/>
      <w:r>
        <w:t>/</w:t>
      </w:r>
      <w:proofErr w:type="spellStart"/>
      <w:r>
        <w:t>CyberSciTech</w:t>
      </w:r>
      <w:proofErr w:type="spellEnd"/>
      <w:r>
        <w:t>), 2016, pp. 278-285.</w:t>
      </w:r>
    </w:p>
    <w:p w14:paraId="0F5B5193" w14:textId="77777777" w:rsidR="00CF35B0" w:rsidRDefault="00000000">
      <w:pPr>
        <w:spacing w:after="140" w:line="280" w:lineRule="auto"/>
        <w:ind w:left="540" w:hanging="540"/>
      </w:pPr>
      <w:r>
        <w:t xml:space="preserve">[8] R. Princy Reshma, S. Deepak, S. R. M. Tejeshwar, P. Deepika, and M. Saleem, "Online Auction Forecasting Precision: Real-Time Bidding Insights and Price Predictions with Machine Learning," FMDB Transactions on Sustainable </w:t>
      </w:r>
      <w:proofErr w:type="spellStart"/>
      <w:r>
        <w:t>Technoprise</w:t>
      </w:r>
      <w:proofErr w:type="spellEnd"/>
      <w:r>
        <w:t xml:space="preserve"> Letters, vol. 1, no. 2, pp. 106-122, 2023.</w:t>
      </w:r>
    </w:p>
    <w:p w14:paraId="3D5528ED" w14:textId="77777777" w:rsidR="00CF35B0" w:rsidRDefault="00000000">
      <w:pPr>
        <w:spacing w:after="140" w:line="280" w:lineRule="auto"/>
        <w:ind w:left="540" w:hanging="540"/>
      </w:pPr>
      <w:r>
        <w:t xml:space="preserve">[9] Nikitha K. B., Nalin K. S., and R. </w:t>
      </w:r>
      <w:proofErr w:type="spellStart"/>
      <w:r>
        <w:t>Kalayselvi</w:t>
      </w:r>
      <w:proofErr w:type="spellEnd"/>
      <w:r>
        <w:t>, "E-Auction Using Blockchain Mechanism," in Proc. 2023 2nd Intl Conf. on Advancements in Electrical, Electronics, Communication, Computing and Automation (ICAECA), Coimbatore, India, 2023, pp. 1-6.</w:t>
      </w:r>
    </w:p>
    <w:p w14:paraId="070FF29A" w14:textId="77777777" w:rsidR="00CF35B0" w:rsidRDefault="00000000">
      <w:pPr>
        <w:spacing w:after="140" w:line="280" w:lineRule="auto"/>
        <w:ind w:left="540" w:hanging="540"/>
      </w:pPr>
      <w:r>
        <w:t>[10] Z. Shi, C. de Laat, P. Grosso, and Z. Zhao, "Integration of Blockchain and Auction Models: A Survey, Some Applications, and Challenges," IEEE Communications Surveys &amp; Tutorials, vol. 25, no. 1, pp. 497-537, 2023.</w:t>
      </w:r>
    </w:p>
    <w:sectPr w:rsidR="00CF35B0">
      <w:headerReference w:type="default" r:id="rId8"/>
      <w:footerReference w:type="default" r:id="rId9"/>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AD000" w14:textId="77777777" w:rsidR="0080076E" w:rsidRDefault="0080076E">
      <w:r>
        <w:separator/>
      </w:r>
    </w:p>
  </w:endnote>
  <w:endnote w:type="continuationSeparator" w:id="0">
    <w:p w14:paraId="23FABCCE" w14:textId="77777777" w:rsidR="0080076E" w:rsidRDefault="00800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799A5" w14:textId="77777777" w:rsidR="00CF35B0"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E87FFD">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E87FFD">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3361E" w14:textId="77777777" w:rsidR="0080076E" w:rsidRDefault="0080076E">
      <w:r>
        <w:separator/>
      </w:r>
    </w:p>
  </w:footnote>
  <w:footnote w:type="continuationSeparator" w:id="0">
    <w:p w14:paraId="736BAFE9" w14:textId="77777777" w:rsidR="0080076E" w:rsidRDefault="00800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12C50" w14:textId="77777777" w:rsidR="00CF35B0" w:rsidRDefault="00000000">
    <w:pPr>
      <w:pBdr>
        <w:bottom w:val="single" w:sz="4" w:space="4" w:color="AAAAAA"/>
      </w:pBdr>
      <w:jc w:val="right"/>
    </w:pPr>
    <w:r>
      <w:rPr>
        <w:color w:val="666666"/>
        <w:sz w:val="16"/>
        <w:szCs w:val="16"/>
      </w:rPr>
      <w:t>Literature Survey — Online Auction System with Real-Time Bidding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A0E2A"/>
    <w:multiLevelType w:val="hybridMultilevel"/>
    <w:tmpl w:val="D9D2FA18"/>
    <w:lvl w:ilvl="0" w:tplc="0414BB38">
      <w:start w:val="1"/>
      <w:numFmt w:val="bullet"/>
      <w:lvlText w:val="●"/>
      <w:lvlJc w:val="left"/>
      <w:pPr>
        <w:ind w:left="720" w:hanging="360"/>
      </w:pPr>
    </w:lvl>
    <w:lvl w:ilvl="1" w:tplc="D1A2BD8A">
      <w:start w:val="1"/>
      <w:numFmt w:val="bullet"/>
      <w:lvlText w:val="○"/>
      <w:lvlJc w:val="left"/>
      <w:pPr>
        <w:ind w:left="1440" w:hanging="360"/>
      </w:pPr>
    </w:lvl>
    <w:lvl w:ilvl="2" w:tplc="ED2C52EE">
      <w:start w:val="1"/>
      <w:numFmt w:val="bullet"/>
      <w:lvlText w:val="■"/>
      <w:lvlJc w:val="left"/>
      <w:pPr>
        <w:ind w:left="2160" w:hanging="360"/>
      </w:pPr>
    </w:lvl>
    <w:lvl w:ilvl="3" w:tplc="CE2E5460">
      <w:start w:val="1"/>
      <w:numFmt w:val="bullet"/>
      <w:lvlText w:val="●"/>
      <w:lvlJc w:val="left"/>
      <w:pPr>
        <w:ind w:left="2880" w:hanging="360"/>
      </w:pPr>
    </w:lvl>
    <w:lvl w:ilvl="4" w:tplc="47F88634">
      <w:start w:val="1"/>
      <w:numFmt w:val="bullet"/>
      <w:lvlText w:val="○"/>
      <w:lvlJc w:val="left"/>
      <w:pPr>
        <w:ind w:left="3600" w:hanging="360"/>
      </w:pPr>
    </w:lvl>
    <w:lvl w:ilvl="5" w:tplc="083C5DF0">
      <w:start w:val="1"/>
      <w:numFmt w:val="bullet"/>
      <w:lvlText w:val="■"/>
      <w:lvlJc w:val="left"/>
      <w:pPr>
        <w:ind w:left="4320" w:hanging="360"/>
      </w:pPr>
    </w:lvl>
    <w:lvl w:ilvl="6" w:tplc="22FEE4F0">
      <w:start w:val="1"/>
      <w:numFmt w:val="bullet"/>
      <w:lvlText w:val="●"/>
      <w:lvlJc w:val="left"/>
      <w:pPr>
        <w:ind w:left="5040" w:hanging="360"/>
      </w:pPr>
    </w:lvl>
    <w:lvl w:ilvl="7" w:tplc="5B72B0CC">
      <w:start w:val="1"/>
      <w:numFmt w:val="bullet"/>
      <w:lvlText w:val="●"/>
      <w:lvlJc w:val="left"/>
      <w:pPr>
        <w:ind w:left="5760" w:hanging="360"/>
      </w:pPr>
    </w:lvl>
    <w:lvl w:ilvl="8" w:tplc="3992E3F6">
      <w:start w:val="1"/>
      <w:numFmt w:val="bullet"/>
      <w:lvlText w:val="●"/>
      <w:lvlJc w:val="left"/>
      <w:pPr>
        <w:ind w:left="6480" w:hanging="360"/>
      </w:pPr>
    </w:lvl>
  </w:abstractNum>
  <w:num w:numId="1" w16cid:durableId="2835807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5B0"/>
    <w:rsid w:val="0080076E"/>
    <w:rsid w:val="008D4822"/>
    <w:rsid w:val="00A66DEE"/>
    <w:rsid w:val="00B43FE1"/>
    <w:rsid w:val="00CF35B0"/>
    <w:rsid w:val="00E87F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AB390"/>
  <w15:docId w15:val="{20D5E8CB-3400-4AA0-8BF0-ED87379A4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3619</Words>
  <Characters>20629</Characters>
  <Application>Microsoft Office Word</Application>
  <DocSecurity>0</DocSecurity>
  <Lines>171</Lines>
  <Paragraphs>48</Paragraphs>
  <ScaleCrop>false</ScaleCrop>
  <Company/>
  <LinksUpToDate>false</LinksUpToDate>
  <CharactersWithSpaces>24200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amirtha s</cp:lastModifiedBy>
  <cp:revision>4</cp:revision>
  <dcterms:created xsi:type="dcterms:W3CDTF">2026-08-21T08:56:00Z</dcterms:created>
  <dcterms:modified xsi:type="dcterms:W3CDTF">2026-08-21T09:03:00Z</dcterms:modified>
</cp:coreProperties>
</file>