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1F4E79"/>
          <w:sz w:val="28"/>
        </w:rPr>
        <w:t>SURAT PERMOHONAN AKSES DATA/API</w:t>
      </w:r>
    </w:p>
    <w:tbl>
      <w:tblPr>
        <w:tblStyle w:val="TableGrid"/>
        <w:tblW w:type="auto" w:w="0"/>
        <w:tblLook w:firstColumn="1" w:firstRow="1" w:lastColumn="0" w:lastRow="0" w:noHBand="0" w:noVBand="1" w:val="04A0"/>
      </w:tblPr>
      <w:tblGrid>
        <w:gridCol w:w="4680"/>
        <w:gridCol w:w="4680"/>
      </w:tblGrid>
      <w:tr>
        <w:tc>
          <w:tcPr>
            <w:tcW w:type="dxa" w:w="1944"/>
            <w:shd w:fill="E8EEF5"/>
          </w:tcPr>
          <w:p>
            <w:pPr>
              <w:spacing w:after="40"/>
            </w:pPr>
            <w:r>
              <w:rPr>
                <w:rFonts w:ascii="Calibri" w:hAnsi="Calibri"/>
                <w:b w:val="0"/>
                <w:sz w:val="20"/>
              </w:rPr>
              <w:t>Nomor</w:t>
            </w:r>
          </w:p>
        </w:tc>
        <w:tc>
          <w:tcPr>
            <w:tcW w:type="dxa" w:w="7416"/>
          </w:tcPr>
          <w:p>
            <w:pPr>
              <w:spacing w:after="40"/>
            </w:pPr>
            <w:r>
              <w:rPr>
                <w:rFonts w:ascii="Calibri" w:hAnsi="Calibri"/>
                <w:b w:val="0"/>
                <w:sz w:val="20"/>
              </w:rPr>
              <w:t>006/LID/IX/2026</w:t>
            </w:r>
          </w:p>
        </w:tc>
      </w:tr>
      <w:tr>
        <w:tc>
          <w:tcPr>
            <w:tcW w:type="dxa" w:w="1944"/>
            <w:shd w:fill="E8EEF5"/>
          </w:tcPr>
          <w:p>
            <w:pPr>
              <w:spacing w:after="40"/>
            </w:pPr>
            <w:r>
              <w:rPr>
                <w:rFonts w:ascii="Calibri" w:hAnsi="Calibri"/>
                <w:b w:val="0"/>
                <w:sz w:val="20"/>
              </w:rPr>
              <w:t>Lampiran</w:t>
            </w:r>
          </w:p>
        </w:tc>
        <w:tc>
          <w:tcPr>
            <w:tcW w:type="dxa" w:w="7416"/>
          </w:tcPr>
          <w:p>
            <w:pPr>
              <w:spacing w:after="40"/>
            </w:pPr>
            <w:r>
              <w:rPr>
                <w:rFonts w:ascii="Calibri" w:hAnsi="Calibri"/>
                <w:b w:val="0"/>
                <w:sz w:val="20"/>
              </w:rPr>
              <w:t>1 (satu) berkas - Profil singkat dan rancangan kebutuhan data</w:t>
            </w:r>
          </w:p>
        </w:tc>
      </w:tr>
      <w:tr>
        <w:tc>
          <w:tcPr>
            <w:tcW w:type="dxa" w:w="1944"/>
            <w:shd w:fill="E8EEF5"/>
          </w:tcPr>
          <w:p>
            <w:pPr>
              <w:spacing w:after="40"/>
            </w:pPr>
            <w:r>
              <w:rPr>
                <w:rFonts w:ascii="Calibri" w:hAnsi="Calibri"/>
                <w:b w:val="0"/>
                <w:sz w:val="20"/>
              </w:rPr>
              <w:t>Perihal</w:t>
            </w:r>
          </w:p>
        </w:tc>
        <w:tc>
          <w:tcPr>
            <w:tcW w:type="dxa" w:w="7416"/>
          </w:tcPr>
          <w:p>
            <w:pPr>
              <w:spacing w:after="40"/>
            </w:pPr>
            <w:r>
              <w:rPr>
                <w:rFonts w:ascii="Calibri" w:hAnsi="Calibri"/>
                <w:b w:val="0"/>
                <w:sz w:val="20"/>
              </w:rPr>
              <w:t>Permohonan Akses Data Legislatif Publik untuk Lex-DSS</w:t>
            </w:r>
          </w:p>
        </w:tc>
      </w:tr>
      <w:tr>
        <w:tc>
          <w:tcPr>
            <w:tcW w:type="dxa" w:w="1944"/>
            <w:shd w:fill="E8EEF5"/>
          </w:tcPr>
          <w:p>
            <w:pPr>
              <w:spacing w:after="40"/>
            </w:pPr>
            <w:r>
              <w:rPr>
                <w:rFonts w:ascii="Calibri" w:hAnsi="Calibri"/>
                <w:b w:val="0"/>
                <w:sz w:val="20"/>
              </w:rPr>
              <w:t>Tanggal</w:t>
            </w:r>
          </w:p>
        </w:tc>
        <w:tc>
          <w:tcPr>
            <w:tcW w:type="dxa" w:w="7416"/>
          </w:tcPr>
          <w:p>
            <w:pPr>
              <w:spacing w:after="40"/>
            </w:pPr>
            <w:r>
              <w:rPr>
                <w:rFonts w:ascii="Calibri" w:hAnsi="Calibri"/>
                <w:b w:val="0"/>
                <w:sz w:val="20"/>
              </w:rPr>
              <w:t>29 September 2026</w:t>
            </w:r>
          </w:p>
        </w:tc>
      </w:tr>
    </w:tbl>
    <w:p>
      <w:pPr>
        <w:spacing w:before="0" w:after="40" w:line="240" w:lineRule="auto"/>
        <w:ind w:left="0"/>
      </w:pPr>
      <w:r>
        <w:rPr>
          <w:rFonts w:ascii="Calibri" w:hAnsi="Calibri"/>
          <w:b w:val="0"/>
          <w:sz w:val="20"/>
        </w:rPr>
      </w:r>
    </w:p>
    <w:p>
      <w:pPr>
        <w:spacing w:before="0" w:after="0" w:line="240" w:lineRule="auto"/>
        <w:ind w:left="0"/>
      </w:pPr>
      <w:r>
        <w:rPr>
          <w:rFonts w:ascii="Calibri" w:hAnsi="Calibri"/>
          <w:b w:val="0"/>
          <w:sz w:val="20"/>
        </w:rPr>
        <w:t>Yth. Sekretaris Jenderal Dewan Perwakilan Rakyat Republik Indonesia</w:t>
      </w:r>
    </w:p>
    <w:p>
      <w:pPr>
        <w:spacing w:before="0" w:after="0" w:line="240" w:lineRule="auto"/>
        <w:ind w:left="0"/>
      </w:pPr>
      <w:r>
        <w:rPr>
          <w:rFonts w:ascii="Calibri" w:hAnsi="Calibri"/>
          <w:b w:val="0"/>
          <w:sz w:val="20"/>
        </w:rPr>
        <w:t>c.q. PPID DPR RI dan Unit Pengelola Data Persidangan</w:t>
      </w:r>
    </w:p>
    <w:p>
      <w:pPr>
        <w:spacing w:before="0" w:after="0" w:line="240" w:lineRule="auto"/>
        <w:ind w:left="0"/>
      </w:pPr>
      <w:r>
        <w:rPr>
          <w:rFonts w:ascii="Calibri" w:hAnsi="Calibri"/>
          <w:b w:val="0"/>
          <w:sz w:val="20"/>
        </w:rPr>
        <w:t>di Jakarta</w:t>
      </w:r>
    </w:p>
    <w:p>
      <w:pPr>
        <w:spacing w:before="0" w:after="40" w:line="240" w:lineRule="auto"/>
        <w:ind w:left="0"/>
      </w:pPr>
      <w:r>
        <w:rPr>
          <w:rFonts w:ascii="Calibri" w:hAnsi="Calibri"/>
          <w:b w:val="0"/>
          <w:sz w:val="20"/>
        </w:rPr>
      </w:r>
    </w:p>
    <w:p>
      <w:pPr>
        <w:spacing w:before="0" w:after="120" w:line="240" w:lineRule="auto"/>
        <w:ind w:left="0"/>
      </w:pPr>
      <w:r>
        <w:rPr>
          <w:rFonts w:ascii="Calibri" w:hAnsi="Calibri"/>
          <w:b w:val="0"/>
          <w:sz w:val="20"/>
        </w:rPr>
        <w:t>Dengan hormat,</w:t>
      </w:r>
    </w:p>
    <w:p>
      <w:pPr>
        <w:spacing w:before="0" w:after="120" w:line="240" w:lineRule="auto"/>
        <w:ind w:left="0"/>
      </w:pPr>
      <w:r>
        <w:rPr>
          <w:rFonts w:ascii="Calibri" w:hAnsi="Calibri"/>
          <w:b w:val="0"/>
          <w:sz w:val="20"/>
        </w:rPr>
        <w:t>Kami dari Lex Integrity x Lex-DSS sedang mengembangkan Lex-DSS, sistem pendukung keputusan hukum untuk membantu penelusuran, analisis, dan pemantauan informasi hukum secara akuntabel. Sehubungan dengan hal tersebut, kami memohon arahan dan kesempatan untuk memperoleh akses integrasi data/API resmi.</w:t>
      </w:r>
    </w:p>
    <w:p>
      <w:pPr>
        <w:spacing w:before="0" w:after="120" w:line="240" w:lineRule="auto"/>
        <w:ind w:left="0"/>
      </w:pPr>
      <w:r>
        <w:rPr>
          <w:rFonts w:ascii="Calibri" w:hAnsi="Calibri"/>
          <w:b w:val="0"/>
          <w:sz w:val="20"/>
        </w:rPr>
        <w:t>Akses yang kami mohon meliputi metadata RUU, Prolegnas, tahapan pembahasan, agenda, dokumen publik, serta dokumentasi API atau format data yang tersedia. Data tersebut akan dipergunakan secara terbatas untuk modul Legislative Tracker, sesuai kewenangan akses dan ketentuan yang ditetapkan oleh instansi Bapak/Ibu.</w:t>
      </w:r>
    </w:p>
    <w:p>
      <w:pPr>
        <w:spacing w:before="0" w:after="120" w:line="240" w:lineRule="auto"/>
        <w:ind w:left="0"/>
      </w:pPr>
      <w:r>
        <w:rPr>
          <w:rFonts w:ascii="Calibri" w:hAnsi="Calibri"/>
          <w:b w:val="0"/>
          <w:sz w:val="20"/>
        </w:rPr>
        <w:t>Kami bersedia memenuhi proses verifikasi, menandatangani perjanjian kerja sama atau perjanjian pemanfaatan data, menggunakan sandbox terlebih dahulu, serta menerapkan pengamanan berikut:</w:t>
      </w:r>
    </w:p>
    <w:p>
      <w:pPr>
        <w:pStyle w:val="ListBullet"/>
        <w:spacing w:before="0" w:after="60" w:line="240" w:lineRule="auto"/>
        <w:ind w:left="360"/>
      </w:pPr>
      <w:r>
        <w:rPr>
          <w:rFonts w:ascii="Calibri" w:hAnsi="Calibri"/>
          <w:b w:val="0"/>
          <w:sz w:val="20"/>
        </w:rPr>
        <w:t>akses TLS dan penyimpanan terenkripsi;</w:t>
      </w:r>
    </w:p>
    <w:p>
      <w:pPr>
        <w:pStyle w:val="ListBullet"/>
        <w:spacing w:before="0" w:after="60" w:line="240" w:lineRule="auto"/>
        <w:ind w:left="360"/>
      </w:pPr>
      <w:r>
        <w:rPr>
          <w:rFonts w:ascii="Calibri" w:hAnsi="Calibri"/>
          <w:b w:val="0"/>
          <w:sz w:val="20"/>
        </w:rPr>
        <w:t>role-based access control, audit log, dan pembatasan hak akses;</w:t>
      </w:r>
    </w:p>
    <w:p>
      <w:pPr>
        <w:pStyle w:val="ListBullet"/>
        <w:spacing w:before="0" w:after="60" w:line="240" w:lineRule="auto"/>
        <w:ind w:left="360"/>
      </w:pPr>
      <w:r>
        <w:rPr>
          <w:rFonts w:ascii="Calibri" w:hAnsi="Calibri"/>
          <w:b w:val="0"/>
          <w:sz w:val="20"/>
        </w:rPr>
        <w:t>pembatasan tujuan, retensi data, dan penghapusan sesuai ketentuan;</w:t>
      </w:r>
    </w:p>
    <w:p>
      <w:pPr>
        <w:pStyle w:val="ListBullet"/>
        <w:spacing w:before="0" w:after="60" w:line="240" w:lineRule="auto"/>
        <w:ind w:left="360"/>
      </w:pPr>
      <w:r>
        <w:rPr>
          <w:rFonts w:ascii="Calibri" w:hAnsi="Calibri"/>
          <w:b w:val="0"/>
          <w:sz w:val="20"/>
        </w:rPr>
        <w:t>tidak menggunakan kredensial pribadi, tidak melakukan scraping portal login, dan tidak menyebarluaskan data nonpublik.</w:t>
      </w:r>
    </w:p>
    <w:p>
      <w:pPr>
        <w:spacing w:before="0" w:after="120" w:line="240" w:lineRule="auto"/>
        <w:ind w:left="0"/>
      </w:pPr>
      <w:r>
        <w:rPr>
          <w:rFonts w:ascii="Calibri" w:hAnsi="Calibri"/>
          <w:b w:val="0"/>
          <w:sz w:val="20"/>
        </w:rPr>
        <w:t>Kami juga memohon informasi mengenai prosedur permohonan, daftar dokumen, skema autentikasi, rate limit, format data, kontak PIC teknis, serta persyaratan keamanan dan kepatuhan yang perlu kami penuhi.</w:t>
      </w:r>
    </w:p>
    <w:p>
      <w:pPr>
        <w:spacing w:before="0" w:after="120" w:line="240" w:lineRule="auto"/>
        <w:ind w:left="0"/>
      </w:pPr>
      <w:r>
        <w:rPr>
          <w:rFonts w:ascii="Calibri" w:hAnsi="Calibri"/>
          <w:b w:val="0"/>
          <w:sz w:val="20"/>
        </w:rPr>
        <w:t>Demikian permohonan ini kami sampaikan. Atas perhatian dan arahan Bapak/Ibu, kami ucapkan terima kasih.</w:t>
      </w:r>
    </w:p>
    <w:p>
      <w:pPr>
        <w:spacing w:before="0" w:after="160" w:line="240" w:lineRule="auto"/>
        <w:ind w:left="0"/>
      </w:pPr>
      <w:r>
        <w:rPr>
          <w:rFonts w:ascii="Calibri" w:hAnsi="Calibri"/>
          <w:b w:val="0"/>
          <w:sz w:val="20"/>
        </w:rPr>
      </w:r>
    </w:p>
    <w:tbl>
      <w:tblPr>
        <w:tblW w:type="auto" w:w="0"/>
        <w:tblLayout w:type="fixed"/>
        <w:tblLook w:firstColumn="1" w:firstRow="1" w:lastColumn="0" w:lastRow="0" w:noHBand="0" w:noVBand="1" w:val="04A0"/>
      </w:tblPr>
      <w:tblGrid>
        <w:gridCol w:w="4680"/>
        <w:gridCol w:w="4680"/>
      </w:tblGrid>
      <w:tr>
        <w:tc>
          <w:tcPr>
            <w:tcW w:type="dxa" w:w="4680"/>
          </w:tcPr>
          <w:p/>
        </w:tc>
        <w:tc>
          <w:tcPr>
            <w:tcW w:type="dxa" w:w="4680"/>
          </w:tcPr>
          <w:p>
            <w:r>
              <w:rPr>
                <w:rFonts w:ascii="Calibri" w:hAnsi="Calibri"/>
                <w:sz w:val="20"/>
              </w:rPr>
              <w:t>Hormat kami,</w:t>
            </w:r>
          </w:p>
          <w:p>
            <w:pPr>
              <w:spacing w:before="40" w:after="40"/>
              <w:jc w:val="left"/>
            </w:pPr>
            <w:r>
              <w:drawing>
                <wp:inline xmlns:a="http://schemas.openxmlformats.org/drawingml/2006/main" xmlns:pic="http://schemas.openxmlformats.org/drawingml/2006/picture">
                  <wp:extent cx="868680" cy="329184"/>
                  <wp:docPr id="1" name="Picture 1"/>
                  <wp:cNvGraphicFramePr>
                    <a:graphicFrameLocks noChangeAspect="1"/>
                  </wp:cNvGraphicFramePr>
                  <a:graphic>
                    <a:graphicData uri="http://schemas.openxmlformats.org/drawingml/2006/picture">
                      <pic:pic>
                        <pic:nvPicPr>
                          <pic:cNvPr id="0" name="parafku-removebg-preview (1).png"/>
                          <pic:cNvPicPr/>
                        </pic:nvPicPr>
                        <pic:blipFill>
                          <a:blip r:embed="rId11"/>
                          <a:stretch>
                            <a:fillRect/>
                          </a:stretch>
                        </pic:blipFill>
                        <pic:spPr>
                          <a:xfrm>
                            <a:off x="0" y="0"/>
                            <a:ext cx="868680" cy="329184"/>
                          </a:xfrm>
                          <a:prstGeom prst="rect"/>
                        </pic:spPr>
                      </pic:pic>
                    </a:graphicData>
                  </a:graphic>
                </wp:inline>
              </w:drawing>
            </w:r>
          </w:p>
          <w:p>
            <w:pPr>
              <w:spacing w:after="0"/>
            </w:pPr>
            <w:r>
              <w:rPr>
                <w:rFonts w:ascii="Calibri" w:hAnsi="Calibri"/>
                <w:sz w:val="20"/>
              </w:rPr>
              <w:t>Amirul Putra Justicia</w:t>
            </w:r>
          </w:p>
          <w:p>
            <w:pPr>
              <w:spacing w:after="0"/>
            </w:pPr>
            <w:r>
              <w:rPr>
                <w:rFonts w:ascii="Calibri" w:hAnsi="Calibri"/>
                <w:sz w:val="20"/>
              </w:rPr>
              <w:t>Inisiator dan Lead Developer Lex Integrity x Lex-DSS</w:t>
            </w:r>
          </w:p>
          <w:p>
            <w:pPr>
              <w:spacing w:after="0"/>
            </w:pPr>
            <w:r>
              <w:rPr>
                <w:rFonts w:ascii="Calibri" w:hAnsi="Calibri"/>
                <w:sz w:val="20"/>
              </w:rPr>
              <w:t>Lex Integrity x Lex-DSS</w:t>
            </w:r>
          </w:p>
          <w:p>
            <w:pPr>
              <w:spacing w:after="0"/>
            </w:pPr>
            <w:r>
              <w:rPr>
                <w:rFonts w:ascii="Calibri" w:hAnsi="Calibri"/>
                <w:sz w:val="20"/>
              </w:rPr>
              <w:t>amirulputra0507@gmail.com | +62 821-3440-2383</w:t>
            </w:r>
          </w:p>
        </w:tc>
      </w:tr>
    </w:tbl>
    <w:sectPr w:rsidR="00FC693F" w:rsidRPr="0006063C" w:rsidSect="00034616">
      <w:headerReference w:type="default" r:id="rId9"/>
      <w:footerReference w:type="default" r:id="rId10"/>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46464"/>
        <w:sz w:val="16"/>
      </w:rPr>
      <w:t>Draf - lengkapi nomor surat, kop, identitas organisasi, dan penandatangan sebelum dikirim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b/>
        <w:color w:val="1F4E79"/>
        <w:sz w:val="26"/>
      </w:rPr>
      <w:t>LEX INTEGRITY × LEX-DSS</w:t>
    </w:r>
  </w:p>
  <w:p>
    <w:pPr>
      <w:spacing w:after="0"/>
      <w:jc w:val="center"/>
    </w:pPr>
    <w:r>
      <w:rPr>
        <w:rFonts w:ascii="Calibri" w:hAnsi="Calibri"/>
        <w:b/>
        <w:color w:val="464646"/>
        <w:sz w:val="18"/>
      </w:rPr>
      <w:t>Platform Integrasi Analisis dan Pendukung Keputusan Hukum</w:t>
    </w:r>
  </w:p>
  <w:p>
    <w:pPr>
      <w:spacing w:after="0"/>
      <w:jc w:val="center"/>
    </w:pPr>
    <w:r>
      <w:rPr>
        <w:rFonts w:ascii="Calibri" w:hAnsi="Calibri"/>
        <w:b w:val="0"/>
        <w:color w:val="646464"/>
        <w:sz w:val="16"/>
      </w:rPr>
      <w:t>Jl. Werkudara RT 036 RW 007 No.175C, Wirobrajan, Wirobrajan, Yogyakarta</w:t>
    </w:r>
  </w:p>
  <w:p>
    <w:pPr>
      <w:spacing w:after="80"/>
      <w:jc w:val="center"/>
    </w:pPr>
    <w:r>
      <w:rPr>
        <w:rFonts w:ascii="Calibri" w:hAnsi="Calibri"/>
        <w:b w:val="0"/>
        <w:color w:val="646464"/>
        <w:sz w:val="16"/>
      </w:rPr>
      <w:t>amirulputra0507@gmail.com | +62 821-3440-2383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