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6B337" w14:textId="1C94EED9" w:rsidR="00751DA1" w:rsidRPr="00E13789" w:rsidRDefault="00A71D74" w:rsidP="00A71D74">
      <w:pPr>
        <w:bidi w:val="0"/>
        <w:rPr>
          <w:sz w:val="24"/>
          <w:szCs w:val="24"/>
        </w:rPr>
      </w:pPr>
      <w:r w:rsidRPr="00E13789">
        <w:rPr>
          <w:rFonts w:cs="Arial"/>
          <w:sz w:val="24"/>
          <w:szCs w:val="24"/>
          <w:rtl/>
        </w:rPr>
        <w:t>[</w:t>
      </w:r>
      <w:r w:rsidRPr="00E13789">
        <w:rPr>
          <w:rFonts w:asciiTheme="majorBidi" w:hAnsiTheme="majorBidi" w:cstheme="majorBidi"/>
          <w:sz w:val="24"/>
          <w:szCs w:val="24"/>
          <w:rtl/>
        </w:rPr>
        <w:t xml:space="preserve">1] </w:t>
      </w:r>
      <w:r w:rsidRPr="00E1378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13789">
        <w:rPr>
          <w:rFonts w:asciiTheme="majorBidi" w:hAnsiTheme="majorBidi" w:cstheme="majorBidi"/>
          <w:sz w:val="24"/>
          <w:szCs w:val="24"/>
        </w:rPr>
        <w:t>Transforma</w:t>
      </w:r>
      <w:proofErr w:type="spellEnd"/>
      <w:r w:rsidRPr="00E13789">
        <w:rPr>
          <w:rFonts w:asciiTheme="majorBidi" w:hAnsiTheme="majorBidi" w:cstheme="majorBidi"/>
          <w:sz w:val="24"/>
          <w:szCs w:val="24"/>
        </w:rPr>
        <w:t xml:space="preserve"> Insights, “Global IoT connections will grow from </w:t>
      </w:r>
      <w:r w:rsidRPr="00E13789">
        <w:rPr>
          <w:rFonts w:asciiTheme="majorBidi" w:hAnsiTheme="majorBidi" w:cstheme="majorBidi"/>
          <w:sz w:val="24"/>
          <w:szCs w:val="24"/>
          <w:rtl/>
        </w:rPr>
        <w:t xml:space="preserve">21 </w:t>
      </w:r>
      <w:r w:rsidRPr="00E13789">
        <w:rPr>
          <w:rFonts w:asciiTheme="majorBidi" w:hAnsiTheme="majorBidi" w:cstheme="majorBidi"/>
          <w:sz w:val="24"/>
          <w:szCs w:val="24"/>
        </w:rPr>
        <w:t xml:space="preserve">billion in </w:t>
      </w:r>
      <w:r w:rsidRPr="00E13789">
        <w:rPr>
          <w:rFonts w:asciiTheme="majorBidi" w:hAnsiTheme="majorBidi" w:cstheme="majorBidi"/>
          <w:sz w:val="24"/>
          <w:szCs w:val="24"/>
          <w:rtl/>
        </w:rPr>
        <w:t xml:space="preserve">2025 </w:t>
      </w:r>
      <w:r w:rsidRPr="00E13789">
        <w:rPr>
          <w:rFonts w:asciiTheme="majorBidi" w:hAnsiTheme="majorBidi" w:cstheme="majorBidi"/>
          <w:sz w:val="24"/>
          <w:szCs w:val="24"/>
        </w:rPr>
        <w:t xml:space="preserve">to </w:t>
      </w:r>
      <w:r w:rsidRPr="00E13789">
        <w:rPr>
          <w:rFonts w:asciiTheme="majorBidi" w:hAnsiTheme="majorBidi" w:cstheme="majorBidi"/>
          <w:sz w:val="24"/>
          <w:szCs w:val="24"/>
          <w:rtl/>
        </w:rPr>
        <w:t xml:space="preserve">48 </w:t>
      </w:r>
      <w:r w:rsidRPr="00E13789">
        <w:rPr>
          <w:rFonts w:asciiTheme="majorBidi" w:hAnsiTheme="majorBidi" w:cstheme="majorBidi"/>
          <w:sz w:val="24"/>
          <w:szCs w:val="24"/>
        </w:rPr>
        <w:t xml:space="preserve">billion in </w:t>
      </w:r>
      <w:r w:rsidRPr="00E13789">
        <w:rPr>
          <w:rFonts w:asciiTheme="majorBidi" w:hAnsiTheme="majorBidi" w:cstheme="majorBidi"/>
          <w:sz w:val="24"/>
          <w:szCs w:val="24"/>
          <w:rtl/>
        </w:rPr>
        <w:t>2035</w:t>
      </w:r>
      <w:r w:rsidRPr="00E13789">
        <w:rPr>
          <w:rFonts w:asciiTheme="majorBidi" w:hAnsiTheme="majorBidi" w:cstheme="majorBidi"/>
          <w:sz w:val="24"/>
          <w:szCs w:val="24"/>
        </w:rPr>
        <w:t xml:space="preserve">,” Apr. </w:t>
      </w:r>
      <w:r w:rsidRPr="00E13789">
        <w:rPr>
          <w:rFonts w:asciiTheme="majorBidi" w:hAnsiTheme="majorBidi" w:cstheme="majorBidi"/>
          <w:sz w:val="24"/>
          <w:szCs w:val="24"/>
          <w:rtl/>
        </w:rPr>
        <w:t>17</w:t>
      </w:r>
      <w:r w:rsidRPr="00E13789">
        <w:rPr>
          <w:rFonts w:asciiTheme="majorBidi" w:hAnsiTheme="majorBidi" w:cstheme="majorBidi"/>
          <w:sz w:val="24"/>
          <w:szCs w:val="24"/>
        </w:rPr>
        <w:t xml:space="preserve">, </w:t>
      </w:r>
      <w:r w:rsidRPr="00E13789">
        <w:rPr>
          <w:rFonts w:asciiTheme="majorBidi" w:hAnsiTheme="majorBidi" w:cstheme="majorBidi"/>
          <w:sz w:val="24"/>
          <w:szCs w:val="24"/>
          <w:rtl/>
        </w:rPr>
        <w:t>2026</w:t>
      </w:r>
      <w:r w:rsidRPr="00E13789">
        <w:rPr>
          <w:rFonts w:asciiTheme="majorBidi" w:hAnsiTheme="majorBidi" w:cstheme="majorBidi"/>
          <w:sz w:val="24"/>
          <w:szCs w:val="24"/>
        </w:rPr>
        <w:t xml:space="preserve">. [Online]. Available: </w:t>
      </w:r>
      <w:hyperlink r:id="rId4" w:history="1">
        <w:r w:rsidR="00166A5A" w:rsidRPr="00E13789">
          <w:rPr>
            <w:rStyle w:val="Hyperlink"/>
            <w:rFonts w:asciiTheme="majorBidi" w:hAnsiTheme="majorBidi" w:cstheme="majorBidi"/>
            <w:sz w:val="24"/>
            <w:szCs w:val="24"/>
          </w:rPr>
          <w:t>https://transformainsights.com/news/global-iot-connections-</w:t>
        </w:r>
        <w:r w:rsidR="00166A5A" w:rsidRPr="00E13789">
          <w:rPr>
            <w:rStyle w:val="Hyperlink"/>
            <w:rFonts w:asciiTheme="majorBidi" w:hAnsiTheme="majorBidi" w:cstheme="majorBidi"/>
            <w:sz w:val="24"/>
            <w:szCs w:val="24"/>
            <w:rtl/>
          </w:rPr>
          <w:t>2025-2035</w:t>
        </w:r>
      </w:hyperlink>
    </w:p>
    <w:p w14:paraId="6CABEC7A" w14:textId="230D613A" w:rsidR="00166A5A" w:rsidRDefault="00166A5A" w:rsidP="00166A5A">
      <w:pPr>
        <w:pStyle w:val="NormalWeb"/>
      </w:pPr>
      <w:r>
        <w:t xml:space="preserve">[2] M. </w:t>
      </w:r>
      <w:proofErr w:type="spellStart"/>
      <w:r>
        <w:t>Alsheikh</w:t>
      </w:r>
      <w:proofErr w:type="spellEnd"/>
      <w:r>
        <w:t xml:space="preserve">, S. Lin, D. </w:t>
      </w:r>
      <w:proofErr w:type="spellStart"/>
      <w:r>
        <w:t>Niyato</w:t>
      </w:r>
      <w:proofErr w:type="spellEnd"/>
      <w:r>
        <w:t>, and H. Tan, “Machine Learning in Wireless Sensor Networks: Algorithms, Strategies, and Applications,” IEEE Communications Surveys &amp; Tutorials, vol. 16, no. 4, pp. 1996–2018, 2014.</w:t>
      </w:r>
    </w:p>
    <w:p w14:paraId="1A9C044D" w14:textId="69078E0A" w:rsidR="00166A5A" w:rsidRDefault="00166A5A" w:rsidP="00166A5A">
      <w:pPr>
        <w:pStyle w:val="NormalWeb"/>
      </w:pPr>
      <w:r>
        <w:t xml:space="preserve">[3] M. Mohamed, A. Ahmed, and N. </w:t>
      </w:r>
      <w:proofErr w:type="spellStart"/>
      <w:r>
        <w:t>Morsy</w:t>
      </w:r>
      <w:proofErr w:type="spellEnd"/>
      <w:r>
        <w:t>, “Survey on Wireless Sensor Network Applications and Energy Efficient Routing Protocols,” Wireless Personal Communications, vol. 101, no. 2, pp. 1019–1055, 2018.</w:t>
      </w:r>
    </w:p>
    <w:p w14:paraId="6E5DBABD" w14:textId="109CE09C" w:rsidR="00166A5A" w:rsidRDefault="00166A5A" w:rsidP="00166A5A">
      <w:pPr>
        <w:pStyle w:val="NormalWeb"/>
      </w:pPr>
      <w:r>
        <w:t xml:space="preserve">[4] W. </w:t>
      </w:r>
      <w:proofErr w:type="spellStart"/>
      <w:r>
        <w:t>Heinzelman</w:t>
      </w:r>
      <w:proofErr w:type="spellEnd"/>
      <w:r>
        <w:t xml:space="preserve">, A. </w:t>
      </w:r>
      <w:proofErr w:type="spellStart"/>
      <w:r>
        <w:t>Chandrakasan</w:t>
      </w:r>
      <w:proofErr w:type="spellEnd"/>
      <w:r>
        <w:t>, and H. Balakrishnan, “Energy-Efficient Communication Protocol for Wireless Microsensor Networks,” Proceedings of the 33rd Hawaii International Conference on System Sciences, 2000.</w:t>
      </w:r>
    </w:p>
    <w:p w14:paraId="1CD1CA6A" w14:textId="51078C93" w:rsidR="00166A5A" w:rsidRDefault="00166A5A" w:rsidP="00166A5A">
      <w:pPr>
        <w:pStyle w:val="NormalWeb"/>
      </w:pPr>
      <w:r>
        <w:t xml:space="preserve">[5] G. Kaur and P. </w:t>
      </w:r>
      <w:proofErr w:type="spellStart"/>
      <w:r>
        <w:t>Chanak</w:t>
      </w:r>
      <w:proofErr w:type="spellEnd"/>
      <w:r>
        <w:t>, “Energy-Efficient Intelligent Routing Scheme for IoT-enabled Wireless Sensor Networks,” IEEE Internet of Things Journal, vol. 8, no. 14, pp. 11440–11449, 2021.</w:t>
      </w:r>
    </w:p>
    <w:p w14:paraId="374F11C2" w14:textId="0AD28953" w:rsidR="00166A5A" w:rsidRDefault="002923CF" w:rsidP="00166A5A">
      <w:pPr>
        <w:pStyle w:val="NormalWeb"/>
      </w:pPr>
      <w:r w:rsidRPr="002923CF">
        <w:t>[6] X. Meng, H. Kan, and X. Xu, “Deep Reinforcement Learning-Based Topology Optimization for Self-Organized Wireless Sensor Networks,” arXiv:1910.14199, 2019. [Online]. Available: https://arxiv.org/abs/1910.14199</w:t>
      </w:r>
      <w:r w:rsidR="00166A5A">
        <w:t>.</w:t>
      </w:r>
    </w:p>
    <w:p w14:paraId="6F6923BA" w14:textId="23636122" w:rsidR="00166A5A" w:rsidRDefault="00166A5A" w:rsidP="00166A5A">
      <w:pPr>
        <w:pStyle w:val="NormalWeb"/>
      </w:pPr>
      <w:r>
        <w:t>[7] N. Liu, J. Wang, F. Tao, Z. Fu, and B. Liu, “EDRP-GTDQN: An Adaptive Routing Protocol for Energy and Delay Optimization in Wireless Sensor Networks Using Game Theory and Deep Reinforcement Learning,” Ad Hoc Networks, vol. 166, 2025.</w:t>
      </w:r>
    </w:p>
    <w:p w14:paraId="2F8C981F" w14:textId="1C4F7458" w:rsidR="00166A5A" w:rsidRDefault="00166A5A" w:rsidP="00166A5A">
      <w:pPr>
        <w:pStyle w:val="NormalWeb"/>
      </w:pPr>
      <w:r>
        <w:t>[8] P. S. Banerjee, S. Goswami, and D. De, “</w:t>
      </w:r>
      <w:proofErr w:type="spellStart"/>
      <w:r>
        <w:t>NashDQNSleep</w:t>
      </w:r>
      <w:proofErr w:type="spellEnd"/>
      <w:r>
        <w:t>: Nash-based Deep Q-Network Adaptive Sleep Scheduling for Energy Efficiency and Age of Information Optimization in Industrial Internet of Things,” Engineering Applications of Artificial Intelligence, vol. 161, 2025.</w:t>
      </w:r>
    </w:p>
    <w:p w14:paraId="733954FB" w14:textId="3B3CB7D9" w:rsidR="00166A5A" w:rsidRDefault="002923CF" w:rsidP="00166A5A">
      <w:pPr>
        <w:bidi w:val="0"/>
      </w:pPr>
      <w:r w:rsidRPr="002923CF">
        <w:rPr>
          <w:rFonts w:ascii="Times New Roman" w:eastAsia="Times New Roman" w:hAnsi="Times New Roman" w:cs="Times New Roman"/>
          <w:sz w:val="24"/>
          <w:szCs w:val="24"/>
        </w:rPr>
        <w:t>[9] A. Leong, S. Dey, and D. E. Quevedo, “Deep Reinforcement Learning for Wireless Sensor Scheduling in Cyber-Physical Systems,” arXiv:1809.05149, 2018. [Online]. Available: https://arxiv.org/abs/1809.05149</w:t>
      </w:r>
    </w:p>
    <w:sectPr w:rsidR="00166A5A" w:rsidSect="00E2327C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A1"/>
    <w:rsid w:val="00166A5A"/>
    <w:rsid w:val="002923CF"/>
    <w:rsid w:val="00751DA1"/>
    <w:rsid w:val="00A71D74"/>
    <w:rsid w:val="00E13789"/>
    <w:rsid w:val="00E2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6F0A"/>
  <w15:chartTrackingRefBased/>
  <w15:docId w15:val="{1212B104-B620-4940-B710-EE11AD79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6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A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A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ansformainsights.com/news/global-iot-connections-2025-20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zekavati</dc:creator>
  <cp:keywords/>
  <dc:description/>
  <cp:lastModifiedBy>Amir zekavati</cp:lastModifiedBy>
  <cp:revision>5</cp:revision>
  <dcterms:created xsi:type="dcterms:W3CDTF">2026-05-27T22:32:00Z</dcterms:created>
  <dcterms:modified xsi:type="dcterms:W3CDTF">2026-05-28T13:19:00Z</dcterms:modified>
</cp:coreProperties>
</file>