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bCs w:val="1"/>
          <w:rtl w:val="0"/>
        </w:rPr>
        <w:t xml:space="preserve">Mask RCNN based on mass shapes:</w:t>
      </w:r>
      <w:r w:rsidDel="00000000" w:rsidR="00000000" w:rsidRPr="00000000">
        <w:rPr/>
        <w:drawing>
          <wp:inline distB="114300" distT="114300" distL="114300" distR="114300">
            <wp:extent cx="3911486" cy="3115675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11486" cy="3115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225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Swin Unet on Mass Shapes: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3970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708400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YOLO On Mass Shape: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/>
        <w:drawing>
          <wp:inline distB="114300" distT="114300" distL="114300" distR="114300">
            <wp:extent cx="5172075" cy="1304925"/>
            <wp:effectExtent b="0" l="0" r="0" 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1304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828800"/>
            <wp:effectExtent b="0" l="0" r="0" t="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/>
        <w:drawing>
          <wp:inline distB="114300" distT="114300" distL="114300" distR="114300">
            <wp:extent cx="4191000" cy="1924050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924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3914775" cy="39624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