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sz w:val="44"/>
          <w:szCs w:val="44"/>
        </w:rPr>
        <w:t xml:space="preserve">Where the Guarantee Breaks: Conformal Risk Control and Refusal Gating for Brain-Tumour Segmentation under Distribution Shift</w:t>
      </w:r>
    </w:p>
    <w:tbl>
      <w:tblPr>
        <w:tblW w:w="3480" w:type="dxa"/>
        <w:jc w:val="center"/>
        <w:tblInd w:w="0" w:type="dxa"/>
        <w:tblLayout w:type="fixed"/>
        <w:tblCellMar>
          <w:top w:w="0" w:type="dxa"/>
          <w:left w:w="108" w:type="dxa"/>
          <w:bottom w:w="0" w:type="dxa"/>
          <w:right w:w="108" w:type="dxa"/>
        </w:tblCellMar>
      </w:tblPr>
      <w:tblGrid>
        <w:gridCol w:w="3480"/>
      </w:tblGrid>
      <w:tr>
        <w:trPr>
          <w:cantSplit w:val="true"/>
        </w:trPr>
        <w:tc>
          <w:tcPr>
            <w:tcW w:w="3480" w:type="dxa"/>
            <w:tcBorders/>
          </w:tcPr>
          <w:p>
            <w:pPr>
              <w:pStyle w:val="Normal"/>
              <w:spacing w:before="0" w:after="20"/>
              <w:jc w:val="center"/>
              <w:rPr/>
            </w:pPr>
            <w:r>
              <w:rPr>
                <w:sz w:val="22"/>
                <w:szCs w:val="22"/>
              </w:rPr>
              <w:t>Amish Yadav</w:t>
            </w:r>
          </w:p>
          <w:p>
            <w:pPr>
              <w:pStyle w:val="Normal"/>
              <w:jc w:val="center"/>
              <w:rPr/>
            </w:pPr>
            <w:r>
              <w:rPr>
                <w:i/>
                <w:iCs/>
              </w:rPr>
              <w:t>Department of Computer Engineering</w:t>
            </w:r>
          </w:p>
          <w:p>
            <w:pPr>
              <w:pStyle w:val="Normal"/>
              <w:jc w:val="center"/>
              <w:rPr/>
            </w:pPr>
            <w:r>
              <w:rPr>
                <w:i/>
                <w:iCs/>
              </w:rPr>
              <w:t>NMIMS, MPSTME</w:t>
            </w:r>
          </w:p>
          <w:p>
            <w:pPr>
              <w:pStyle w:val="Normal"/>
              <w:jc w:val="center"/>
              <w:rPr/>
            </w:pPr>
            <w:r>
              <w:rPr>
                <w:i/>
                <w:iCs/>
              </w:rPr>
              <w:t>Mumbai, India</w:t>
            </w:r>
          </w:p>
          <w:p>
            <w:pPr>
              <w:pStyle w:val="Normal"/>
              <w:jc w:val="center"/>
              <w:rPr/>
            </w:pPr>
            <w:r>
              <w:rPr>
                <w:i/>
                <w:iCs/>
              </w:rPr>
              <w:t>amishyadav126@gmail.com</w:t>
            </w:r>
          </w:p>
        </w:tc>
      </w:tr>
    </w:tbl>
    <w:p>
      <w:pPr>
        <w:pStyle w:val="Normal"/>
        <w:spacing w:before="0" w:after="60"/>
        <w:rPr/>
      </w:pPr>
      <w:r>
        <w:rPr/>
      </w:r>
    </w:p>
    <w:p>
      <w:pPr>
        <w:pStyle w:val="Normal"/>
        <w:spacing w:before="0" w:after="60"/>
        <w:jc w:val="both"/>
        <w:rPr/>
      </w:pPr>
      <w:r>
        <w:rPr>
          <w:b/>
          <w:bCs/>
          <w:i/>
          <w:iCs/>
          <w:sz w:val="18"/>
          <w:szCs w:val="18"/>
        </w:rPr>
        <w:t xml:space="preserve">Abstract—</w:t>
      </w:r>
      <w:r>
        <w:rPr>
          <w:sz w:val="18"/>
          <w:szCs w:val="18"/>
        </w:rPr>
        <w:t xml:space="preserve"> Brain-tumour segmentation models are validated in distribution, yet a deployed tool fails where that distribution does not hold, usually silently. We audit one segmentation pipeline from DICOM input to structured report on BraTS 2021 (in distribution), adult glioma from Sub-Saharan Africa (SSA) and paediatric tumours (PED), with every confirmatory analysis pre-registered. A conformal risk-control threshold fitted on validation data keeps the mean tumour miss rate below nominal on test data in all six region-level cells (0.70–0.91× α; two intervals include α). Under shift it is violated in seven of twelve cells, and the largest violations lie in the one region whose label definition differs from training: tumour core at 1.4–1.7× nominal on SSA but 3.5–11.5× on PED, where about a third of the reference tumour core receives essentially no tumour-core probability. Local recalibration restores the expected-risk bound in most cells, with floors of 5–39 labelled cases per site and restoration shown at 30–49, at the cost of larger masks; the floor is necessary, not sufficient. With the registered refusal gate the pipeline returns a usable mask for 85.2%, 78.3% and 24.2% of in-distribution, SSA and PED studies, with silent-failure rates of 4.2%, 18.3% and 49.5%. An input-statistics score flags the shifted cohort but not the failed study (AUROC 0.56–0.60), and no voxel-level signal beats single-pass entropy as an error localiser. An in-distribution architecture gain (+0.027 enhancing-tumour Dice; +0.017 where enhancing tumour is present) does not transfer. The evidence supports a site-level alarm followed by local recalibration, not per-study automated trust.</w:t>
      </w:r>
    </w:p>
    <w:p>
      <w:pPr>
        <w:pStyle w:val="Normal"/>
        <w:spacing w:before="0" w:after="160"/>
        <w:jc w:val="both"/>
        <w:rPr/>
      </w:pPr>
      <w:r>
        <w:rPr>
          <w:b/>
          <w:bCs/>
          <w:i/>
          <w:iCs/>
          <w:sz w:val="18"/>
          <w:szCs w:val="18"/>
        </w:rPr>
        <w:t xml:space="preserve">Index Terms—</w:t>
      </w:r>
      <w:r>
        <w:rPr>
          <w:i/>
          <w:iCs/>
          <w:sz w:val="18"/>
          <w:szCs w:val="18"/>
        </w:rPr>
        <w:t xml:space="preserve">Brain tumour segmentation, BraTS, conformal risk control, distribution shift, label shift, uncertainty quantification, selective prediction, segmentation failure detection, out-of-distribution detection, pre-registration, clinical deployment, DICOM.</w:t>
      </w:r>
    </w:p>
    <w:p>
      <w:pPr>
        <w:sectPr>
          <w:footerReference w:type="even" r:id="rId2"/>
          <w:footerReference w:type="default" r:id="rId3"/>
          <w:footerReference w:type="first" r:id="rId4"/>
          <w:type w:val="nextPage"/>
          <w:pgSz w:w="12240" w:h="15840"/>
          <w:pgMar w:left="900" w:right="900" w:gutter="0" w:header="0" w:top="1080" w:footer="708" w:bottom="1440"/>
          <w:pgNumType w:fmt="decimal"/>
          <w:formProt w:val="false"/>
          <w:textDirection w:val="lrTb"/>
          <w:docGrid w:type="default" w:linePitch="360" w:charSpace="8192"/>
        </w:sectPr>
      </w:pPr>
    </w:p>
    <w:p>
      <w:pPr>
        <w:pStyle w:val="Normal"/>
        <w:keepNext w:val="true"/>
        <w:spacing w:before="220" w:after="90"/>
        <w:jc w:val="center"/>
        <w:rPr/>
      </w:pPr>
      <w:r>
        <w:rPr/>
        <w:t>I.  INTRODUCTION</w:t>
      </w:r>
    </w:p>
    <w:p>
      <w:pPr>
        <w:pStyle w:val="Normal"/>
        <w:ind w:firstLine="288"/>
        <w:jc w:val="both"/>
        <w:rPr/>
      </w:pPr>
      <w:r>
        <w:rPr/>
        <w:t>Automated segmentation of glioma on multi-parametric MRI is among the most benchmarked problems in medical image analysis [1], [2]. Reported whole-tumour Dice on in-distribution test data has long exceeded 0.9 [3], [4], and architectural novelty, increasingly a hybrid of convolutional and transformer encoders [5], [6], [7], is still usually justified by gains of a few hundredths of Dice on held-out cases drawn from the training distribution. A tool placed in front of a clinician faces a different question: not how accurate it is on average where it was trained, but whether it knows when it is wrong on a study from somewhere else. Models trained at some sites are known to degrade at others [8], and in segmentation the degradation is usually silent: a plausible-looking mask with nothing to say it is unusable.</w:t>
      </w:r>
    </w:p>
    <w:p>
      <w:pPr>
        <w:pStyle w:val="Normal"/>
        <w:ind w:firstLine="288"/>
        <w:jc w:val="both"/>
        <w:rPr/>
      </w:pPr>
      <w:r>
        <w:rPr/>
        <w:t>A before-and-after accuracy comparison cannot answer that question. Accuracy gains, uncertainty estimates and refusal rules have to be measured jointly, on the same cases, and through every stage that a real study passes through, from DICOM ingestion to the report. This paper does that for one pipeline. We ask what a distribution-free error bound [9], a learned quality-control model [10], an input-level out-of-distribution score and a refusal gate can and cannot guarantee when the input population changes, using three populations that differ in kind rather than lying on one scale: the training population (BraTS 2021); adult glioma from Sub-Saharan Africa (BraTS-Africa, SSA) [11], a change of acquisition and population under the same label protocol; and paediatric brain tumours (BraTS-PEDs, PED) [12], a change of disease and anatomy that also changes what the tumour-core label contains. We then pass the original DICOM of test-split patients through the clinical front end. The segmentation model is a dual-encoder network trained for this study; its accuracy gain is tested against matched controls, but it is the object of the audit rather than its contribution.</w:t>
      </w:r>
    </w:p>
    <w:p>
      <w:pPr>
        <w:pStyle w:val="Normal"/>
        <w:ind w:firstLine="288"/>
        <w:jc w:val="both"/>
        <w:rPr/>
      </w:pPr>
      <w:r>
        <w:rPr/>
        <w:t>Every confirmatory analysis was specified in a written protocol, committed to a public repository before its first number was computed [13], [14], and negative results are reported with the same weight as positive ones. Table A-I (Appendix A) lists each protocol with its commit date and the outputs that had already been seen when it was written, so that the reader can judge how risky each prediction was. The study's own history shows why this matters. The architecture was designed around a hypothesis, that an ambiguity signal built from disagreement between its two encoders would make the model more reliable, which did not survive testing; the thesis of the paper moved to the reliability wrapper as a direct result.</w:t>
      </w:r>
    </w:p>
    <w:p>
      <w:pPr>
        <w:pStyle w:val="Normal"/>
        <w:ind w:firstLine="288"/>
        <w:jc w:val="both"/>
        <w:rPr/>
      </w:pPr>
      <w:r>
        <w:rPr/>
        <w:t xml:space="preserve">The paper makes four contributions and reports one supporting result. First, it measures a conformal miss-rate bound in distribution and on two external populations, shows that the bound holds where exchangeability holds, and shows that its largest failure is concentrated in the one region whose label definition differs between the training and target populations, where no threshold can restore it (Section VIII). Second, it quantifies what a new site needs to restore the bound: a floor on the number of labelled local cases, which follows from the calibration rule and the cohort's lowest achievable risk and proves necessary but not sufficient, together with the spread across calibration draws and the mask size that restoration costs (Section VIII-C). Third, it measures the end-to-end error budget of a DICOM-to-report pipeline with a deployed refusal gate, how often it is right, silently wrong and needlessly cautious, and what an input-level score adds, and it measures the front end on the original DICOM of test-split patients (Section IX). Fourth, it measures four uncertainty and quality-control signals against single-pass predictive entropy, in and out of distribution: none of the three voxel-level signals beats it as an error localiser, and a learned case-level quality-control model beats it in one external cell and loses in another (Sections VII and IX-A). The supporting result is architectural: against a matched-recipe baseline, a width-matched capacity control and a mechanism ablation, the dual encoder's in-distribution gain is real, does not come from the ambiguity conditioning it was designed around, and does not transfer (Section VI). Throughout, what the evidence licenses is separated from what it does not, in a hypothesis scorecard (Table XVI) and a claims discipline stated in advance (Sections III and X).</w:t>
      </w:r>
    </w:p>
    <w:p>
      <w:pPr>
        <w:pStyle w:val="Normal"/>
        <w:ind w:firstLine="288"/>
        <w:jc w:val="both"/>
        <w:rPr/>
      </w:pPr>
      <w:r>
        <w:rPr/>
        <w:t xml:space="preserve">To make the organising claim falsifiable, we state the registered hypotheses. </w:t>
      </w:r>
      <w:r>
        <w:rPr>
          <w:b/>
          <w:bCs/>
        </w:rPr>
        <w:t>H1 (accuracy):</w:t>
      </w:r>
      <w:r>
        <w:rPr/>
        <w:t xml:space="preserve"> the dual encoder improves enhancing-tumour Dice over a matched-recipe U-Net in distribution. </w:t>
      </w:r>
      <w:r>
        <w:rPr>
          <w:b/>
          <w:bCs/>
        </w:rPr>
        <w:t>H2 (mechanism):</w:t>
      </w:r>
      <w:r>
        <w:rPr/>
        <w:t xml:space="preserve"> conditioning the fusion gate on the inter-branch ambiguity signal contributes beyond content-only gating. </w:t>
      </w:r>
      <w:r>
        <w:rPr>
          <w:b/>
          <w:bCs/>
        </w:rPr>
        <w:t>H3 (reliability):</w:t>
      </w:r>
      <w:r>
        <w:rPr/>
        <w:t xml:space="preserve"> the architecture is better calibrated, has more accurate boundaries and yields better error detectors. </w:t>
      </w:r>
      <w:r>
        <w:rPr>
          <w:b/>
          <w:bCs/>
        </w:rPr>
        <w:t>H4 (transfer):</w:t>
      </w:r>
      <w:r>
        <w:rPr/>
        <w:t xml:space="preserve"> the accuracy gain transfers to the external cohorts. </w:t>
      </w:r>
      <w:r>
        <w:rPr>
          <w:b/>
          <w:bCs/>
        </w:rPr>
        <w:t>H5 (guarantee):</w:t>
      </w:r>
      <w:r>
        <w:rPr/>
        <w:t xml:space="preserve"> a conformal threshold fitted in distribution bounds the expected miss rate on in-distribution test data, and degrades under shift. </w:t>
      </w:r>
      <w:r>
        <w:rPr>
          <w:b/>
          <w:bCs/>
        </w:rPr>
        <w:t>H6 (recalibration):</w:t>
      </w:r>
      <w:r>
        <w:rPr/>
        <w:t xml:space="preserve"> a site can restore the bound by recalibrating on a few tens of labelled local cases, except where the lowest achievable risk exceeds the target. </w:t>
      </w:r>
      <w:r>
        <w:rPr>
          <w:b/>
          <w:bCs/>
        </w:rPr>
        <w:t>H7 (quality control):</w:t>
      </w:r>
      <w:r>
        <w:rPr/>
        <w:t xml:space="preserve"> a learned quality-control model beats predictive entropy at flagging failed segmentations in at least one external cell. </w:t>
      </w:r>
      <w:r>
        <w:rPr>
          <w:b/>
          <w:bCs/>
        </w:rPr>
        <w:t>H8 (out-of-distribution score):</w:t>
      </w:r>
      <w:r>
        <w:rPr/>
        <w:t xml:space="preserve"> an input-statistics score flags the shifted cohorts but ranks failed studies little better than chance. </w:t>
      </w:r>
      <w:r>
        <w:rPr>
          <w:b/>
          <w:bCs/>
        </w:rPr>
        <w:t>H9 (front end):</w:t>
      </w:r>
      <w:r>
        <w:rPr/>
        <w:t xml:space="preserve"> on real DICOM the clinical front end costs at most 0.05 whole-tumour Dice relative to the research path. The hypotheses are not equally risky. The in-distribution half of H5 follows from exchangeability and checks the implementation rather than the world, and the feasibility floors in H6 follow arithmetically from the calibration rule once a cohort's lowest achievable risk is known; both are reported as checks, not as confirmed predictions. The shift half of H5 was registered after the external cohorts' segmentation accuracy was known (Table A-I), so its direction was expected; its size by region was not. A result in which the bound failed in distribution, or in which the gate removed most silent failures under shift, would count against the thesis. Table XVI (Section X) reports how each hypothesis fared.</w:t>
      </w:r>
    </w:p>
    <w:p>
      <w:pPr>
        <w:pStyle w:val="Normal"/>
        <w:ind w:firstLine="288"/>
        <w:jc w:val="both"/>
        <w:rPr/>
      </w:pPr>
      <w:r>
        <w:rPr/>
        <w:t>Section II reviews related work. Section III sets out the study design and statistical protocol, Section IV the data, and Section V the model, training, uncertainty signals, conformal procedure and clinical pipeline. Sections VI–IX report results for segmentation, uncertainty, the error bound and the pipeline. Section X synthesises, Section XI states the limitations and Section XII concludes. Appendix A gives the protocol timeline.</w:t>
      </w:r>
    </w:p>
    <w:p>
      <w:pPr>
        <w:pStyle w:val="Normal"/>
        <w:keepNext w:val="true"/>
        <w:spacing w:before="220" w:after="90"/>
        <w:jc w:val="center"/>
        <w:rPr/>
      </w:pPr>
      <w:r>
        <w:rPr/>
        <w:t>II.  BACKGROUND AND RELATED WORK</w:t>
      </w:r>
    </w:p>
    <w:p>
      <w:pPr>
        <w:pStyle w:val="Normal"/>
        <w:keepNext w:val="true"/>
        <w:spacing w:before="130" w:after="40"/>
        <w:rPr/>
      </w:pPr>
      <w:r>
        <w:rPr>
          <w:i/>
          <w:iCs/>
        </w:rPr>
        <w:t>A. Brain-tumour segmentation and hybrid encoders</w:t>
      </w:r>
    </w:p>
    <w:p>
      <w:pPr>
        <w:pStyle w:val="Normal"/>
        <w:ind w:firstLine="288"/>
        <w:jc w:val="both"/>
        <w:rPr/>
      </w:pPr>
      <w:r>
        <w:rPr/>
        <w:t>The BraTS benchmark [1], [15], [2] provides co-registered, skull-stripped, 1 mm isotropic T1, contrast-enhanced T1 (T1CE), T2 and FLAIR volumes with expert labels for necrotic core, oedema and enhancing tumour, evaluated on three nested regions: enhancing tumour (ET), tumour core (TC) and whole tumour (WT). U-Net-style encoder–decoders [16], [17] remain the reference design, and nnU-Net [3] showed that a carefully self-configured U-Net is hard to beat; a later re-evaluation found that most recently proposed transformer and hybrid architectures do not outperform properly configured convolutional baselines on 3D medical segmentation [18]. Transformer encoders entered the task through UNETR and Swin UNETR [7], [4], built on the shifted-window attention of the Swin transformer [19], and a family of hybrids fuses convolutional and transformer features, in parallel branches [6] or in series [5]. Since 2023, BraTS has also reported lesion-wise Dice, which penalises the spurious and missed lesions that voxel Dice averages away [11], [12]. The external cohorts released with BraTS 2023, including BraTS-Africa [11] and BraTS-PEDs [12], use the same label values as the adult challenge but not everywhere the same label meaning. BraTS-Africa follows the adult glioma protocol. BraTS-PEDs annotates four paediatric sub-regions and releases three labels for compatibility with the adult challenge, merging non-enhancing tumour, cystic component and necrosis into one label [12]; in adult BraTS, tumour core is enhancing tumour plus necrosis, and the surrounding oedematous and invaded tissue belongs to whole tumour only [2]. Paediatric tumour core therefore contains tissue that has no tumour-core counterpart in the adult definition.</w:t>
      </w:r>
    </w:p>
    <w:p>
      <w:pPr>
        <w:pStyle w:val="Normal"/>
        <w:keepNext w:val="true"/>
        <w:spacing w:before="130" w:after="40"/>
        <w:rPr/>
      </w:pPr>
      <w:r>
        <w:rPr>
          <w:i/>
          <w:iCs/>
        </w:rPr>
        <w:t>B. Uncertainty, calibration and quality control</w:t>
      </w:r>
    </w:p>
    <w:p>
      <w:pPr>
        <w:pStyle w:val="Normal"/>
        <w:ind w:firstLine="288"/>
        <w:jc w:val="both"/>
        <w:rPr/>
      </w:pPr>
      <w:r>
        <w:rPr/>
        <w:t xml:space="preserve">Voxel-wise uncertainty in segmentation is most often estimated with Monte Carlo (MC) dropout [20], [21], ensembles or predictive entropy, and calibrated post hoc by temperature scaling [22]. Evaluations in medical segmentation have repeatedly found calibration and uncertainty quality to be fragile and dependent on the metric chosen [23], [24], and the QU-BraTS challenge formalised uncertainty scoring for BraTS [25]. A separate line trains a model to predict the quality of a segmentation, typically its Dice, for automated quality control (QC) [10]. Whether these signals remain informative under distribution shift is the question they are needed for and the one least often measured. At the case level, Zenk </w:t>
      </w:r>
      <w:r>
        <w:rPr>
          <w:i/>
          <w:iCs/>
        </w:rPr>
        <w:t>et al.</w:t>
      </w:r>
      <w:r>
        <w:rPr/>
        <w:t xml:space="preserve"> [26] benchmarked failure detection for 3D segmentation under realistic shifts and found that the way voxel confidence is aggregated matters, with the pairwise Dice between ensemble or MC-dropout predictions the most robust detector and risk–coverage analysis the most informative evaluation.</w:t>
      </w:r>
    </w:p>
    <w:p>
      <w:pPr>
        <w:pStyle w:val="Normal"/>
        <w:keepNext w:val="true"/>
        <w:spacing w:before="130" w:after="40"/>
        <w:rPr/>
      </w:pPr>
      <w:r>
        <w:rPr>
          <w:i/>
          <w:iCs/>
        </w:rPr>
        <w:t>C. Conformal risk control and distribution shift</w:t>
      </w:r>
    </w:p>
    <w:p>
      <w:pPr>
        <w:pStyle w:val="Normal"/>
        <w:ind w:firstLine="288"/>
        <w:jc w:val="both"/>
        <w:rPr/>
      </w:pPr>
      <w:r>
        <w:rPr/>
        <w:t xml:space="preserve">Conformal prediction [27], [28] and its risk-controlling extensions [29], [9] provide finite-sample, distribution-free guarantees that hold for any model, provided the calibration and test data are exchangeable. Conformal risk control (CRC) [9] bounds the expected value of a monotone loss, and one of its original demonstrations was false-negative-rate control for tumour segmentation; here the loss is the fraction of a tumour that a thresholded mask misses. The CRC guarantee is marginal, an average over calibration draws; risk-controlling prediction sets (RCPS) [29] instead bound the risk with high probability over the calibration draw, at the price of more conservative thresholds. Exchangeability is exactly what shift breaks. Weighted and non-exchangeable variants exist [30], [31] but require a model of the shift. Two 2026 preprints are the closest neighbours of this work. Shahid [32] shows on FeTS-2022 brain-tumour data, the BraTS 2021 training cases partitioned by contributing institution, that pooled CRC protects the average site while violating the target at 40% of individual institutions, and proposes shrinkage between site-specific and pooled calibration. Adhikary </w:t>
      </w:r>
      <w:r>
        <w:rPr>
          <w:i/>
          <w:iCs/>
        </w:rPr>
        <w:t xml:space="preserve">et al.</w:t>
      </w:r>
      <w:r>
        <w:rPr/>
        <w:t xml:space="preserve"> [33] find that per-organ recall bounds for multi-organ CT exceed their target for 7 of 12 organs after domain transfer, and that the number of local cases needed to re-certify them depends on the bound chosen: fewer under the expectation guarantee of CRC than under high-probability RCPS bounds, with small calibration sets able to hide exceedances behind conservative thresholds. Liu </w:t>
      </w:r>
      <w:r>
        <w:rPr>
          <w:i/>
          <w:iCs/>
        </w:rPr>
        <w:t xml:space="preserve">et al.</w:t>
      </w:r>
      <w:r>
        <w:rPr/>
        <w:t xml:space="preserve"> [34] develop theory for certifying selective risk together with a coverage floor under covariate shift. We do not claim to be the first to observe conformal failure under shift in brain-tumour segmentation; what we add is where it is largest, in a region whose label definition differs from the training protocol, why recalibration cannot repair it there, and its consequences through a deployed pipeline.</w:t>
      </w:r>
    </w:p>
    <w:p>
      <w:pPr>
        <w:pStyle w:val="Normal"/>
        <w:keepNext w:val="true"/>
        <w:spacing w:before="130" w:after="40"/>
        <w:rPr/>
      </w:pPr>
      <w:r>
        <w:rPr>
          <w:i/>
          <w:iCs/>
        </w:rPr>
        <w:t>D. Selective prediction and refusal</w:t>
      </w:r>
    </w:p>
    <w:p>
      <w:pPr>
        <w:pStyle w:val="Normal"/>
        <w:ind w:firstLine="288"/>
        <w:jc w:val="both"/>
        <w:rPr/>
      </w:pPr>
      <w:r>
        <w:rPr/>
        <w:t>Selective prediction lets a model abstain in exchange for lower risk on the cases it accepts [35]. In deployment, abstention needs a signal that exists without labels: an input-level out-of-distribution (OOD) score such as the Mahalanobis distance [36], a predicted quality score, or an uncertainty estimate. The practical question is not whether such a signal is informative on average but what a fixed operating point does to the four outcomes that matter clinically: correct acceptance, silent failure, over-refusal and correct refusal.</w:t>
      </w:r>
    </w:p>
    <w:p>
      <w:pPr>
        <w:pStyle w:val="Normal"/>
        <w:keepNext w:val="true"/>
        <w:spacing w:before="130" w:after="40"/>
        <w:rPr/>
      </w:pPr>
      <w:r>
        <w:rPr>
          <w:i/>
          <w:iCs/>
        </w:rPr>
        <w:t>E. Positioning</w:t>
      </w:r>
    </w:p>
    <w:p>
      <w:pPr>
        <w:pStyle w:val="Normal"/>
        <w:ind w:firstLine="288"/>
        <w:jc w:val="both"/>
        <w:rPr/>
      </w:pPr>
      <w:r>
        <w:rPr/>
        <w:t>What is specific to this study is the combination of four elements: three populations that differ in kind, one of which changes the definition of a label on which the bound is computed; a full error budget through a deployed gate rather than a signal's AUROC in isolation; a recalibration analysis that reports the spread across calibration draws and the mask size that restoration costs, not only the mean risk; and a front-end measurement on the original DICOM of the same patients. The segmentation model is the object of the audit; its architecture result is secondary and is reported with its controls.</w:t>
      </w:r>
    </w:p>
    <w:p>
      <w:pPr>
        <w:pStyle w:val="Normal"/>
        <w:keepNext w:val="true"/>
        <w:spacing w:before="220" w:after="90"/>
        <w:jc w:val="center"/>
        <w:rPr/>
      </w:pPr>
      <w:r>
        <w:rPr/>
        <w:t>III.  STUDY DESIGN AND PRE-REGISTRATION</w:t>
      </w:r>
    </w:p>
    <w:p>
      <w:pPr>
        <w:pStyle w:val="Normal"/>
        <w:keepNext w:val="true"/>
        <w:spacing w:before="130" w:after="40"/>
        <w:rPr/>
      </w:pPr>
      <w:r>
        <w:rPr>
          <w:i/>
          <w:iCs/>
        </w:rPr>
        <w:t>A. Pre-registration and the claims ledger</w:t>
      </w:r>
    </w:p>
    <w:p>
      <w:pPr>
        <w:pStyle w:val="Normal"/>
        <w:ind w:firstLine="288"/>
        <w:jc w:val="both"/>
        <w:rPr/>
      </w:pPr>
      <w:r>
        <w:rPr/>
        <w:t xml:space="preserve">Each confirmatory analysis was specified in a written protocol committed to the project's public repository [14] before the first number of that analysis was computed. Each document fixes the hypotheses, endpoints, cohorts, comparison family, statistical test, decision rule and the consequence of every possible outcome for the paper. Commit timestamps are set by the committer, so they are evidence of order only to the extent that the repository history is trusted; to make the order checkable, the repository is archived with a persistent identifier </w:t>
      </w:r>
      <w:r>
        <w:rPr>
          <w:highlight w:val="yellow"/>
        </w:rPr>
        <w:t xml:space="preserve">[Zenodo DOI, to be minted at submission]</w:t>
      </w:r>
      <w:r>
        <w:rPr/>
        <w:t xml:space="preserve"> and Table A-I (Appendix A) lists every protocol with its commit date and the outputs that already existed when it was written. Eleven pre-registrations, one amendment and two measurement protocols were written (Table A-I). Two of them, flip test-time augmentation and cross-fitted fine-tuning on the external cohorts, had not finished at the time of writing and are listed so that their absence is visible. Amendments were allowed only for results that did not yet exist, and each is labelled. Analyses not specified in advance are labelled exploratory wherever they are quoted (for example, the lesion-wise re-scoring of Section VI-C), and analyses that internal review of this manuscript identified as needed but that have not yet been run are listed as outstanding in Section XI rather than implied; those run before submission (the enhancing-tumour comparison on cases with reference enhancing tumour, the registration-offset diagnosis, the confidence-head check and the above-floor recalibration of SSA tumour core) are labelled post-review or exploratory where they are quoted. A claims ledger maps every sentence the paper may assert to its evidence and its strength; failed claims are kept as negative results rather than removed.</w:t>
      </w:r>
    </w:p>
    <w:p>
      <w:pPr>
        <w:pStyle w:val="Normal"/>
        <w:keepNext w:val="true"/>
        <w:spacing w:before="130" w:after="40"/>
        <w:rPr/>
      </w:pPr>
      <w:r>
        <w:rPr>
          <w:i/>
          <w:iCs/>
        </w:rPr>
        <w:t>B. Statistical protocol</w:t>
      </w:r>
    </w:p>
    <w:p>
      <w:pPr>
        <w:pStyle w:val="Normal"/>
        <w:ind w:firstLine="288"/>
        <w:jc w:val="both"/>
        <w:rPr/>
      </w:pPr>
      <w:r>
        <w:rPr/>
        <w:t xml:space="preserve">All model comparisons are paired by case. For each metric we report the mean paired difference with a 95% percentile bootstrap confidence interval (CI) from 10,000 case-level resamples [37], a two-sided Wilcoxon signed-rank test [38] and Holm correction [39] across the pre-declared family. A comparison is called </w:t>
      </w:r>
      <w:r>
        <w:rPr>
          <w:i/>
          <w:iCs/>
        </w:rPr>
        <w:t>better</w:t>
      </w:r>
      <w:r>
        <w:rPr/>
        <w:t xml:space="preserve"> or </w:t>
      </w:r>
      <w:r>
        <w:rPr>
          <w:i/>
          <w:iCs/>
        </w:rPr>
        <w:t>worse</w:t>
      </w:r>
      <w:r>
        <w:rPr/>
        <w:t xml:space="preserve"> only if the CI excludes zero and the Holm-adjusted p-value (p</w:t>
      </w:r>
      <w:r>
        <w:rPr>
          <w:vertAlign w:val="subscript"/>
        </w:rPr>
        <w:t>holm</w:t>
      </w:r>
      <w:r>
        <w:rPr/>
        <w:t xml:space="preserve">) is below 0.05; otherwise it is </w:t>
      </w:r>
      <w:r>
        <w:rPr>
          <w:i/>
          <w:iCs/>
        </w:rPr>
        <w:t>inconclusive</w:t>
      </w:r>
      <w:r>
        <w:rPr/>
        <w:t xml:space="preserve">. Inconclusive is never read as equivalence; equivalence is claimed only through two one-sided tests (TOST) [40] against a margin fixed in advance. A guarantee check uses a bootstrap CI on the realised risk: it </w:t>
      </w:r>
      <w:r>
        <w:rPr>
          <w:i/>
          <w:iCs/>
        </w:rPr>
        <w:t>holds</w:t>
      </w:r>
      <w:r>
        <w:rPr/>
        <w:t xml:space="preserve"> if the upper bound is below the nominal level α, it is </w:t>
      </w:r>
      <w:r>
        <w:rPr>
          <w:i/>
          <w:iCs/>
        </w:rPr>
        <w:t>violated</w:t>
      </w:r>
      <w:r>
        <w:rPr/>
        <w:t xml:space="preserve"> if the lower bound exceeds α, and it is </w:t>
      </w:r>
      <w:r>
        <w:rPr>
          <w:i/>
          <w:iCs/>
        </w:rPr>
        <w:t>inconclusive</w:t>
      </w:r>
      <w:r>
        <w:rPr/>
        <w:t xml:space="preserve"> otherwise. The seed-to-seed noise floor was measured, not assumed, by retraining both the proposed model and the baseline at a second seed.</w:t>
      </w:r>
    </w:p>
    <w:p>
      <w:pPr>
        <w:pStyle w:val="Normal"/>
        <w:ind w:firstLine="288"/>
        <w:jc w:val="both"/>
        <w:rPr/>
      </w:pPr>
      <w:r>
        <w:rPr/>
        <w:t xml:space="preserve">Case-level tests compare two trained networks on the same cases, so their p-values are conditional on the trained weights: they establish that two specific networks differ, not that two architectures differ in expectation over training runs. Run-to-run variation is not in these p-values, which is why a retrained copy of the same model can differ from itself at the registered threshold (Section VI-A). Statements about architectures therefore rest on replication across seeds, of which this study has two for the proposed model and the baseline and one for the capacity control and the ablation; decompositions that involve the single-seed arms are descriptive. Because the Wilcoxon test and the bootstrap mean interval address different estimands, the rank test being sensitive to many small consistent differences and the mean to a few large ones, the two can disagree; where the rank test rejects but the mean interval includes zero, as for whole tumour in Tables IV and V, the comparison is inconclusive by the rule above.</w:t>
      </w:r>
    </w:p>
    <w:p>
      <w:pPr>
        <w:pStyle w:val="Normal"/>
        <w:keepNext w:val="true"/>
        <w:spacing w:before="130" w:after="40"/>
        <w:rPr/>
      </w:pPr>
      <w:r>
        <w:rPr>
          <w:i/>
          <w:iCs/>
        </w:rPr>
        <w:t>C. Verdict labels</w:t>
      </w:r>
    </w:p>
    <w:p>
      <w:pPr>
        <w:pStyle w:val="Normal"/>
        <w:ind w:firstLine="288"/>
        <w:jc w:val="both"/>
        <w:rPr/>
      </w:pPr>
      <w:r>
        <w:rPr/>
        <w:t xml:space="preserve">Each hypothesis receives one of five labels, assigned by its pre-registered decision rule rather than by impression. </w:t>
      </w:r>
      <w:r>
        <w:rPr>
          <w:i/>
          <w:iCs/>
        </w:rPr>
        <w:t>Supported:</w:t>
      </w:r>
      <w:r>
        <w:rPr/>
        <w:t xml:space="preserve"> the registered prediction held on every registered endpoint. </w:t>
      </w:r>
      <w:r>
        <w:rPr>
          <w:i/>
          <w:iCs/>
        </w:rPr>
        <w:t>Mixed:</w:t>
      </w:r>
      <w:r>
        <w:rPr/>
        <w:t xml:space="preserve"> the rule fired, but the same family contains significant results in the opposite direction. </w:t>
      </w:r>
      <w:r>
        <w:rPr>
          <w:i/>
          <w:iCs/>
        </w:rPr>
        <w:t>Not supported:</w:t>
      </w:r>
      <w:r>
        <w:rPr/>
        <w:t xml:space="preserve"> the prediction failed without the opposite being shown. </w:t>
      </w:r>
      <w:r>
        <w:rPr>
          <w:i/>
          <w:iCs/>
        </w:rPr>
        <w:t>Refuted:</w:t>
      </w:r>
      <w:r>
        <w:rPr/>
        <w:t xml:space="preserve"> the opposite was shown at the registered significance. </w:t>
      </w:r>
      <w:r>
        <w:rPr>
          <w:i/>
          <w:iCs/>
        </w:rPr>
        <w:t>Not demonstrated:</w:t>
      </w:r>
      <w:r>
        <w:rPr/>
        <w:t xml:space="preserve"> the analysis was, by its own advance power statement, unable to resolve an effect of the observed size. Table XVI uses these labels.</w:t>
      </w:r>
    </w:p>
    <w:p>
      <w:pPr>
        <w:pStyle w:val="Normal"/>
        <w:keepNext w:val="true"/>
        <w:spacing w:before="130" w:after="40"/>
        <w:rPr/>
      </w:pPr>
      <w:r>
        <w:rPr>
          <w:i/>
          <w:iCs/>
        </w:rPr>
        <w:t>D. Separation of fitting, evaluation and deployment</w:t>
      </w:r>
    </w:p>
    <w:p>
      <w:pPr>
        <w:pStyle w:val="Normal"/>
        <w:ind w:firstLine="288"/>
        <w:jc w:val="both"/>
        <w:rPr/>
      </w:pPr>
      <w:r>
        <w:rPr/>
        <w:t>Three rules keep the measurements honest. Nothing is fitted on the external cohorts: thresholds, temperatures and QC cut-points come from the BraTS training or validation splits and are applied frozen. Every post-hoc change to the deployed gate is measured as a separate, labelled variant beside the pre-registered result it modifies (Section IX-C). And a fix to an analysis is verified by re-running the real analysis, not only by unit tests: an early calibration measurement in this project, in which 41–57% of the reported calibration error came from a circularly defined evaluation mask, was caught only that way, and was corrected before any number reported here.</w:t>
      </w:r>
    </w:p>
    <w:p>
      <w:pPr>
        <w:pStyle w:val="Normal"/>
        <w:keepNext w:val="true"/>
        <w:spacing w:before="220" w:after="90"/>
        <w:jc w:val="center"/>
        <w:rPr/>
      </w:pPr>
      <w:r>
        <w:rPr/>
        <w:t>IV.  DATA</w:t>
      </w:r>
    </w:p>
    <w:p>
      <w:pPr>
        <w:pStyle w:val="Normal"/>
        <w:keepNext w:val="true"/>
        <w:spacing w:before="130" w:after="40"/>
        <w:rPr/>
      </w:pPr>
      <w:r>
        <w:rPr>
          <w:i/>
          <w:iCs/>
        </w:rPr>
        <w:t>A. Cohorts</w:t>
      </w:r>
    </w:p>
    <w:p>
      <w:pPr>
        <w:pStyle w:val="Normal"/>
        <w:keepNext w:val="true"/>
        <w:spacing w:before="160" w:after="50"/>
        <w:jc w:val="center"/>
        <w:rPr/>
      </w:pPr>
      <w:r>
        <w:rPr>
          <w:b/>
          <w:bCs/>
          <w:caps/>
          <w:sz w:val="16"/>
          <w:szCs w:val="16"/>
        </w:rPr>
        <w:t>Table I.  Cohorts and their roles</w:t>
      </w:r>
    </w:p>
    <w:tbl>
      <w:tblPr>
        <w:tblW w:w="5040" w:type="dxa"/>
        <w:jc w:val="center"/>
        <w:tblInd w:w="0" w:type="dxa"/>
        <w:tblLayout w:type="fixed"/>
        <w:tblCellMar>
          <w:top w:w="25" w:type="dxa"/>
          <w:left w:w="55" w:type="dxa"/>
          <w:bottom w:w="25" w:type="dxa"/>
          <w:right w:w="55" w:type="dxa"/>
        </w:tblCellMar>
      </w:tblPr>
      <w:tblGrid>
        <w:gridCol w:w="1499"/>
        <w:gridCol w:w="421"/>
        <w:gridCol w:w="1700"/>
        <w:gridCol w:w="1419"/>
      </w:tblGrid>
      <w:tr>
        <w:trPr>
          <w:tblHeader w:val="true"/>
          <w:cantSplit w:val="true"/>
        </w:trPr>
        <w:tc>
          <w:tcPr>
            <w:tcW w:w="1499"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Cohort</w:t>
            </w:r>
          </w:p>
        </w:tc>
        <w:tc>
          <w:tcPr>
            <w:tcW w:w="421"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n</w:t>
            </w:r>
          </w:p>
        </w:tc>
        <w:tc>
          <w:tcPr>
            <w:tcW w:w="17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Role</w:t>
            </w:r>
          </w:p>
        </w:tc>
        <w:tc>
          <w:tcPr>
            <w:tcW w:w="1419"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Notes</w:t>
            </w:r>
          </w:p>
        </w:tc>
      </w:tr>
      <w:tr>
        <w:trPr>
          <w:cantSplit w:val="true"/>
        </w:trPr>
        <w:tc>
          <w:tcPr>
            <w:tcW w:w="14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BraTS 2021 train [2]</w:t>
            </w:r>
          </w:p>
        </w:tc>
        <w:tc>
          <w:tcPr>
            <w:tcW w:w="4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875</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Training</w:t>
            </w:r>
          </w:p>
        </w:tc>
        <w:tc>
          <w:tcPr>
            <w:tcW w:w="14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Random split, seed 42, frozen</w:t>
            </w:r>
          </w:p>
        </w:tc>
      </w:tr>
      <w:tr>
        <w:trPr>
          <w:cantSplit w:val="true"/>
        </w:trPr>
        <w:tc>
          <w:tcPr>
            <w:tcW w:w="14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BraTS 2021 val</w:t>
            </w:r>
          </w:p>
        </w:tc>
        <w:tc>
          <w:tcPr>
            <w:tcW w:w="4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187</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Model selection; fitting of CRC, temperature, QC and gate thresholds</w:t>
            </w:r>
          </w:p>
        </w:tc>
        <w:tc>
          <w:tcPr>
            <w:tcW w:w="14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Same distribution as training</w:t>
            </w:r>
          </w:p>
        </w:tc>
      </w:tr>
      <w:tr>
        <w:trPr>
          <w:cantSplit w:val="true"/>
        </w:trPr>
        <w:tc>
          <w:tcPr>
            <w:tcW w:w="14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BraTS 2021 test</w:t>
            </w:r>
          </w:p>
        </w:tc>
        <w:tc>
          <w:tcPr>
            <w:tcW w:w="4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189</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In-distribution evaluation</w:t>
            </w:r>
          </w:p>
        </w:tc>
        <w:tc>
          <w:tcPr>
            <w:tcW w:w="14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Not the hidden BraTS test set</w:t>
            </w:r>
          </w:p>
        </w:tc>
      </w:tr>
      <w:tr>
        <w:trPr>
          <w:cantSplit w:val="true"/>
        </w:trPr>
        <w:tc>
          <w:tcPr>
            <w:tcW w:w="14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BraTS-Africa (SSA) [11]</w:t>
            </w:r>
          </w:p>
        </w:tc>
        <w:tc>
          <w:tcPr>
            <w:tcW w:w="4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60</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External, adult</w:t>
            </w:r>
          </w:p>
        </w:tc>
        <w:tc>
          <w:tcPr>
            <w:tcW w:w="14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Evaluation only; nothing fitted</w:t>
            </w:r>
          </w:p>
        </w:tc>
      </w:tr>
      <w:tr>
        <w:trPr>
          <w:cantSplit w:val="true"/>
        </w:trPr>
        <w:tc>
          <w:tcPr>
            <w:tcW w:w="14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BraTS-PEDs (PED) [12]</w:t>
            </w:r>
          </w:p>
        </w:tc>
        <w:tc>
          <w:tcPr>
            <w:tcW w:w="4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99</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External, paediatric</w:t>
            </w:r>
          </w:p>
        </w:tc>
        <w:tc>
          <w:tcPr>
            <w:tcW w:w="14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Evaluation only; nothing fitted</w:t>
            </w:r>
          </w:p>
        </w:tc>
      </w:tr>
      <w:tr>
        <w:trPr>
          <w:cantSplit w:val="true"/>
        </w:trPr>
        <w:tc>
          <w:tcPr>
            <w:tcW w:w="14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RSNA-MICCAI DICOM [2]</w:t>
            </w:r>
          </w:p>
        </w:tc>
        <w:tc>
          <w:tcPr>
            <w:tcW w:w="4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40</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Front-end measurement</w:t>
            </w:r>
          </w:p>
        </w:tc>
        <w:tc>
          <w:tcPr>
            <w:tcW w:w="14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Original DICOM of test-split patients</w:t>
            </w:r>
          </w:p>
        </w:tc>
      </w:tr>
      <w:tr>
        <w:trPr>
          <w:cantSplit w:val="true"/>
        </w:trPr>
        <w:tc>
          <w:tcPr>
            <w:tcW w:w="14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UPenn-GBM DICOM [41]</w:t>
            </w:r>
          </w:p>
        </w:tc>
        <w:tc>
          <w:tcPr>
            <w:tcW w:w="4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3</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Demonstration only</w:t>
            </w:r>
          </w:p>
        </w:tc>
        <w:tc>
          <w:tcPr>
            <w:tcW w:w="14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BraTS training patients; excluded from all statistics</w:t>
            </w:r>
          </w:p>
        </w:tc>
      </w:tr>
    </w:tbl>
    <w:p>
      <w:pPr>
        <w:pStyle w:val="Normal"/>
        <w:spacing w:before="40" w:after="100"/>
        <w:jc w:val="both"/>
        <w:rPr/>
      </w:pPr>
      <w:r>
        <w:rPr>
          <w:i/>
          <w:iCs/>
          <w:sz w:val="14"/>
          <w:szCs w:val="14"/>
        </w:rPr>
        <w:t>All cohorts use BraTS label values; SSA and PED use BraTS 2023 values and RAS orientation, handled from each file's own affine. PED shares the label values but not the adult tumour-core definition (Section IV-A).</w:t>
      </w:r>
    </w:p>
    <w:p>
      <w:pPr>
        <w:pStyle w:val="Normal"/>
        <w:ind w:firstLine="288"/>
        <w:jc w:val="both"/>
        <w:rPr/>
      </w:pPr>
      <w:r>
        <w:rPr/>
        <w:t>The in-distribution data are the 1,251 cases of the BraTS 2021 Task 1 training set [2], split once at random with seed 42 into 875 training, 187 validation and 189 test cases (Table I). The split is frozen in configuration: adding cases raises an error instead of reshuffling. Because these are random splits of the public training set, absolute scores are not comparable with leaderboard results on the hidden BraTS test set. The two external cohorts come from BraTS 2023: 60 adult glioma cases from Sub-Saharan Africa, whose images are typically of lower quality than those of the training population [11] and which follow the adult label protocol, and 99 paediatric cases [12], whose tumour types, appearance and anatomy differ from adult glioma. The three are not points on one scale of shift. SSA changes acquisition and population but not the task. PED changes disease and anatomy and, for tumour core, the task itself: its label 1 is the union of non-enhancing tumour, cystic component and necrosis [12], whereas adult tumour core is enhancing tumour plus necrosis, with the surrounding oedematous and invaded tissue counted in whole tumour only [2]. Paediatric tumour core therefore includes solid non-enhancing and cystic tissue that an adult-trained model has been taught to leave out of tumour core. Whole tumour is the only region whose definition is comparable across all three cohorts, and every PED tumour-core result below is read in that light. With three cohorts, no ordering of shifts by size can be established, and none is claimed.</w:t>
      </w:r>
    </w:p>
    <w:p>
      <w:pPr>
        <w:pStyle w:val="Normal"/>
        <w:ind w:firstLine="288"/>
        <w:jc w:val="both"/>
        <w:rPr/>
      </w:pPr>
      <w:r>
        <w:rPr/>
        <w:t>For the front-end measurement we downloaded the original RSNA-MICCAI DICOM studies [2] of 40 BraTS 2021 test-split patients, sampled and frozen before download. Because these are the same patients as in the test split, this measurement isolates the clinical front end and is not external validation. Three UPenn-GBM DICOM studies [41] serve only as demonstration fixtures; they were later found to be BraTS training patients and are excluded from every statistic.</w:t>
      </w:r>
    </w:p>
    <w:p>
      <w:pPr>
        <w:pStyle w:val="Normal"/>
        <w:keepNext w:val="true"/>
        <w:spacing w:before="130" w:after="40"/>
        <w:rPr/>
      </w:pPr>
      <w:r>
        <w:rPr>
          <w:i/>
          <w:iCs/>
        </w:rPr>
        <w:t>B. Preprocessing and label convention</w:t>
      </w:r>
    </w:p>
    <w:p>
      <w:pPr>
        <w:pStyle w:val="Normal"/>
        <w:ind w:firstLine="288"/>
        <w:jc w:val="both"/>
        <w:rPr/>
      </w:pPr>
      <w:r>
        <w:rPr/>
        <w:t xml:space="preserve">Research-path preprocessing runs once, offline. Each case is reoriented to LPS from its own affine (a no-op for BraTS 2021 and a genuine flip for the RAS-oriented BraTS 2023 cohorts); each channel is z-scored over its nonzero (brain) voxels only, so that the background, about 83% of the 240 × 240 × 155 grid, does not distort the statistics; the volume is cropped to its nonzero bounding box, which is recorded so that predictions can be restored to the full grid; and labels are remapped from {0, 1, 2, 4} to {0, 1, 2, 3}. Images are stored as float16 and labels as uint8, about 27 MB per case and 34 GB in total for the 1,251 in-distribution cases. Labels are converted to three nested binary channels, ET = {3}, TC = {1, 3} and WT = {1, 2, 3}, predicted by independent sigmoids; the model never uses a four-way softmax or an argmax. This is deliberate: common library converters and losses assume a different label layout and fail silently on this one.</w:t>
      </w:r>
    </w:p>
    <w:p>
      <w:pPr>
        <w:pStyle w:val="Normal"/>
        <w:keepNext w:val="true"/>
        <w:spacing w:before="220" w:after="90"/>
        <w:jc w:val="center"/>
        <w:rPr/>
      </w:pPr>
      <w:r>
        <w:rPr/>
        <w:t>V.  METHODS</w:t>
      </w:r>
    </w:p>
    <w:p>
      <w:pPr>
        <w:pStyle w:val="Normal"/>
        <w:keepNext w:val="true"/>
        <w:spacing w:before="130" w:after="40"/>
        <w:rPr/>
      </w:pPr>
      <w:r>
        <w:rPr>
          <w:i/>
          <w:iCs/>
        </w:rPr>
        <w:t>A. Architecture</w:t>
      </w:r>
    </w:p>
    <w:p>
      <w:pPr>
        <w:pStyle w:val="Normal"/>
        <w:ind w:firstLine="288"/>
        <w:jc w:val="both"/>
        <w:rPr/>
      </w:pPr>
      <w:r>
        <w:rPr/>
        <w:t xml:space="preserve">The model (Fig. 1) has two encoders over the same four-channel input. A residual 3D convolutional encoder has five stages at strides 1, 2, 4, 8 and 16 with 32, 64, 128, 256 and 320 channels, two residual blocks per stage, group normalisation and zero-initialised residual branches, so each block starts as the identity. A Swin transformer encoder [19] (the MONAI backbone [42]; feature size 48, depths 2-2-2-2, heads 3-6-12-24, window 7, patch size 2, gradient checkpointing) supplies features at strides 2–16 with 48–384 channels; its stride-2 output is the patch embedding, before any attention has been applied. At each of the four shared strides an adaptive gated fusion block combines the two encoders, and the stride-1 CNN skip is passed on unfused. A U-Net decoder with transposed-convolution upsampling and two blocks per stage feeds three heads: segmentation, with deep supervision [43] at strides 1, 2 and 4; a voxel-wise confidence head; and a boundary head. The model has 34,911,341 parameters: 18.85 M in the CNN, 2.04 M in the Swin encoder, 1.05 M in fusion, 12.93 M in the decoder and 0.04 M in the heads and probes. The transformer is therefore a small side branch of a predominantly convolutional network.</w:t>
      </w:r>
    </w:p>
    <w:p>
      <w:pPr>
        <w:sectPr>
          <w:type w:val="continuous"/>
          <w:pgSz w:w="12240" w:h="15840"/>
          <w:pgMar w:left="900" w:right="900" w:gutter="0" w:header="0" w:top="1080" w:footer="708" w:bottom="1440"/>
          <w:cols w:num="2" w:space="360" w:equalWidth="true" w:sep="false"/>
          <w:formProt w:val="false"/>
          <w:textDirection w:val="lrTb"/>
          <w:docGrid w:type="default" w:linePitch="360" w:charSpace="8192"/>
        </w:sectPr>
      </w:pPr>
    </w:p>
    <w:p>
      <w:pPr>
        <w:pStyle w:val="Normal"/>
        <w:keepNext w:val="true"/>
        <w:spacing w:before="80" w:after="40"/>
        <w:jc w:val="center"/>
        <w:rPr/>
      </w:pPr>
      <w:r>
        <w:rPr/>
        <w:drawing>
          <wp:inline distT="0" distB="0" distL="0" distR="0">
            <wp:extent cx="6400800" cy="2780030"/>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5"/>
                    <a:stretch>
                      <a:fillRect/>
                    </a:stretch>
                  </pic:blipFill>
                  <pic:spPr bwMode="auto">
                    <a:xfrm>
                      <a:off x="0" y="0"/>
                      <a:ext cx="6400800" cy="2780030"/>
                    </a:xfrm>
                    <a:prstGeom prst="rect">
                      <a:avLst/>
                    </a:prstGeom>
                  </pic:spPr>
                </pic:pic>
              </a:graphicData>
            </a:graphic>
          </wp:inline>
        </w:drawing>
      </w:r>
    </w:p>
    <w:p>
      <w:pPr>
        <w:pStyle w:val="Normal"/>
        <w:spacing w:before="0" w:after="140"/>
        <w:jc w:val="center"/>
        <w:rPr/>
      </w:pPr>
      <w:r>
        <w:rPr>
          <w:sz w:val="16"/>
          <w:szCs w:val="16"/>
        </w:rPr>
        <w:t xml:space="preserve">Fig. 1.  Proposed architecture. (a) A residual 3D CNN and a Swin transformer encode the same input; gated fusion blocks at strides 2–16 inject transformer context into the CNN skips of a U-Net decoder with deep supervision (DS) and auxiliary confidence and boundary heads. (b) Fusion block: branch probes on detached features form the ambiguity signal s; a per-voxel scalar gate g modulates windowed cross-attention added residually to the CNN feature.</w:t>
      </w:r>
    </w:p>
    <w:p>
      <w:pPr>
        <w:sectPr>
          <w:type w:val="continuous"/>
          <w:pgSz w:w="12240" w:h="15840"/>
          <w:pgMar w:left="900" w:right="900" w:gutter="0" w:header="0" w:top="1080" w:footer="708" w:bottom="1440"/>
          <w:formProt w:val="false"/>
          <w:textDirection w:val="lrTb"/>
          <w:docGrid w:type="default" w:linePitch="360" w:charSpace="8192"/>
        </w:sectPr>
      </w:pPr>
    </w:p>
    <w:p>
      <w:pPr>
        <w:pStyle w:val="Normal"/>
        <w:ind w:firstLine="288"/>
        <w:jc w:val="both"/>
        <w:rPr/>
      </w:pPr>
      <w:r>
        <w:rPr>
          <w:i/>
          <w:iCs/>
        </w:rPr>
        <w:t xml:space="preserve">Fusion block.</w:t>
      </w:r>
      <w:r>
        <w:rPr/>
        <w:t xml:space="preserve"> The Swin feature F</w:t>
      </w:r>
      <w:r>
        <w:rPr>
          <w:vertAlign w:val="subscript"/>
        </w:rPr>
        <w:t xml:space="preserve">s</w:t>
      </w:r>
      <w:r>
        <w:rPr/>
        <w:t xml:space="preserve"> is projected by a 1×1×1 convolution to the CNN width, giving F′</w:t>
      </w:r>
      <w:r>
        <w:rPr>
          <w:vertAlign w:val="subscript"/>
        </w:rPr>
        <w:t xml:space="preserve">s</w:t>
      </w:r>
      <w:r>
        <w:rPr/>
        <w:t xml:space="preserve">. Two 1×1×1 probes read detached copies of the branch features and output per-voxel class probabilities p</w:t>
      </w:r>
      <w:r>
        <w:rPr>
          <w:vertAlign w:val="subscript"/>
        </w:rPr>
        <w:t xml:space="preserve">c</w:t>
      </w:r>
      <w:r>
        <w:rPr/>
        <w:t xml:space="preserve"> and p</w:t>
      </w:r>
      <w:r>
        <w:rPr>
          <w:vertAlign w:val="subscript"/>
        </w:rPr>
        <w:t xml:space="preserve">s</w:t>
      </w:r>
      <w:r>
        <w:rPr/>
        <w:t xml:space="preserve">; detaching means that the probes observe the branches without shaping them. With the binary entropy of a probability p = σ(z), in bits, written through the logit z and the softplus ζ(z) = ln(1 + e</w:t>
      </w:r>
      <w:r>
        <w:rPr>
          <w:vertAlign w:val="superscript"/>
        </w:rPr>
        <w:t xml:space="preserve">z</w:t>
      </w:r>
      <w:r>
        <w:rPr/>
        <w:t xml:space="preserve">),</w:t>
      </w:r>
    </w:p>
    <w:p>
      <w:pPr>
        <w:pStyle w:val="Normal"/>
        <w:tabs>
          <w:tab w:val="clear" w:pos="720"/>
          <w:tab w:val="center" w:pos="2520" w:leader="none"/>
          <w:tab w:val="right" w:pos="5040" w:leader="none"/>
        </w:tabs>
        <w:spacing w:before="60" w:after="60"/>
        <w:rPr/>
      </w:pPr>
      <w:r>
        <w:rPr/>
        <w:tab/>
      </w:r>
      <m:oMath>
        <m:r>
          <m:t>H</m:t>
        </m:r>
        <m:d>
          <m:dPr>
            <m:begChr m:val="("/>
            <m:sepChr m:val=""/>
            <m:endChr m:val=")"/>
            <m:grow/>
          </m:dPr>
          <m:e>
            <m:r>
              <m:t>p</m:t>
            </m:r>
          </m:e>
        </m:d>
        <m:r>
          <m:rPr>
            <m:sty m:val="p"/>
          </m:rPr>
          <m:t>=</m:t>
        </m:r>
        <m:f>
          <m:fPr>
            <m:type m:val="bar"/>
          </m:fPr>
          <m:num>
            <m:r>
              <m:t>p</m:t>
            </m:r>
            <m:r>
              <m:t> </m:t>
            </m:r>
            <m:r>
              <m:t>ζ</m:t>
            </m:r>
            <m:d>
              <m:dPr>
                <m:begChr m:val="("/>
                <m:sepChr m:val=""/>
                <m:endChr m:val=")"/>
                <m:grow/>
              </m:dPr>
              <m:e>
                <m:r>
                  <m:rPr>
                    <m:sty m:val="p"/>
                  </m:rPr>
                  <m:t>−</m:t>
                </m:r>
                <m:r>
                  <m:t>z</m:t>
                </m:r>
              </m:e>
            </m:d>
            <m:r>
              <m:rPr>
                <m:sty m:val="p"/>
              </m:rPr>
              <m:t>+</m:t>
            </m:r>
            <m:d>
              <m:dPr>
                <m:begChr m:val="("/>
                <m:sepChr m:val=""/>
                <m:endChr m:val=")"/>
                <m:grow/>
              </m:dPr>
              <m:e>
                <m:r>
                  <m:t>1</m:t>
                </m:r>
                <m:r>
                  <m:rPr>
                    <m:sty m:val="p"/>
                  </m:rPr>
                  <m:t>−</m:t>
                </m:r>
                <m:r>
                  <m:t>p</m:t>
                </m:r>
              </m:e>
            </m:d>
            <m:r>
              <m:t> </m:t>
            </m:r>
            <m:r>
              <m:t>ζ</m:t>
            </m:r>
            <m:d>
              <m:dPr>
                <m:begChr m:val="("/>
                <m:sepChr m:val=""/>
                <m:endChr m:val=")"/>
                <m:grow/>
              </m:dPr>
              <m:e>
                <m:r>
                  <m:t>z</m:t>
                </m:r>
              </m:e>
            </m:d>
          </m:num>
          <m:den>
            <m:r>
              <m:rPr>
                <m:sty m:val="p"/>
              </m:rPr>
              <m:t>ln</m:t>
            </m:r>
            <m:r>
              <m:t>2</m:t>
            </m:r>
          </m:den>
        </m:f>
        <m:r>
          <m:rPr>
            <m:sty m:val="p"/>
          </m:rPr>
          <m:t>,</m:t>
        </m:r>
        <m:r>
          <m:t> </m:t>
        </m:r>
        <m:r>
          <m:t>p</m:t>
        </m:r>
        <m:r>
          <m:rPr>
            <m:sty m:val="p"/>
          </m:rPr>
          <m:t>=</m:t>
        </m:r>
        <m:r>
          <m:t>σ</m:t>
        </m:r>
        <m:d>
          <m:dPr>
            <m:begChr m:val="("/>
            <m:sepChr m:val=""/>
            <m:endChr m:val=")"/>
            <m:grow/>
          </m:dPr>
          <m:e>
            <m:r>
              <m:t>z</m:t>
            </m:r>
          </m:e>
        </m:d>
      </m:oMath>
      <w:r>
        <w:rPr/>
        <w:tab/>
        <w:t>(1)</w:t>
      </w:r>
    </w:p>
    <w:p>
      <w:pPr>
        <w:pStyle w:val="Normal"/>
        <w:jc w:val="both"/>
        <w:rPr/>
      </w:pPr>
      <w:r>
        <w:rPr/>
        <w:t>the block forms a three-channel ambiguity signal, a gate and a residual update,</w:t>
      </w:r>
    </w:p>
    <w:p>
      <w:pPr>
        <w:pStyle w:val="Normal"/>
        <w:tabs>
          <w:tab w:val="clear" w:pos="720"/>
          <w:tab w:val="center" w:pos="2520" w:leader="none"/>
          <w:tab w:val="right" w:pos="5040" w:leader="none"/>
        </w:tabs>
        <w:spacing w:before="60" w:after="60"/>
        <w:rPr/>
      </w:pPr>
      <w:r>
        <w:rPr/>
        <w:tab/>
      </w:r>
      <m:oMath>
        <m:r>
          <m:t>s</m:t>
        </m:r>
        <m:r>
          <m:rPr>
            <m:sty m:val="p"/>
          </m:rPr>
          <m:t>=</m:t>
        </m:r>
        <m:d>
          <m:dPr>
            <m:begChr m:val="["/>
            <m:sepChr m:val=""/>
            <m:endChr m:val="]"/>
            <m:grow/>
          </m:dPr>
          <m:e>
            <m:r>
              <m:t> </m:t>
            </m:r>
            <m:r>
              <m:rPr>
                <m:sty m:val="p"/>
              </m:rPr>
              <m:t>|</m:t>
            </m:r>
            <m:sSub>
              <m:e>
                <m:r>
                  <m:t>p</m:t>
                </m:r>
              </m:e>
              <m:sub>
                <m:r>
                  <m:t>c</m:t>
                </m:r>
              </m:sub>
            </m:sSub>
            <m:r>
              <m:rPr>
                <m:sty m:val="p"/>
              </m:rPr>
              <m:t>−</m:t>
            </m:r>
            <m:sSub>
              <m:e>
                <m:r>
                  <m:t>p</m:t>
                </m:r>
              </m:e>
              <m:sub>
                <m:r>
                  <m:t>s</m:t>
                </m:r>
              </m:sub>
            </m:sSub>
            <m:r>
              <m:rPr>
                <m:sty m:val="p"/>
              </m:rPr>
              <m:t>|</m:t>
            </m:r>
            <m:r>
              <m:rPr>
                <m:sty m:val="p"/>
              </m:rPr>
              <m:t>,</m:t>
            </m:r>
            <m:r>
              <m:t> </m:t>
            </m:r>
            <m:r>
              <m:t>H</m:t>
            </m:r>
            <m:d>
              <m:dPr>
                <m:begChr m:val="("/>
                <m:sepChr m:val=""/>
                <m:endChr m:val=")"/>
                <m:grow/>
              </m:dPr>
              <m:e>
                <m:sSub>
                  <m:e>
                    <m:r>
                      <m:t>p</m:t>
                    </m:r>
                  </m:e>
                  <m:sub>
                    <m:r>
                      <m:t>c</m:t>
                    </m:r>
                  </m:sub>
                </m:sSub>
              </m:e>
            </m:d>
            <m:r>
              <m:rPr>
                <m:sty m:val="p"/>
              </m:rPr>
              <m:t>,</m:t>
            </m:r>
            <m:r>
              <m:t> </m:t>
            </m:r>
            <m:r>
              <m:t>H</m:t>
            </m:r>
            <m:d>
              <m:dPr>
                <m:begChr m:val="("/>
                <m:sepChr m:val=""/>
                <m:endChr m:val=")"/>
                <m:grow/>
              </m:dPr>
              <m:e>
                <m:sSub>
                  <m:e>
                    <m:r>
                      <m:t>p</m:t>
                    </m:r>
                  </m:e>
                  <m:sub>
                    <m:r>
                      <m:t>s</m:t>
                    </m:r>
                  </m:sub>
                </m:sSub>
              </m:e>
            </m:d>
            <m:r>
              <m:t> </m:t>
            </m:r>
          </m:e>
        </m:d>
      </m:oMath>
      <w:r>
        <w:rPr/>
        <w:tab/>
        <w:t>(2)</w:t>
      </w:r>
    </w:p>
    <w:p>
      <w:pPr>
        <w:pStyle w:val="Normal"/>
        <w:tabs>
          <w:tab w:val="clear" w:pos="720"/>
          <w:tab w:val="center" w:pos="2520" w:leader="none"/>
          <w:tab w:val="right" w:pos="5040" w:leader="none"/>
        </w:tabs>
        <w:spacing w:before="60" w:after="60"/>
        <w:rPr/>
      </w:pPr>
      <w:r>
        <w:rPr/>
        <w:tab/>
      </w:r>
      <m:oMath>
        <m:r>
          <m:t>g</m:t>
        </m:r>
        <m:r>
          <m:rPr>
            <m:sty m:val="p"/>
          </m:rPr>
          <m:t>=</m:t>
        </m:r>
        <m:r>
          <m:t>σ</m:t>
        </m:r>
        <m:d>
          <m:dPr>
            <m:begChr m:val="("/>
            <m:sepChr m:val=""/>
            <m:endChr m:val=")"/>
            <m:grow/>
          </m:dPr>
          <m:e>
            <m:r>
              <m:t>φ</m:t>
            </m:r>
            <m:d>
              <m:dPr>
                <m:begChr m:val="("/>
                <m:sepChr m:val=""/>
                <m:endChr m:val=")"/>
                <m:grow/>
              </m:dPr>
              <m:e>
                <m:d>
                  <m:dPr>
                    <m:begChr m:val="["/>
                    <m:sepChr m:val=""/>
                    <m:endChr m:val="]"/>
                    <m:grow/>
                  </m:dPr>
                  <m:e>
                    <m:sSub>
                      <m:e>
                        <m:r>
                          <m:t>F</m:t>
                        </m:r>
                      </m:e>
                      <m:sub>
                        <m:r>
                          <m:t>c</m:t>
                        </m:r>
                      </m:sub>
                    </m:sSub>
                    <m:r>
                      <m:rPr>
                        <m:sty m:val="p"/>
                      </m:rPr>
                      <m:t>,</m:t>
                    </m:r>
                    <m:r>
                      <m:t> </m:t>
                    </m:r>
                    <m:r>
                      <m:t>F</m:t>
                    </m:r>
                    <m:sSub>
                      <m:e>
                        <m:r>
                          <m:rPr>
                            <m:sty m:val="p"/>
                          </m:rPr>
                          <m:t>′</m:t>
                        </m:r>
                      </m:e>
                      <m:sub>
                        <m:r>
                          <m:t>s</m:t>
                        </m:r>
                      </m:sub>
                    </m:sSub>
                    <m:r>
                      <m:rPr>
                        <m:sty m:val="p"/>
                      </m:rPr>
                      <m:t>,</m:t>
                    </m:r>
                    <m:r>
                      <m:t> </m:t>
                    </m:r>
                    <m:r>
                      <m:t>s</m:t>
                    </m:r>
                  </m:e>
                </m:d>
              </m:e>
            </m:d>
          </m:e>
        </m:d>
      </m:oMath>
      <w:r>
        <w:rPr/>
        <w:tab/>
        <w:t>(3)</w:t>
      </w:r>
    </w:p>
    <w:p>
      <w:pPr>
        <w:pStyle w:val="Normal"/>
        <w:tabs>
          <w:tab w:val="clear" w:pos="720"/>
          <w:tab w:val="center" w:pos="2520" w:leader="none"/>
          <w:tab w:val="right" w:pos="5040" w:leader="none"/>
        </w:tabs>
        <w:spacing w:before="60" w:after="60"/>
        <w:rPr/>
      </w:pPr>
      <w:r>
        <w:rPr/>
        <w:tab/>
      </w:r>
      <m:oMath>
        <m:sSub>
          <m:e>
            <m:r>
              <m:t>F</m:t>
            </m:r>
          </m:e>
          <m:sub>
            <m:r>
              <m:rPr>
                <m:nor/>
              </m:rPr>
              <m:t>out</m:t>
            </m:r>
          </m:sub>
        </m:sSub>
        <m:r>
          <m:rPr>
            <m:sty m:val="p"/>
          </m:rPr>
          <m:t>=</m:t>
        </m:r>
        <m:sSub>
          <m:e>
            <m:r>
              <m:t>F</m:t>
            </m:r>
          </m:e>
          <m:sub>
            <m:r>
              <m:t>c</m:t>
            </m:r>
          </m:sub>
        </m:sSub>
        <m:r>
          <m:rPr>
            <m:sty m:val="p"/>
          </m:rPr>
          <m:t>+</m:t>
        </m:r>
        <m:r>
          <m:t>γ</m:t>
        </m:r>
        <m:r>
          <m:rPr>
            <m:sty m:val="p"/>
          </m:rPr>
          <m:t>⊙</m:t>
        </m:r>
        <m:r>
          <m:t>g</m:t>
        </m:r>
        <m:r>
          <m:rPr>
            <m:sty m:val="p"/>
          </m:rPr>
          <m:t>⊙</m:t>
        </m:r>
        <m:r>
          <m:t>A</m:t>
        </m:r>
        <m:d>
          <m:dPr>
            <m:begChr m:val="("/>
            <m:sepChr m:val=""/>
            <m:endChr m:val=")"/>
            <m:grow/>
          </m:dPr>
          <m:e>
            <m:sSub>
              <m:e>
                <m:r>
                  <m:t>F</m:t>
                </m:r>
              </m:e>
              <m:sub>
                <m:r>
                  <m:t>c</m:t>
                </m:r>
              </m:sub>
            </m:sSub>
            <m:r>
              <m:rPr>
                <m:sty m:val="p"/>
              </m:rPr>
              <m:t>,</m:t>
            </m:r>
            <m:r>
              <m:t> </m:t>
            </m:r>
            <m:r>
              <m:t>F</m:t>
            </m:r>
            <m:sSub>
              <m:e>
                <m:r>
                  <m:rPr>
                    <m:sty m:val="p"/>
                  </m:rPr>
                  <m:t>′</m:t>
                </m:r>
              </m:e>
              <m:sub>
                <m:r>
                  <m:t>s</m:t>
                </m:r>
              </m:sub>
            </m:sSub>
          </m:e>
        </m:d>
      </m:oMath>
      <w:r>
        <w:rPr/>
        <w:tab/>
        <w:t>(4)</w:t>
      </w:r>
    </w:p>
    <w:p>
      <w:pPr>
        <w:pStyle w:val="Normal"/>
        <w:ind w:firstLine="288"/>
        <w:jc w:val="both"/>
        <w:rPr/>
      </w:pPr>
      <w:r>
        <w:rPr/>
        <w:t xml:space="preserve">where φ is a small convolution producing one gate value per voxel, A is four-head cross-attention with queries from the CNN and keys and values from the projected Swin feature, windowed (window 4) at fine levels and global once a level has at most 512 tokens, γ is a learned per-channel layer scale [44] initialised at 10</w:t>
      </w:r>
      <w:r>
        <w:rPr>
          <w:vertAlign w:val="superscript"/>
        </w:rPr>
        <w:t xml:space="preserve">−4</w:t>
      </w:r>
      <w:r>
        <w:rPr/>
        <w:t xml:space="preserve">, and ⊙ is multiplication broadcast over channels and voxels. Because the residual path is the unmodified CNN feature, fusion can only add to it, and at initialisation the network is the CNN U-Net. The design hypothesis (H2) was that conditioning g on s would let the network route around voxels where the encoders disagree. The entropy in (1) is computed from logits through softplus terms, which is exact and stable in half precision; an earlier probability-space formulation produced non-finite values under mixed-precision training [45]. We call s the ambiguity signal and reserve inter-branch disagreement for its first channel, |p</w:t>
      </w:r>
      <w:r>
        <w:rPr>
          <w:vertAlign w:val="subscript"/>
        </w:rPr>
        <w:t xml:space="preserve">c</w:t>
      </w:r>
      <w:r>
        <w:rPr/>
        <w:t xml:space="preserve"> − p</w:t>
      </w:r>
      <w:r>
        <w:rPr>
          <w:vertAlign w:val="subscript"/>
        </w:rPr>
        <w:t xml:space="preserve">s</w:t>
      </w:r>
      <w:r>
        <w:rPr/>
        <w:t xml:space="preserve">|, which Section VII evaluates on its own as an error localiser; conditioning the gate on s is referred to as ambiguity conditioning.</w:t>
      </w:r>
    </w:p>
    <w:p>
      <w:pPr>
        <w:pStyle w:val="Normal"/>
        <w:keepNext w:val="true"/>
        <w:spacing w:before="130" w:after="40"/>
        <w:rPr/>
      </w:pPr>
      <w:r>
        <w:rPr>
          <w:i/>
          <w:iCs/>
        </w:rPr>
        <w:t>B. Training objective</w:t>
      </w:r>
    </w:p>
    <w:p>
      <w:pPr>
        <w:pStyle w:val="Normal"/>
        <w:ind w:firstLine="288"/>
        <w:jc w:val="both"/>
        <w:rPr/>
      </w:pPr>
      <w:r>
        <w:rPr/>
        <w:t>The loss combines segmentation, boundary, confidence and branch terms,</w:t>
      </w:r>
    </w:p>
    <w:p>
      <w:pPr>
        <w:pStyle w:val="Normal"/>
        <w:tabs>
          <w:tab w:val="clear" w:pos="720"/>
          <w:tab w:val="center" w:pos="2520" w:leader="none"/>
          <w:tab w:val="right" w:pos="5040" w:leader="none"/>
        </w:tabs>
        <w:spacing w:before="60" w:after="60"/>
        <w:rPr/>
      </w:pPr>
      <m:oMath>
        <m:r>
          <m:rPr>
            <m:scr m:val="script"/>
            <m:sty m:val="p"/>
          </m:rPr>
          <m:t>L</m:t>
        </m:r>
        <m:r>
          <m:rPr>
            <m:sty m:val="p"/>
          </m:rPr>
          <m:t>=</m:t>
        </m:r>
        <m:sSub>
          <m:e>
            <m:r>
              <m:rPr>
                <m:scr m:val="script"/>
                <m:sty m:val="p"/>
              </m:rPr>
              <m:t>L</m:t>
            </m:r>
          </m:e>
          <m:sub>
            <m:r>
              <m:rPr>
                <m:nor/>
              </m:rPr>
              <m:t>seg</m:t>
            </m:r>
          </m:sub>
        </m:sSub>
        <m:r>
          <m:rPr>
            <m:sty m:val="p"/>
          </m:rPr>
          <m:t>+</m:t>
        </m:r>
        <m:r>
          <m:t>0.3</m:t>
        </m:r>
        <m:r>
          <m:t> </m:t>
        </m:r>
        <m:sSub>
          <m:e>
            <m:r>
              <m:rPr>
                <m:scr m:val="script"/>
                <m:sty m:val="p"/>
              </m:rPr>
              <m:t>L</m:t>
            </m:r>
          </m:e>
          <m:sub>
            <m:r>
              <m:rPr>
                <m:nor/>
              </m:rPr>
              <m:t>bnd</m:t>
            </m:r>
          </m:sub>
        </m:sSub>
        <m:r>
          <m:rPr>
            <m:sty m:val="p"/>
          </m:rPr>
          <m:t>+</m:t>
        </m:r>
        <m:r>
          <m:t>0.05</m:t>
        </m:r>
        <m:r>
          <m:t> </m:t>
        </m:r>
        <m:sSub>
          <m:e>
            <m:r>
              <m:rPr>
                <m:scr m:val="script"/>
                <m:sty m:val="p"/>
              </m:rPr>
              <m:t>L</m:t>
            </m:r>
          </m:e>
          <m:sub>
            <m:r>
              <m:rPr>
                <m:nor/>
              </m:rPr>
              <m:t>conf</m:t>
            </m:r>
          </m:sub>
        </m:sSub>
        <m:r>
          <m:rPr>
            <m:sty m:val="p"/>
          </m:rPr>
          <m:t>+</m:t>
        </m:r>
        <m:r>
          <m:t>0.1</m:t>
        </m:r>
        <m:r>
          <m:t> </m:t>
        </m:r>
        <m:sSub>
          <m:e>
            <m:r>
              <m:rPr>
                <m:scr m:val="script"/>
                <m:sty m:val="p"/>
              </m:rPr>
              <m:t>L</m:t>
            </m:r>
          </m:e>
          <m:sub>
            <m:r>
              <m:rPr>
                <m:nor/>
              </m:rPr>
              <m:t>br</m:t>
            </m:r>
          </m:sub>
        </m:sSub>
      </m:oMath>
      <w:r>
        <w:rPr/>
        <w:tab/>
        <w:t>(5)</w:t>
      </w:r>
    </w:p>
    <w:p>
      <w:pPr>
        <w:pStyle w:val="Normal"/>
        <w:tabs>
          <w:tab w:val="clear" w:pos="720"/>
          <w:tab w:val="center" w:pos="2520" w:leader="none"/>
          <w:tab w:val="right" w:pos="5040" w:leader="none"/>
        </w:tabs>
        <w:spacing w:before="60" w:after="60"/>
        <w:rPr/>
      </w:pPr>
      <m:oMath>
        <m:sSub>
          <m:e>
            <m:r>
              <m:rPr>
                <m:scr m:val="script"/>
                <m:sty m:val="p"/>
              </m:rPr>
              <m:t>L</m:t>
            </m:r>
          </m:e>
          <m:sub>
            <m:r>
              <m:rPr>
                <m:nor/>
              </m:rPr>
              <m:t>seg</m:t>
            </m:r>
          </m:sub>
        </m:sSub>
        <m:r>
          <m:rPr>
            <m:sty m:val="p"/>
          </m:rPr>
          <m:t>=</m:t>
        </m:r>
        <m:nary>
          <m:naryPr>
            <m:chr m:val="∑"/>
            <m:limLoc m:val="undOvr"/>
            <m:subHide m:val="off"/>
            <m:supHide m:val="off"/>
          </m:naryPr>
          <m:sub>
            <m:r>
              <m:t>k</m:t>
            </m:r>
            <m:r>
              <m:rPr>
                <m:sty m:val="p"/>
              </m:rPr>
              <m:t>=</m:t>
            </m:r>
            <m:r>
              <m:t>0</m:t>
            </m:r>
          </m:sub>
          <m:sup>
            <m:r>
              <m:t>2</m:t>
            </m:r>
          </m:sup>
          <m:e>
            <m:sSub>
              <m:e>
                <m:r>
                  <m:t>w</m:t>
                </m:r>
              </m:e>
              <m:sub>
                <m:r>
                  <m:t>k</m:t>
                </m:r>
              </m:sub>
            </m:sSub>
          </m:e>
        </m:nary>
        <m:r>
          <m:t> </m:t>
        </m:r>
        <m:sSub>
          <m:e>
            <m:r>
              <m:rPr>
                <m:scr m:val="script"/>
                <m:sty m:val="p"/>
              </m:rPr>
              <m:t>L</m:t>
            </m:r>
          </m:e>
          <m:sub>
            <m:r>
              <m:rPr>
                <m:nor/>
              </m:rPr>
              <m:t>DB</m:t>
            </m:r>
          </m:sub>
        </m:sSub>
        <m:d>
          <m:dPr>
            <m:begChr m:val="("/>
            <m:sepChr m:val=""/>
            <m:endChr m:val=")"/>
            <m:grow/>
          </m:dPr>
          <m:e>
            <m:sSubSup>
              <m:e>
                <m:acc>
                  <m:accPr>
                    <m:chr m:val="̂"/>
                  </m:accPr>
                  <m:e>
                    <m:r>
                      <m:t>y</m:t>
                    </m:r>
                  </m:e>
                </m:acc>
              </m:e>
              <m:sub>
                <m:r>
                  <m:t>k</m:t>
                </m:r>
              </m:sub>
              <m:sup>
                <m:r>
                  <m:rPr>
                    <m:sty m:val="p"/>
                  </m:rPr>
                  <m:t>↑</m:t>
                </m:r>
              </m:sup>
            </m:sSubSup>
            <m:r>
              <m:rPr>
                <m:sty m:val="p"/>
              </m:rPr>
              <m:t>,</m:t>
            </m:r>
            <m:r>
              <m:t>y</m:t>
            </m:r>
          </m:e>
        </m:d>
        <m:r>
          <m:rPr>
            <m:sty m:val="p"/>
          </m:rPr>
          <m:t>,</m:t>
        </m:r>
        <m:r>
          <m:t> </m:t>
        </m:r>
        <m:sSub>
          <m:e>
            <m:r>
              <m:t>w</m:t>
            </m:r>
          </m:e>
          <m:sub>
            <m:r>
              <m:t>k</m:t>
            </m:r>
          </m:sub>
        </m:sSub>
        <m:r>
          <m:rPr>
            <m:sty m:val="p"/>
          </m:rPr>
          <m:t>=</m:t>
        </m:r>
        <m:f>
          <m:fPr>
            <m:type m:val="bar"/>
          </m:fPr>
          <m:num>
            <m:sSup>
              <m:e>
                <m:r>
                  <m:t>2</m:t>
                </m:r>
              </m:e>
              <m:sup>
                <m:r>
                  <m:rPr>
                    <m:sty m:val="p"/>
                  </m:rPr>
                  <m:t>−</m:t>
                </m:r>
                <m:r>
                  <m:t>k</m:t>
                </m:r>
              </m:sup>
            </m:sSup>
          </m:num>
          <m:den>
            <m:nary>
              <m:naryPr>
                <m:chr m:val="∑"/>
                <m:limLoc m:val="undOvr"/>
                <m:subHide m:val="off"/>
                <m:supHide m:val="off"/>
              </m:naryPr>
              <m:sub>
                <m:r>
                  <m:t>j</m:t>
                </m:r>
                <m:r>
                  <m:rPr>
                    <m:sty m:val="p"/>
                  </m:rPr>
                  <m:t>=</m:t>
                </m:r>
                <m:r>
                  <m:t>0</m:t>
                </m:r>
              </m:sub>
              <m:sup>
                <m:r>
                  <m:t>2</m:t>
                </m:r>
              </m:sup>
              <m:e>
                <m:sSup>
                  <m:e>
                    <m:r>
                      <m:t>2</m:t>
                    </m:r>
                  </m:e>
                  <m:sup>
                    <m:r>
                      <m:rPr>
                        <m:sty m:val="p"/>
                      </m:rPr>
                      <m:t>−</m:t>
                    </m:r>
                    <m:r>
                      <m:t>j</m:t>
                    </m:r>
                  </m:sup>
                </m:sSup>
              </m:e>
            </m:nary>
          </m:den>
        </m:f>
      </m:oMath>
      <w:r>
        <w:rPr/>
        <w:tab/>
        <w:t>(6)</w:t>
      </w:r>
    </w:p>
    <w:p>
      <w:pPr>
        <w:pStyle w:val="Normal"/>
        <w:tabs>
          <w:tab w:val="clear" w:pos="720"/>
          <w:tab w:val="center" w:pos="2520" w:leader="none"/>
          <w:tab w:val="right" w:pos="5040" w:leader="none"/>
        </w:tabs>
        <w:spacing w:before="60" w:after="60"/>
        <w:rPr/>
      </w:pPr>
      <m:oMath>
        <m:sSub>
          <m:e>
            <m:r>
              <m:rPr>
                <m:scr m:val="script"/>
                <m:sty m:val="p"/>
              </m:rPr>
              <m:t>L</m:t>
            </m:r>
          </m:e>
          <m:sub>
            <m:r>
              <m:rPr>
                <m:nor/>
              </m:rPr>
              <m:t>DB</m:t>
            </m:r>
          </m:sub>
        </m:sSub>
        <m:d>
          <m:dPr>
            <m:begChr m:val="("/>
            <m:sepChr m:val=""/>
            <m:endChr m:val=")"/>
            <m:grow/>
          </m:dPr>
          <m:e>
            <m:acc>
              <m:accPr>
                <m:chr m:val="̂"/>
              </m:accPr>
              <m:e>
                <m:r>
                  <m:t>y</m:t>
                </m:r>
              </m:e>
            </m:acc>
            <m:r>
              <m:rPr>
                <m:sty m:val="p"/>
              </m:rPr>
              <m:t>,</m:t>
            </m:r>
            <m:r>
              <m:t>y</m:t>
            </m:r>
          </m:e>
        </m:d>
        <m:r>
          <m:rPr>
            <m:sty m:val="p"/>
          </m:rPr>
          <m:t>=</m:t>
        </m:r>
        <m:r>
          <m:t>1</m:t>
        </m:r>
        <m:r>
          <m:rPr>
            <m:sty m:val="p"/>
          </m:rPr>
          <m:t>−</m:t>
        </m:r>
        <m:f>
          <m:fPr>
            <m:type m:val="bar"/>
          </m:fPr>
          <m:num>
            <m:r>
              <m:t>2</m:t>
            </m:r>
            <m:r>
              <m:rPr>
                <m:sty m:val="p"/>
              </m:rPr>
              <m:t>∑</m:t>
            </m:r>
            <m:r>
              <m:t>σ</m:t>
            </m:r>
            <m:d>
              <m:dPr>
                <m:begChr m:val="("/>
                <m:sepChr m:val=""/>
                <m:endChr m:val=")"/>
                <m:grow/>
              </m:dPr>
              <m:e>
                <m:acc>
                  <m:accPr>
                    <m:chr m:val="̂"/>
                  </m:accPr>
                  <m:e>
                    <m:r>
                      <m:t>y</m:t>
                    </m:r>
                  </m:e>
                </m:acc>
              </m:e>
            </m:d>
            <m:r>
              <m:t> </m:t>
            </m:r>
            <m:r>
              <m:t>y</m:t>
            </m:r>
            <m:r>
              <m:rPr>
                <m:sty m:val="p"/>
              </m:rPr>
              <m:t>+</m:t>
            </m:r>
            <m:r>
              <m:t>ϵ</m:t>
            </m:r>
          </m:num>
          <m:den>
            <m:r>
              <m:rPr>
                <m:sty m:val="p"/>
              </m:rPr>
              <m:t>∑</m:t>
            </m:r>
            <m:r>
              <m:t>σ</m:t>
            </m:r>
            <m:d>
              <m:dPr>
                <m:begChr m:val="("/>
                <m:sepChr m:val=""/>
                <m:endChr m:val=")"/>
                <m:grow/>
              </m:dPr>
              <m:e>
                <m:acc>
                  <m:accPr>
                    <m:chr m:val="̂"/>
                  </m:accPr>
                  <m:e>
                    <m:r>
                      <m:t>y</m:t>
                    </m:r>
                  </m:e>
                </m:acc>
              </m:e>
            </m:d>
            <m:r>
              <m:rPr>
                <m:sty m:val="p"/>
              </m:rPr>
              <m:t>+</m:t>
            </m:r>
            <m:r>
              <m:rPr>
                <m:sty m:val="p"/>
              </m:rPr>
              <m:t>∑</m:t>
            </m:r>
            <m:r>
              <m:t>y</m:t>
            </m:r>
            <m:r>
              <m:rPr>
                <m:sty m:val="p"/>
              </m:rPr>
              <m:t>+</m:t>
            </m:r>
            <m:r>
              <m:t>ϵ</m:t>
            </m:r>
          </m:den>
        </m:f>
        <m:r>
          <m:rPr>
            <m:sty m:val="p"/>
          </m:rPr>
          <m:t>+</m:t>
        </m:r>
        <m:r>
          <m:rPr>
            <m:sty m:val="p"/>
          </m:rPr>
          <m:t>BCE</m:t>
        </m:r>
        <m:d>
          <m:dPr>
            <m:begChr m:val="("/>
            <m:sepChr m:val=""/>
            <m:endChr m:val=")"/>
            <m:grow/>
          </m:dPr>
          <m:e>
            <m:acc>
              <m:accPr>
                <m:chr m:val="̂"/>
              </m:accPr>
              <m:e>
                <m:r>
                  <m:t>y</m:t>
                </m:r>
              </m:e>
            </m:acc>
            <m:r>
              <m:rPr>
                <m:sty m:val="p"/>
              </m:rPr>
              <m:t>,</m:t>
            </m:r>
            <m:r>
              <m:t>y</m:t>
            </m:r>
          </m:e>
        </m:d>
      </m:oMath>
      <w:r>
        <w:rPr/>
        <w:tab/>
        <w:t>(7)</w:t>
      </w:r>
    </w:p>
    <w:p>
      <w:pPr>
        <w:pStyle w:val="Normal"/>
        <w:jc w:val="both"/>
        <w:rPr/>
      </w:pPr>
      <w:r>
        <w:rPr/>
        <w:t xml:space="preserve">where ŷ</w:t>
      </w:r>
      <w:r>
        <w:rPr>
          <w:vertAlign w:val="subscript"/>
        </w:rPr>
        <w:t xml:space="preserve">k</w:t>
      </w:r>
      <w:r>
        <w:rPr>
          <w:vertAlign w:val="superscript"/>
        </w:rPr>
        <w:t xml:space="preserve">↑</w:t>
      </w:r>
      <w:r>
        <w:rPr/>
        <w:t xml:space="preserve"> is the k-th deep-supervision output upsampled to full resolution, the weights w</w:t>
      </w:r>
      <w:r>
        <w:rPr>
          <w:vertAlign w:val="subscript"/>
        </w:rPr>
        <w:t xml:space="preserve">k</w:t>
      </w:r>
      <w:r>
        <w:rPr/>
        <w:t xml:space="preserve"> are 1, 0.5 and 0.25 normalised to sum to one, ℒ</w:t>
      </w:r>
      <w:r>
        <w:rPr>
          <w:vertAlign w:val="subscript"/>
        </w:rPr>
        <w:t xml:space="preserve">DB</w:t>
      </w:r>
      <w:r>
        <w:rPr/>
        <w:t xml:space="preserve"> adds a soft Dice loss to binary cross-entropy (BCE) with sums over voxels, and ε = 10</w:t>
      </w:r>
      <w:r>
        <w:rPr>
          <w:vertAlign w:val="superscript"/>
        </w:rPr>
        <w:t xml:space="preserve">−5</w:t>
      </w:r>
      <w:r>
        <w:rPr/>
        <w:t xml:space="preserve">. The boundary term ℒ</w:t>
      </w:r>
      <w:r>
        <w:rPr>
          <w:vertAlign w:val="subscript"/>
        </w:rPr>
        <w:t xml:space="preserve">bnd</w:t>
      </w:r>
      <w:r>
        <w:rPr/>
        <w:t xml:space="preserve"> applies (7) to the boundary head against a morphological shell of the label computed by max-pooling; the shell covers about 2.2% of voxels, which is why a Dice-based loss is used rather than plain binary cross-entropy. The confidence term ℒ</w:t>
      </w:r>
      <w:r>
        <w:rPr>
          <w:vertAlign w:val="subscript"/>
        </w:rPr>
        <w:t xml:space="preserve">conf</w:t>
      </w:r>
      <w:r>
        <w:rPr/>
        <w:t xml:space="preserve"> is binary cross-entropy between the confidence head and the detached indicator that the thresholded segmentation is correct. The branch term ℒ</w:t>
      </w:r>
      <w:r>
        <w:rPr>
          <w:vertAlign w:val="subscript"/>
        </w:rPr>
        <w:t xml:space="preserve">br</w:t>
      </w:r>
      <w:r>
        <w:rPr/>
        <w:t xml:space="preserve"> is binary cross-entropy supervising the probes against max-pooled labels at each fusion level, so that "disagreement" means disagreement about the label; because the probes read detached features, ℒ</w:t>
      </w:r>
      <w:r>
        <w:rPr>
          <w:vertAlign w:val="subscript"/>
        </w:rPr>
        <w:t xml:space="preserve">br</w:t>
      </w:r>
      <w:r>
        <w:rPr/>
        <w:t xml:space="preserve"> trains only the probes.</w:t>
      </w:r>
    </w:p>
    <w:p>
      <w:pPr>
        <w:pStyle w:val="Normal"/>
        <w:keepNext w:val="true"/>
        <w:spacing w:before="130" w:after="40"/>
        <w:rPr/>
      </w:pPr>
      <w:r>
        <w:rPr>
          <w:i/>
          <w:iCs/>
        </w:rPr>
        <w:t>C. Training recipe and experimental arms</w:t>
      </w:r>
    </w:p>
    <w:p>
      <w:pPr>
        <w:pStyle w:val="Normal"/>
        <w:ind w:firstLine="288"/>
        <w:jc w:val="both"/>
        <w:rPr/>
      </w:pPr>
      <w:r>
        <w:rPr/>
        <w:t>All arms share one recipe: 80 epochs on 64³ patches; each step draws one volume and four crops, balanced 1:1 between tumour-centred and random positions; AdamW [46] with learning rate 10</w:t>
      </w:r>
      <w:r>
        <w:rPr>
          <w:vertAlign w:val="superscript"/>
        </w:rPr>
        <w:t>−4</w:t>
      </w:r>
      <w:r>
        <w:rPr/>
        <w:t xml:space="preserve"> and weight decay 10</w:t>
      </w:r>
      <w:r>
        <w:rPr>
          <w:vertAlign w:val="superscript"/>
        </w:rPr>
        <w:t>−5</w:t>
      </w:r>
      <w:r>
        <w:rPr/>
        <w:t>; five epochs of linear warm-up followed by cosine decay to 10</w:t>
      </w:r>
      <w:r>
        <w:rPr>
          <w:vertAlign w:val="superscript"/>
        </w:rPr>
        <w:t>−6</w:t>
      </w:r>
      <w:r>
        <w:rPr/>
        <w:t>; automatic mixed precision; gradient clipping at a norm of 5.0; and mild augmentation (random flips, 90° rotations, intensity scaling and shifting, Gaussian noise). Validation runs every 10 epochs, and the checkpoint with the best validation mean Dice is kept. The patch size and schedule were not chosen for accuracy. A timing probe showed that the dual encoder at 96³ would cost 0.875 GPU-hours per epoch, 10.7× the U-Net, which the compute budget could not support, so the whole comparison family was re-planned at 64³ and 80 epochs. The clipping threshold was set from measured gradient norms: at a norm of 1.0, 66–70% of steps were being clipped.</w:t>
      </w:r>
    </w:p>
    <w:p>
      <w:pPr>
        <w:pStyle w:val="Normal"/>
        <w:keepNext w:val="true"/>
        <w:spacing w:before="160" w:after="50"/>
        <w:jc w:val="center"/>
        <w:rPr/>
      </w:pPr>
      <w:r>
        <w:rPr>
          <w:b/>
          <w:bCs/>
          <w:caps/>
          <w:sz w:val="16"/>
          <w:szCs w:val="16"/>
        </w:rPr>
        <w:t>Table II.  Experimental arms (all 80 epochs, 64³ patches, identical recipe)</w:t>
      </w:r>
    </w:p>
    <w:tbl>
      <w:tblPr>
        <w:tblW w:w="5040" w:type="dxa"/>
        <w:jc w:val="center"/>
        <w:tblInd w:w="0" w:type="dxa"/>
        <w:tblLayout w:type="fixed"/>
        <w:tblCellMar>
          <w:top w:w="25" w:type="dxa"/>
          <w:left w:w="55" w:type="dxa"/>
          <w:bottom w:w="25" w:type="dxa"/>
          <w:right w:w="55" w:type="dxa"/>
        </w:tblCellMar>
      </w:tblPr>
      <w:tblGrid>
        <w:gridCol w:w="1330"/>
        <w:gridCol w:w="618"/>
        <w:gridCol w:w="2042"/>
        <w:gridCol w:w="518"/>
        <w:gridCol w:w="532"/>
      </w:tblGrid>
      <w:tr>
        <w:trPr>
          <w:tblHeader w:val="true"/>
          <w:cantSplit w:val="true"/>
        </w:trPr>
        <w:tc>
          <w:tcPr>
            <w:tcW w:w="133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Arm</w:t>
            </w:r>
          </w:p>
        </w:tc>
        <w:tc>
          <w:tcPr>
            <w:tcW w:w="61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Params</w:t>
            </w:r>
          </w:p>
        </w:tc>
        <w:tc>
          <w:tcPr>
            <w:tcW w:w="204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Isolates</w:t>
            </w:r>
          </w:p>
        </w:tc>
        <w:tc>
          <w:tcPr>
            <w:tcW w:w="51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Seeds</w:t>
            </w:r>
          </w:p>
        </w:tc>
        <w:tc>
          <w:tcPr>
            <w:tcW w:w="53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GPU-h</w:t>
            </w:r>
          </w:p>
        </w:tc>
      </w:tr>
      <w:tr>
        <w:trPr>
          <w:cantSplit w:val="true"/>
        </w:trPr>
        <w:tc>
          <w:tcPr>
            <w:tcW w:w="13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U-Net baseline</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12.87 M</w:t>
            </w:r>
          </w:p>
        </w:tc>
        <w:tc>
          <w:tcPr>
            <w:tcW w:w="20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Reference (MONAI 3D U-Net)</w:t>
            </w:r>
          </w:p>
        </w:tc>
        <w:tc>
          <w:tcPr>
            <w:tcW w:w="5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42, 43</w:t>
            </w:r>
          </w:p>
        </w:tc>
        <w:tc>
          <w:tcPr>
            <w:tcW w:w="53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≈3.2</w:t>
            </w:r>
          </w:p>
        </w:tc>
      </w:tr>
      <w:tr>
        <w:trPr>
          <w:cantSplit w:val="true"/>
        </w:trPr>
        <w:tc>
          <w:tcPr>
            <w:tcW w:w="13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Capacity control</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34.83 M</w:t>
            </w:r>
          </w:p>
        </w:tc>
        <w:tc>
          <w:tcPr>
            <w:tcW w:w="20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Width: U-Net widened to the proposed model's size</w:t>
            </w:r>
          </w:p>
        </w:tc>
        <w:tc>
          <w:tcPr>
            <w:tcW w:w="5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42</w:t>
            </w:r>
          </w:p>
        </w:tc>
        <w:tc>
          <w:tcPr>
            <w:tcW w:w="53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≈8</w:t>
            </w:r>
          </w:p>
        </w:tc>
      </w:tr>
      <w:tr>
        <w:trPr>
          <w:cantSplit w:val="true"/>
        </w:trPr>
        <w:tc>
          <w:tcPr>
            <w:tcW w:w="13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Content-only ablation</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34.90 M</w:t>
            </w:r>
          </w:p>
        </w:tc>
        <w:tc>
          <w:tcPr>
            <w:tcW w:w="20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Ambiguity conditioning: gate without s in (3)</w:t>
            </w:r>
          </w:p>
        </w:tc>
        <w:tc>
          <w:tcPr>
            <w:tcW w:w="5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42</w:t>
            </w:r>
          </w:p>
        </w:tc>
        <w:tc>
          <w:tcPr>
            <w:tcW w:w="53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24.2</w:t>
            </w:r>
          </w:p>
        </w:tc>
      </w:tr>
      <w:tr>
        <w:trPr>
          <w:cantSplit w:val="true"/>
        </w:trPr>
        <w:tc>
          <w:tcPr>
            <w:tcW w:w="13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NeuroVision-X (proposed)</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34.91 M</w:t>
            </w:r>
          </w:p>
        </w:tc>
        <w:tc>
          <w:tcPr>
            <w:tcW w:w="20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5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42, 43</w:t>
            </w:r>
          </w:p>
        </w:tc>
        <w:tc>
          <w:tcPr>
            <w:tcW w:w="53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23.1</w:t>
            </w:r>
          </w:p>
        </w:tc>
      </w:tr>
      <w:tr>
        <w:trPr>
          <w:cantSplit w:val="true"/>
        </w:trPr>
        <w:tc>
          <w:tcPr>
            <w:tcW w:w="13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U-Net, 96³ / 200 ep.</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12.87 M</w:t>
            </w:r>
          </w:p>
        </w:tc>
        <w:tc>
          <w:tcPr>
            <w:tcW w:w="20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Superseded; different recipe, outside the family</w:t>
            </w:r>
          </w:p>
        </w:tc>
        <w:tc>
          <w:tcPr>
            <w:tcW w:w="5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42</w:t>
            </w:r>
          </w:p>
        </w:tc>
        <w:tc>
          <w:tcPr>
            <w:tcW w:w="53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16.5</w:t>
            </w:r>
          </w:p>
        </w:tc>
      </w:tr>
    </w:tbl>
    <w:p>
      <w:pPr>
        <w:pStyle w:val="Normal"/>
        <w:spacing w:before="40" w:after="100"/>
        <w:jc w:val="both"/>
        <w:rPr/>
      </w:pPr>
      <w:r>
        <w:rPr>
          <w:i/>
          <w:iCs/>
          <w:sz w:val="14"/>
          <w:szCs w:val="14"/>
        </w:rPr>
        <w:t>GPU-h for seed-42 runs on an NVIDIA T4. The superseded U-Net is reported for transparency only.</w:t>
      </w:r>
    </w:p>
    <w:p>
      <w:pPr>
        <w:pStyle w:val="Normal"/>
        <w:ind w:firstLine="288"/>
        <w:jc w:val="both"/>
        <w:rPr/>
      </w:pPr>
      <w:r>
        <w:rPr/>
        <w:t xml:space="preserve">The arms isolate one factor each (Table II). The baseline is a MONAI 3D U-Net [42] with 12.87 M parameters. The capacity control is the same U-Net widened to 34.83 M parameters, within 0.25% of the proposed model, which separates architecture from width. The content-only ablation removes the ambiguity signal s from (3), so the gate sees features only, which separates gated fusion from ambiguity conditioning. Seed-43 replicas of the proposed model and the baseline measure seed noise. The proposed model's best checkpoint comes from the validation at epoch 70 of 80 (validation mean Dice 0.8938).</w:t>
      </w:r>
    </w:p>
    <w:p>
      <w:pPr>
        <w:pStyle w:val="Normal"/>
        <w:keepNext w:val="true"/>
        <w:spacing w:before="130" w:after="40"/>
        <w:rPr/>
      </w:pPr>
      <w:r>
        <w:rPr>
          <w:i/>
          <w:iCs/>
        </w:rPr>
        <w:t>D. Inference and post-processing</w:t>
      </w:r>
    </w:p>
    <w:p>
      <w:pPr>
        <w:pStyle w:val="Normal"/>
        <w:ind w:firstLine="288"/>
        <w:jc w:val="both"/>
        <w:rPr/>
      </w:pPr>
      <w:r>
        <w:rPr/>
        <w:t xml:space="preserve">Inference slides a 64³ window over the cropped volume with 50% overlap and Gaussian blending, applies the sigmoid, thresholds at τ = 0.5, removes connected components smaller than 50 voxels and, last, enforces nesting (ET ⊆ TC ⊆ WT). Logits are saved in float16 so that every downstream analysis (lesion-wise re-scoring, conformal fitting, recalibration) replays them without re-inference; replayed logits reproduce the committed per-case metrics to floating-point precision (≤ 10</w:t>
      </w:r>
      <w:r>
        <w:rPr>
          <w:vertAlign w:val="superscript"/>
        </w:rPr>
        <w:t xml:space="preserve">−15</w:t>
      </w:r>
      <w:r>
        <w:rPr/>
        <w:t xml:space="preserve"> Dice). Inference takes 11.9 s per case on a T4 GPU and about 1.4 min per case on a laptop CPU.</w:t>
      </w:r>
    </w:p>
    <w:p>
      <w:pPr>
        <w:pStyle w:val="Normal"/>
        <w:keepNext w:val="true"/>
        <w:spacing w:before="130" w:after="40"/>
        <w:rPr/>
      </w:pPr>
      <w:r>
        <w:rPr>
          <w:i/>
          <w:iCs/>
        </w:rPr>
        <w:t>E. Evaluation metrics</w:t>
      </w:r>
    </w:p>
    <w:p>
      <w:pPr>
        <w:pStyle w:val="Normal"/>
        <w:ind w:firstLine="288"/>
        <w:jc w:val="both"/>
        <w:rPr/>
      </w:pPr>
      <w:r>
        <w:rPr/>
        <w:t>We report voxel-wise Dice and the 95th-percentile Hausdorff distance (HD95, mm) per region, following current validation recommendations [47]; lesion-wise Dice under the BraTS 2023 convention, which matches connected components and scores unmatched predicted or reference lesions as zero [11], [12]; and boundary-stratified error, the count of misclassified voxels by distance from the reference surface. For the pipeline, a case is usable if both whole tumour and tumour core are segmented to a Dice of at least 0.7,</w:t>
      </w:r>
    </w:p>
    <w:p>
      <w:pPr>
        <w:pStyle w:val="Normal"/>
        <w:tabs>
          <w:tab w:val="clear" w:pos="720"/>
          <w:tab w:val="center" w:pos="2520" w:leader="none"/>
          <w:tab w:val="right" w:pos="5040" w:leader="none"/>
        </w:tabs>
        <w:spacing w:before="60" w:after="60"/>
        <w:rPr/>
      </w:pPr>
      <m:oMath>
        <m:sSub>
          <m:e>
            <m:r>
              <m:rPr>
                <m:nor/>
              </m:rPr>
              <m:t>usable</m:t>
            </m:r>
          </m:e>
          <m:sub>
            <m:r>
              <m:t>i</m:t>
            </m:r>
          </m:sub>
        </m:sSub>
        <m:r>
          <m:rPr>
            <m:sty m:val="p"/>
          </m:rPr>
          <m:t>=</m:t>
        </m:r>
        <m:r>
          <m:rPr>
            <m:scr m:val="double-struck"/>
            <m:sty m:val="p"/>
          </m:rPr>
          <m:t>1</m:t>
        </m:r>
        <m:d>
          <m:dPr>
            <m:begChr m:val="["/>
            <m:sepChr m:val=""/>
            <m:endChr m:val="]"/>
            <m:grow/>
          </m:dPr>
          <m:e>
            <m:r>
              <m:rPr>
                <m:sty m:val="p"/>
              </m:rPr>
              <m:t>min</m:t>
            </m:r>
            <m:d>
              <m:dPr>
                <m:begChr m:val="("/>
                <m:sepChr m:val=""/>
                <m:endChr m:val=")"/>
                <m:grow/>
              </m:dPr>
              <m:e>
                <m:sSub>
                  <m:e>
                    <m:r>
                      <m:rPr>
                        <m:nor/>
                      </m:rPr>
                      <m:t>Dice</m:t>
                    </m:r>
                  </m:e>
                  <m:sub>
                    <m:r>
                      <m:rPr>
                        <m:nor/>
                      </m:rPr>
                      <m:t>WT</m:t>
                    </m:r>
                    <m:r>
                      <m:rPr>
                        <m:sty m:val="p"/>
                      </m:rPr>
                      <m:t>,</m:t>
                    </m:r>
                    <m:r>
                      <m:t>i</m:t>
                    </m:r>
                  </m:sub>
                </m:sSub>
                <m:r>
                  <m:rPr>
                    <m:sty m:val="p"/>
                  </m:rPr>
                  <m:t>,</m:t>
                </m:r>
                <m:r>
                  <m:t> </m:t>
                </m:r>
                <m:sSub>
                  <m:e>
                    <m:r>
                      <m:rPr>
                        <m:nor/>
                      </m:rPr>
                      <m:t>Dice</m:t>
                    </m:r>
                  </m:e>
                  <m:sub>
                    <m:r>
                      <m:rPr>
                        <m:nor/>
                      </m:rPr>
                      <m:t>TC</m:t>
                    </m:r>
                    <m:r>
                      <m:rPr>
                        <m:sty m:val="p"/>
                      </m:rPr>
                      <m:t>,</m:t>
                    </m:r>
                    <m:r>
                      <m:t>i</m:t>
                    </m:r>
                  </m:sub>
                </m:sSub>
              </m:e>
            </m:d>
            <m:r>
              <m:rPr>
                <m:sty m:val="p"/>
              </m:rPr>
              <m:t>≥</m:t>
            </m:r>
            <m:r>
              <m:t>0.7</m:t>
            </m:r>
          </m:e>
        </m:d>
      </m:oMath>
      <w:r>
        <w:rPr/>
        <w:tab/>
        <w:t>(8)</w:t>
      </w:r>
    </w:p>
    <w:p>
      <w:pPr>
        <w:pStyle w:val="Normal"/>
        <w:jc w:val="both"/>
        <w:rPr/>
      </w:pPr>
      <w:r>
        <w:rPr/>
        <w:t>a bar fixed in the QC pre-registration and reused, not tuned. Under a gate each study falls into one of four outcomes: correct acceptance (accepted and usable), silent failure (accepted and unusable), over-refusal (refused and usable) or correct refusal (refused and unusable). Regions that are empty in the reference follow the BraTS convention: Dice is 1 if the prediction is also empty and 0 otherwise. For enhancing tumour this concerns 2.6% of in-distribution cases, each of which can move a paired mean difference over the 189 test cases by up to 1/189 ≈ 0.0053 on its own.</w:t>
      </w:r>
    </w:p>
    <w:p>
      <w:pPr>
        <w:pStyle w:val="Normal"/>
        <w:keepNext w:val="true"/>
        <w:spacing w:before="130" w:after="40"/>
        <w:rPr/>
      </w:pPr>
      <w:r>
        <w:rPr>
          <w:i/>
          <w:iCs/>
        </w:rPr>
        <w:t>F. Uncertainty signals</w:t>
      </w:r>
    </w:p>
    <w:p>
      <w:pPr>
        <w:pStyle w:val="Normal"/>
        <w:ind w:firstLine="288"/>
        <w:jc w:val="both"/>
        <w:rPr/>
      </w:pPr>
      <w:r>
        <w:rPr/>
        <w:t xml:space="preserve">Four voxel-level signals are compared as error localisers: single-pass predictive entropy of the final output, in the form of (1); MC-dropout uncertainty from 10 stochastic passes [20], with only the Dropout3d modules switched to training mode so that normalisation statistics are untouched; the inter-branch disagreement |p</w:t>
      </w:r>
      <w:r>
        <w:rPr>
          <w:vertAlign w:val="subscript"/>
        </w:rPr>
        <w:t xml:space="preserve">c</w:t>
      </w:r>
      <w:r>
        <w:rPr/>
        <w:t xml:space="preserve"> − p</w:t>
      </w:r>
      <w:r>
        <w:rPr>
          <w:vertAlign w:val="subscript"/>
        </w:rPr>
        <w:t xml:space="preserve">s</w:t>
      </w:r>
      <w:r>
        <w:rPr/>
        <w:t xml:space="preserve">|; and the trained confidence head. Localisation is scored by voxel-level AUROC for predicting misclassified voxels. Calibration is measured by the expected calibration error (ECE) inside the predicted tumour mask, with the whole brain mask as a conservative check, before and after per-region temperature scaling [22] fitted on the validation split.</w:t>
      </w:r>
    </w:p>
    <w:p>
      <w:pPr>
        <w:pStyle w:val="Normal"/>
        <w:keepNext w:val="true"/>
        <w:spacing w:before="130" w:after="40"/>
        <w:rPr/>
      </w:pPr>
      <w:r>
        <w:rPr>
          <w:i/>
          <w:iCs/>
        </w:rPr>
        <w:t>G. Conformal risk control and local recalibration</w:t>
      </w:r>
    </w:p>
    <w:p>
      <w:pPr>
        <w:pStyle w:val="Normal"/>
        <w:ind w:firstLine="288"/>
        <w:jc w:val="both"/>
        <w:rPr/>
      </w:pPr>
      <w:r>
        <w:rPr/>
        <w:t>For a region, let M</w:t>
      </w:r>
      <w:r>
        <w:rPr>
          <w:vertAlign w:val="subscript"/>
        </w:rPr>
        <w:t>i</w:t>
      </w:r>
      <w:r>
        <w:rPr/>
        <w:t>(τ) be the voxels of case i whose predicted probability is at least τ, and G</w:t>
      </w:r>
      <w:r>
        <w:rPr>
          <w:vertAlign w:val="subscript"/>
        </w:rPr>
        <w:t>i</w:t>
      </w:r>
      <w:r>
        <w:rPr/>
        <w:t xml:space="preserve"> its reference mask. The loss is the miss rate</w:t>
      </w:r>
    </w:p>
    <w:p>
      <w:pPr>
        <w:pStyle w:val="Normal"/>
        <w:tabs>
          <w:tab w:val="clear" w:pos="720"/>
          <w:tab w:val="center" w:pos="2520" w:leader="none"/>
          <w:tab w:val="right" w:pos="5040" w:leader="none"/>
        </w:tabs>
        <w:spacing w:before="60" w:after="60"/>
        <w:rPr/>
      </w:pPr>
      <w:r>
        <w:rPr/>
        <w:tab/>
      </w:r>
      <m:oMath>
        <m:sSub>
          <m:e>
            <m:r>
              <m:rPr>
                <m:sty m:val="p"/>
              </m:rPr>
              <m:t>ℓ</m:t>
            </m:r>
          </m:e>
          <m:sub>
            <m:r>
              <m:t>i</m:t>
            </m:r>
          </m:sub>
        </m:sSub>
        <m:d>
          <m:dPr>
            <m:begChr m:val="("/>
            <m:sepChr m:val=""/>
            <m:endChr m:val=")"/>
            <m:grow/>
          </m:dPr>
          <m:e>
            <m:r>
              <m:t>τ</m:t>
            </m:r>
          </m:e>
        </m:d>
        <m:r>
          <m:rPr>
            <m:sty m:val="p"/>
          </m:rPr>
          <m:t>=</m:t>
        </m:r>
        <m:f>
          <m:fPr>
            <m:type m:val="bar"/>
          </m:fPr>
          <m:num>
            <m:r>
              <m:rPr>
                <m:sty m:val="p"/>
              </m:rPr>
              <m:t>|</m:t>
            </m:r>
            <m:sSub>
              <m:e>
                <m:r>
                  <m:t>G</m:t>
                </m:r>
              </m:e>
              <m:sub>
                <m:r>
                  <m:t>i</m:t>
                </m:r>
              </m:sub>
            </m:sSub>
            <m:r>
              <m:rPr>
                <m:sty m:val="p"/>
              </m:rPr>
              <m:t>\</m:t>
            </m:r>
            <m:sSub>
              <m:e>
                <m:r>
                  <m:t>M</m:t>
                </m:r>
              </m:e>
              <m:sub>
                <m:r>
                  <m:t>i</m:t>
                </m:r>
              </m:sub>
            </m:sSub>
            <m:d>
              <m:dPr>
                <m:begChr m:val="("/>
                <m:sepChr m:val=""/>
                <m:endChr m:val=")"/>
                <m:grow/>
              </m:dPr>
              <m:e>
                <m:r>
                  <m:t>τ</m:t>
                </m:r>
              </m:e>
            </m:d>
            <m:r>
              <m:rPr>
                <m:sty m:val="p"/>
              </m:rPr>
              <m:t>|</m:t>
            </m:r>
          </m:num>
          <m:den>
            <m:r>
              <m:rPr>
                <m:sty m:val="p"/>
              </m:rPr>
              <m:t>|</m:t>
            </m:r>
            <m:sSub>
              <m:e>
                <m:r>
                  <m:t>G</m:t>
                </m:r>
              </m:e>
              <m:sub>
                <m:r>
                  <m:t>i</m:t>
                </m:r>
              </m:sub>
            </m:sSub>
            <m:r>
              <m:rPr>
                <m:sty m:val="p"/>
              </m:rPr>
              <m:t>|</m:t>
            </m:r>
          </m:den>
        </m:f>
      </m:oMath>
      <w:r>
        <w:rPr/>
        <w:tab/>
        <w:t>(9)</w:t>
      </w:r>
    </w:p>
    <w:p>
      <w:pPr>
        <w:pStyle w:val="Normal"/>
        <w:jc w:val="both"/>
        <w:rPr/>
      </w:pPr>
      <w:r>
        <w:rPr/>
        <w:t xml:space="preserve">which is monotone in τ and bounded by B = 1. Given n calibration cases with mean loss R̂</w:t>
      </w:r>
      <w:r>
        <w:rPr>
          <w:vertAlign w:val="subscript"/>
        </w:rPr>
        <w:t xml:space="preserve">n</w:t>
      </w:r>
      <w:r>
        <w:rPr/>
        <w:t xml:space="preserve">(τ), CRC [9] selects, over a grid Λ of candidate thresholds,</w:t>
      </w:r>
    </w:p>
    <w:p>
      <w:pPr>
        <w:pStyle w:val="Normal"/>
        <w:tabs>
          <w:tab w:val="clear" w:pos="720"/>
          <w:tab w:val="center" w:pos="2520" w:leader="none"/>
          <w:tab w:val="right" w:pos="5040" w:leader="none"/>
        </w:tabs>
        <w:spacing w:before="60" w:after="60"/>
        <w:rPr/>
      </w:pPr>
      <w:r>
        <w:rPr/>
        <w:tab/>
      </w:r>
      <m:oMath>
        <m:acc>
          <m:accPr>
            <m:chr m:val="̂"/>
          </m:accPr>
          <m:e>
            <m:r>
              <m:t>τ</m:t>
            </m:r>
          </m:e>
        </m:acc>
        <m:r>
          <m:rPr>
            <m:sty m:val="p"/>
          </m:rPr>
          <m:t>=</m:t>
        </m:r>
        <m:r>
          <m:rPr>
            <m:sty m:val="p"/>
          </m:rPr>
          <m:t>max</m:t>
        </m:r>
        <m:d>
          <m:dPr>
            <m:begChr m:val="{"/>
            <m:sepChr m:val=""/>
            <m:endChr m:val="}"/>
            <m:grow/>
          </m:dPr>
          <m:e>
            <m:r>
              <m:t>τ</m:t>
            </m:r>
            <m:r>
              <m:rPr>
                <m:sty m:val="p"/>
              </m:rPr>
              <m:t>∈</m:t>
            </m:r>
            <m:r>
              <m:t>Λ</m:t>
            </m:r>
            <m:r>
              <m:rPr>
                <m:sty m:val="p"/>
              </m:rPr>
              <m:t>:</m:t>
            </m:r>
            <m:r>
              <m:t> </m:t>
            </m:r>
            <m:f>
              <m:fPr>
                <m:type m:val="bar"/>
              </m:fPr>
              <m:num>
                <m:r>
                  <m:t>n</m:t>
                </m:r>
                <m:r>
                  <m:t> </m:t>
                </m:r>
                <m:sSub>
                  <m:e>
                    <m:acc>
                      <m:accPr>
                        <m:chr m:val="̂"/>
                      </m:accPr>
                      <m:e>
                        <m:r>
                          <m:t>R</m:t>
                        </m:r>
                      </m:e>
                    </m:acc>
                  </m:e>
                  <m:sub>
                    <m:r>
                      <m:t>n</m:t>
                    </m:r>
                  </m:sub>
                </m:sSub>
                <m:d>
                  <m:dPr>
                    <m:begChr m:val="("/>
                    <m:sepChr m:val=""/>
                    <m:endChr m:val=")"/>
                    <m:grow/>
                  </m:dPr>
                  <m:e>
                    <m:r>
                      <m:t>τ</m:t>
                    </m:r>
                  </m:e>
                </m:d>
                <m:r>
                  <m:rPr>
                    <m:sty m:val="p"/>
                  </m:rPr>
                  <m:t>+</m:t>
                </m:r>
                <m:r>
                  <m:t>B</m:t>
                </m:r>
              </m:num>
              <m:den>
                <m:r>
                  <m:t>n</m:t>
                </m:r>
                <m:r>
                  <m:rPr>
                    <m:sty m:val="p"/>
                  </m:rPr>
                  <m:t>+</m:t>
                </m:r>
                <m:r>
                  <m:t>1</m:t>
                </m:r>
              </m:den>
            </m:f>
            <m:r>
              <m:rPr>
                <m:sty m:val="p"/>
              </m:rPr>
              <m:t>≤</m:t>
            </m:r>
            <m:r>
              <m:t>α</m:t>
            </m:r>
          </m:e>
        </m:d>
      </m:oMath>
      <w:r>
        <w:rPr/>
        <w:tab/>
        <w:t>(10)</w:t>
      </w:r>
    </w:p>
    <w:p>
      <w:pPr>
        <w:pStyle w:val="Normal"/>
        <w:jc w:val="both"/>
        <w:rPr/>
      </w:pPr>
      <w:r>
        <w:rPr/>
        <w:t>and guarantees, for a new exchangeable case,</w:t>
      </w:r>
    </w:p>
    <w:p>
      <w:pPr>
        <w:pStyle w:val="Normal"/>
        <w:tabs>
          <w:tab w:val="clear" w:pos="720"/>
          <w:tab w:val="center" w:pos="2520" w:leader="none"/>
          <w:tab w:val="right" w:pos="5040" w:leader="none"/>
        </w:tabs>
        <w:spacing w:before="60" w:after="60"/>
        <w:rPr/>
      </w:pPr>
      <w:r>
        <w:rPr/>
        <w:tab/>
      </w:r>
      <m:oMath>
        <m:r>
          <m:rPr>
            <m:scr m:val="double-struck"/>
            <m:sty m:val="p"/>
          </m:rPr>
          <m:t>E</m:t>
        </m:r>
        <m:d>
          <m:dPr>
            <m:begChr m:val="["/>
            <m:sepChr m:val=""/>
            <m:endChr m:val="]"/>
            <m:grow/>
          </m:dPr>
          <m:e>
            <m:sSub>
              <m:e>
                <m:r>
                  <m:rPr>
                    <m:sty m:val="p"/>
                  </m:rPr>
                  <m:t>ℓ</m:t>
                </m:r>
              </m:e>
              <m:sub>
                <m:r>
                  <m:t>n</m:t>
                </m:r>
                <m:r>
                  <m:rPr>
                    <m:sty m:val="p"/>
                  </m:rPr>
                  <m:t>+</m:t>
                </m:r>
                <m:r>
                  <m:t>1</m:t>
                </m:r>
              </m:sub>
            </m:sSub>
            <m:d>
              <m:dPr>
                <m:begChr m:val="("/>
                <m:sepChr m:val=""/>
                <m:endChr m:val=")"/>
                <m:grow/>
              </m:dPr>
              <m:e>
                <m:acc>
                  <m:accPr>
                    <m:chr m:val="̂"/>
                  </m:accPr>
                  <m:e>
                    <m:r>
                      <m:t>τ</m:t>
                    </m:r>
                  </m:e>
                </m:acc>
              </m:e>
            </m:d>
          </m:e>
        </m:d>
        <m:r>
          <m:rPr>
            <m:sty m:val="p"/>
          </m:rPr>
          <m:t>≤</m:t>
        </m:r>
        <m:r>
          <m:t>α</m:t>
        </m:r>
      </m:oMath>
      <w:r>
        <w:rPr/>
        <w:tab/>
        <w:t>(11)</w:t>
      </w:r>
    </w:p>
    <w:p>
      <w:pPr>
        <w:pStyle w:val="Normal"/>
        <w:jc w:val="both"/>
        <w:rPr/>
      </w:pPr>
      <w:r>
        <w:rPr/>
        <w:t xml:space="preserve">Thresholds are fitted on the 187 validation cases for WT and TC at α ∈ {0.05, 0.10, 0.20} and applied frozen to test, SSA and PED. The grid Λ has 31 log-spaced points on [10</w:t>
      </w:r>
      <w:r>
        <w:rPr>
          <w:vertAlign w:val="superscript"/>
        </w:rPr>
        <w:t xml:space="preserve">−4</w:t>
      </w:r>
      <w:r>
        <w:rPr/>
        <w:t xml:space="preserve">, 10</w:t>
      </w:r>
      <w:r>
        <w:rPr>
          <w:vertAlign w:val="superscript"/>
        </w:rPr>
        <w:t xml:space="preserve">−1</w:t>
      </w:r>
      <w:r>
        <w:rPr/>
        <w:t xml:space="preserve">] and 35 linear points on [0.1, 0.95]. At α = 0.20 the constraint in (10) does not bind within this grid for either region: the calibration risk at the largest candidate, τ = 0.95, is already below the admissible value of 0.196, so τ̂ is set by the grid ceiling rather than by α, and α = 0.20 results are reported as grid-limited. ET is excluded from the primary endpoint because 2.6% of BraTS cases contain no enhancing tumour, for which (9) is undefined. The guarantee concerns the mean over cases, not every case, and it holds for an arbitrarily poor model; it is a property of the procedure, not evidence of accuracy. It is also an average over calibration draws: conditional on one calibration set, the realised risk can exceed α. Its cost is the size of M</w:t>
      </w:r>
      <w:r>
        <w:rPr>
          <w:vertAlign w:val="subscript"/>
        </w:rPr>
        <w:t xml:space="preserve">i</w:t>
      </w:r>
      <w:r>
        <w:rPr/>
        <w:t xml:space="preserve">(τ̂) relative to the default τ = 0.5 mask.</w:t>
      </w:r>
    </w:p>
    <w:p>
      <w:pPr>
        <w:pStyle w:val="Normal"/>
        <w:ind w:firstLine="288"/>
        <w:jc w:val="both"/>
        <w:rPr/>
      </w:pPr>
      <w:r>
        <w:rPr>
          <w:i/>
          <w:iCs/>
        </w:rPr>
        <w:t>Local recalibration.</w:t>
      </w:r>
      <w:r>
        <w:rPr/>
        <w:t xml:space="preserve"> Registered as an amendment before any of its numbers existed, this counterfactual asks what a new site would need. For each external cohort and region, k labelled local cases are drawn, τ̂ is refitted on them and evaluated on the remaining n − k, over 1,000 seeded splits per cell. Feasibility has a floor that follows directly from (10). Writing R</w:t>
      </w:r>
      <w:r>
        <w:rPr>
          <w:vertAlign w:val="subscript"/>
        </w:rPr>
        <w:t>min</w:t>
      </w:r>
      <w:r>
        <w:rPr/>
        <w:t xml:space="preserve"> for the cohort's mean loss at the smallest grid threshold (τ = 10</w:t>
      </w:r>
      <w:r>
        <w:rPr>
          <w:vertAlign w:val="superscript"/>
        </w:rPr>
        <w:t>−4</w:t>
      </w:r>
      <w:r>
        <w:rPr/>
        <w:t>), a fit is feasible only if (k R</w:t>
      </w:r>
      <w:r>
        <w:rPr>
          <w:vertAlign w:val="subscript"/>
        </w:rPr>
        <w:t>min</w:t>
      </w:r>
      <w:r>
        <w:rPr/>
        <w:t xml:space="preserve"> + 1)/(k + 1) ≤ α, that is</w:t>
      </w:r>
    </w:p>
    <w:p>
      <w:pPr>
        <w:pStyle w:val="Normal"/>
        <w:tabs>
          <w:tab w:val="clear" w:pos="720"/>
          <w:tab w:val="center" w:pos="2520" w:leader="none"/>
          <w:tab w:val="right" w:pos="5040" w:leader="none"/>
        </w:tabs>
        <w:spacing w:before="60" w:after="60"/>
        <w:rPr/>
      </w:pPr>
      <w:r>
        <w:rPr/>
        <w:tab/>
      </w:r>
      <m:oMath>
        <m:r>
          <m:t>k</m:t>
        </m:r>
        <m:r>
          <m:t> </m:t>
        </m:r>
        <m:r>
          <m:rPr>
            <m:sty m:val="p"/>
          </m:rPr>
          <m:t>≥</m:t>
        </m:r>
        <m:r>
          <m:t> </m:t>
        </m:r>
        <m:f>
          <m:fPr>
            <m:type m:val="bar"/>
          </m:fPr>
          <m:num>
            <m:r>
              <m:t>1</m:t>
            </m:r>
            <m:r>
              <m:rPr>
                <m:sty m:val="p"/>
              </m:rPr>
              <m:t>−</m:t>
            </m:r>
            <m:r>
              <m:t>α</m:t>
            </m:r>
          </m:num>
          <m:den>
            <m:r>
              <m:t>α</m:t>
            </m:r>
            <m:r>
              <m:rPr>
                <m:sty m:val="p"/>
              </m:rPr>
              <m:t>−</m:t>
            </m:r>
            <m:sSub>
              <m:e>
                <m:r>
                  <m:t>R</m:t>
                </m:r>
              </m:e>
              <m:sub>
                <m:r>
                  <m:rPr>
                    <m:sty m:val="p"/>
                  </m:rPr>
                  <m:t>min</m:t>
                </m:r>
              </m:sub>
            </m:sSub>
          </m:den>
        </m:f>
        <m:r>
          <m:rPr>
            <m:sty m:val="p"/>
          </m:rPr>
          <m:t>,</m:t>
        </m:r>
        <m:r>
          <m:t> </m:t>
        </m:r>
        <m:sSub>
          <m:e>
            <m:r>
              <m:t>R</m:t>
            </m:r>
          </m:e>
          <m:sub>
            <m:r>
              <m:rPr>
                <m:sty m:val="p"/>
              </m:rPr>
              <m:t>min</m:t>
            </m:r>
          </m:sub>
        </m:sSub>
        <m:r>
          <m:rPr>
            <m:sty m:val="p"/>
          </m:rPr>
          <m:t>&lt;</m:t>
        </m:r>
        <m:r>
          <m:t>α</m:t>
        </m:r>
      </m:oMath>
      <w:r>
        <w:rPr/>
        <w:tab/>
        <w:t>(12)</w:t>
      </w:r>
    </w:p>
    <w:p>
      <w:pPr>
        <w:pStyle w:val="Normal"/>
        <w:jc w:val="both"/>
        <w:rPr/>
      </w:pPr>
      <w:r>
        <w:rPr/>
        <w:t xml:space="preserve">and it is infeasible at every k when R</w:t>
      </w:r>
      <w:r>
        <w:rPr>
          <w:vertAlign w:val="subscript"/>
        </w:rPr>
        <w:t xml:space="preserve">min</w:t>
      </w:r>
      <w:r>
        <w:rPr/>
        <w:t xml:space="preserve"> ≥ α. Even with R</w:t>
      </w:r>
      <w:r>
        <w:rPr>
          <w:vertAlign w:val="subscript"/>
        </w:rPr>
        <w:t xml:space="preserve">min</w:t>
      </w:r>
      <w:r>
        <w:rPr/>
        <w:t xml:space="preserve"> = 0 this requires k ≥ 1/α − 1, that is 19, 9 and 4 cases at α = 0.05, 0.10 and 0.20. For PED tumour core R</w:t>
      </w:r>
      <w:r>
        <w:rPr>
          <w:vertAlign w:val="subscript"/>
        </w:rPr>
        <w:t xml:space="preserve">min</w:t>
      </w:r>
      <w:r>
        <w:rPr/>
        <w:t xml:space="preserve"> = 0.356, which made infeasibility at every α certain before any split was drawn; because R</w:t>
      </w:r>
      <w:r>
        <w:rPr>
          <w:vertAlign w:val="subscript"/>
        </w:rPr>
        <w:t xml:space="preserve">min</w:t>
      </w:r>
      <w:r>
        <w:rPr/>
        <w:t xml:space="preserve"> is computed from the cohort's labels, this is arithmetic rather than a prediction. A cell is restored if the mean held-out risk over splits is at most α at a k at or above the floor; the in-distribution test split at k = n/2 serves as the control. Because a site obtains a single calibration draw, the stronger guarantee is a high-probability one: RCPS with the betting confidence bound of Waudby-Smith and Ramdas [29], [48] limits to δ the probability, over the draw, that the realised risk exceeds α. It was not fitted here. Whatever the model, no valid bound of this kind can certify α from fewer than ln δ / ln(1 − α) calibration cases, the size at which even an all-zero sample of losses becomes unlikely under a true risk of α: at δ = 0.1, 45 and 22 cases at α = 0.05 and 0.10, against 19 and 9 for CRC.</w:t>
      </w:r>
    </w:p>
    <w:p>
      <w:pPr>
        <w:pStyle w:val="Normal"/>
        <w:keepNext w:val="true"/>
        <w:spacing w:before="130" w:after="40"/>
        <w:rPr/>
      </w:pPr>
      <w:r>
        <w:rPr>
          <w:i/>
          <w:iCs/>
        </w:rPr>
        <w:t>H. Segmentation quality-control model</w:t>
      </w:r>
    </w:p>
    <w:p>
      <w:pPr>
        <w:pStyle w:val="Normal"/>
        <w:ind w:firstLine="288"/>
        <w:jc w:val="both"/>
        <w:rPr/>
      </w:pPr>
      <w:r>
        <w:rPr/>
        <w:t xml:space="preserve">SegQC is an independent 3D CNN that estimates a mask's Dice without labels. Its input has three channels, resized as a whole volume to 64³ (trilinear for the continuous channels, nearest-neighbour for the mask): the T1CE image x, one region's candidate mask m and the frozen predictive-entropy map H, the quantity in (1) expressed in nats. Four Conv3d–GroupNorm–LeakyReLU blocks (16, 32, 64 and 128 channels; stride 2 from the second block on), global average pooling and a two-layer head (128 → 64 → 1, dropout 0.1) output a logit,</w:t>
      </w:r>
    </w:p>
    <w:p>
      <w:pPr>
        <w:pStyle w:val="Normal"/>
        <w:tabs>
          <w:tab w:val="clear" w:pos="720"/>
          <w:tab w:val="center" w:pos="2520" w:leader="none"/>
          <w:tab w:val="right" w:pos="5040" w:leader="none"/>
        </w:tabs>
        <w:spacing w:before="60" w:after="60"/>
        <w:rPr/>
      </w:pPr>
      <w:r>
        <w:rPr/>
        <w:tab/>
      </w:r>
      <m:oMath>
        <m:acc>
          <m:accPr>
            <m:chr m:val="̂"/>
          </m:accPr>
          <m:e>
            <m:r>
              <m:rPr>
                <m:nor/>
              </m:rPr>
              <m:t>Dice</m:t>
            </m:r>
          </m:e>
        </m:acc>
        <m:r>
          <m:rPr>
            <m:sty m:val="p"/>
          </m:rPr>
          <m:t>=</m:t>
        </m:r>
        <m:r>
          <m:t>σ</m:t>
        </m:r>
        <m:d>
          <m:dPr>
            <m:begChr m:val="("/>
            <m:sepChr m:val=""/>
            <m:endChr m:val=")"/>
            <m:grow/>
          </m:dPr>
          <m:e>
            <m:sSub>
              <m:e>
                <m:r>
                  <m:t>f</m:t>
                </m:r>
              </m:e>
              <m:sub>
                <m:r>
                  <m:t>θ</m:t>
                </m:r>
              </m:sub>
            </m:sSub>
            <m:d>
              <m:dPr>
                <m:begChr m:val="("/>
                <m:sepChr m:val=""/>
                <m:endChr m:val=")"/>
                <m:grow/>
              </m:dPr>
              <m:e>
                <m:r>
                  <m:t>x</m:t>
                </m:r>
                <m:r>
                  <m:rPr>
                    <m:sty m:val="p"/>
                  </m:rPr>
                  <m:t>,</m:t>
                </m:r>
                <m:r>
                  <m:t> </m:t>
                </m:r>
                <m:r>
                  <m:t>m</m:t>
                </m:r>
                <m:r>
                  <m:rPr>
                    <m:sty m:val="p"/>
                  </m:rPr>
                  <m:t>,</m:t>
                </m:r>
                <m:r>
                  <m:t> </m:t>
                </m:r>
                <m:r>
                  <m:t>H</m:t>
                </m:r>
              </m:e>
            </m:d>
          </m:e>
        </m:d>
      </m:oMath>
      <w:r>
        <w:rPr/>
        <w:tab/>
        <w:t>(13)</w:t>
      </w:r>
    </w:p>
    <w:p>
      <w:pPr>
        <w:pStyle w:val="Normal"/>
        <w:jc w:val="both"/>
        <w:rPr/>
      </w:pPr>
      <w:r>
        <w:rPr/>
        <w:t>trained for 10 epochs with mean-squared error against the true full-resolution Dice. Training pairs come from the proposed model's validation-split predictions and synthetically degraded versions of them (erosion, dilation, dropped components, shifts and speckle), with 20% of cases held out; no test or external case is used. Resizing the whole volume, rather than cropping it, keeps the target, a whole-case Dice, consistent with what the network sees.</w:t>
      </w:r>
    </w:p>
    <w:p>
      <w:pPr>
        <w:pStyle w:val="Normal"/>
        <w:keepNext w:val="true"/>
        <w:spacing w:before="130" w:after="40"/>
        <w:rPr/>
      </w:pPr>
      <w:r>
        <w:rPr>
          <w:i/>
          <w:iCs/>
        </w:rPr>
        <w:t>I. Clinical pipeline and gatekeeper</w:t>
      </w:r>
    </w:p>
    <w:p>
      <w:pPr>
        <w:pStyle w:val="Normal"/>
        <w:ind w:firstLine="288"/>
        <w:jc w:val="both"/>
        <w:rPr/>
      </w:pPr>
      <w:r>
        <w:rPr/>
        <w:t xml:space="preserve">The clinical path (Fig. 2) accepts a zipped DICOM study. Ingestion reads the headers, classifies series into the four sequences by their descriptions, converts them with dcm2niix [49] and reads the patient's age. Label-free input QC runs twelve named checks in two passes. The pass before registration covers sequence completeness, unexpected series roles, affine invertibility, finite values, intensity dynamic range, voxel spacing and slice anisotropy (the last two refuse thick-slice acquisitions), and records geometry mismatches between sequences as warnings, since co-registration has not yet run. The pass after registration repeats these, enforces geometry consistency, checks the expected atlas-grid shape and adds three checks that need the brain mask: a brain volume between 600 and 2,600 ml, the fraction of signal inside the mask and skull remnants. The front end co-registers all sequences to T1CE and registers them to the SRI24 atlas [50], which defines BraTS space, using rigid ANTs registration [51] through the BrainLesion Suite preprocessing module [52], then skull-strips with HD-BET [53] on CPU. The research preprocessing and segmentation described above then run unchanged.</w:t>
      </w:r>
    </w:p>
    <w:p>
      <w:pPr>
        <w:sectPr>
          <w:type w:val="continuous"/>
          <w:pgSz w:w="12240" w:h="15840"/>
          <w:pgMar w:left="900" w:right="900" w:gutter="0" w:header="0" w:top="1080" w:footer="708" w:bottom="1440"/>
          <w:cols w:num="2" w:space="360" w:equalWidth="true" w:sep="false"/>
          <w:formProt w:val="false"/>
          <w:textDirection w:val="lrTb"/>
          <w:docGrid w:type="default" w:linePitch="360" w:charSpace="8192"/>
        </w:sectPr>
      </w:pPr>
    </w:p>
    <w:p>
      <w:pPr>
        <w:pStyle w:val="Normal"/>
        <w:keepNext w:val="true"/>
        <w:spacing w:before="80" w:after="40"/>
        <w:jc w:val="center"/>
        <w:rPr/>
      </w:pPr>
      <w:r>
        <w:rPr/>
        <w:drawing>
          <wp:inline distT="0" distB="0" distL="0" distR="0">
            <wp:extent cx="6400800" cy="2142560"/>
            <wp:effectExtent l="0" t="0" r="0" b="0"/>
            <wp:docPr id="2" name="Fig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
                    <pic:cNvPicPr>
                      <a:picLocks noChangeAspect="1" noChangeArrowheads="1"/>
                    </pic:cNvPicPr>
                  </pic:nvPicPr>
                  <pic:blipFill>
                    <a:blip r:embed="rId6"/>
                    <a:stretch>
                      <a:fillRect/>
                    </a:stretch>
                  </pic:blipFill>
                  <pic:spPr bwMode="auto">
                    <a:xfrm>
                      <a:off x="0" y="0"/>
                      <a:ext cx="6400800" cy="2142560"/>
                    </a:xfrm>
                    <a:prstGeom prst="rect">
                      <a:avLst/>
                    </a:prstGeom>
                  </pic:spPr>
                </pic:pic>
              </a:graphicData>
            </a:graphic>
          </wp:inline>
        </w:drawing>
      </w:r>
    </w:p>
    <w:p>
      <w:pPr>
        <w:pStyle w:val="Normal"/>
        <w:spacing w:before="0" w:after="140"/>
        <w:jc w:val="center"/>
        <w:rPr/>
      </w:pPr>
      <w:r>
        <w:rPr>
          <w:sz w:val="16"/>
          <w:szCs w:val="16"/>
        </w:rPr>
        <w:t>Fig. 2.  Clinical pipeline from DICOM to report. Input QC runs before and after registration; the gatekeeper takes the worst verdict over its enabled signals. Refusals are reported with named reasons and are successful job outcomes, not errors.</w:t>
      </w:r>
    </w:p>
    <w:p>
      <w:pPr>
        <w:sectPr>
          <w:type w:val="continuous"/>
          <w:pgSz w:w="12240" w:h="15840"/>
          <w:pgMar w:left="900" w:right="900" w:gutter="0" w:header="0" w:top="1080" w:footer="708" w:bottom="1440"/>
          <w:formProt w:val="false"/>
          <w:textDirection w:val="lrTb"/>
          <w:docGrid w:type="default" w:linePitch="360" w:charSpace="8192"/>
        </w:sectPr>
      </w:pPr>
    </w:p>
    <w:p>
      <w:pPr>
        <w:pStyle w:val="Normal"/>
        <w:ind w:firstLine="288"/>
        <w:jc w:val="both"/>
        <w:rPr/>
      </w:pPr>
      <w:r>
        <w:rPr/>
        <w:t xml:space="preserve">Signals are computed live: SegQC predicted Dice for WT and TC, the conformal band, the OOD score (Section V-J) and an intended-use check. The gatekeeper returns</w:t>
      </w:r>
    </w:p>
    <w:p>
      <w:pPr>
        <w:pStyle w:val="Normal"/>
        <w:tabs>
          <w:tab w:val="clear" w:pos="720"/>
          <w:tab w:val="center" w:pos="2520" w:leader="none"/>
          <w:tab w:val="right" w:pos="5040" w:leader="none"/>
        </w:tabs>
        <w:spacing w:before="60" w:after="60"/>
        <w:rPr/>
      </w:pPr>
      <w:r>
        <w:rPr/>
        <w:tab/>
      </w:r>
      <m:oMath>
        <m:r>
          <m:t>v</m:t>
        </m:r>
        <m:r>
          <m:rPr>
            <m:sty m:val="p"/>
          </m:rPr>
          <m:t>=</m:t>
        </m:r>
        <m:limLow>
          <m:e>
            <m:r>
              <m:rPr>
                <m:sty m:val="p"/>
              </m:rPr>
              <m:t>max</m:t>
            </m:r>
          </m:e>
          <m:lim>
            <m:r>
              <m:t>e</m:t>
            </m:r>
            <m:r>
              <m:rPr>
                <m:sty m:val="p"/>
              </m:rPr>
              <m:t>∈</m:t>
            </m:r>
            <m:r>
              <m:t>E</m:t>
            </m:r>
          </m:lim>
        </m:limLow>
        <m:r>
          <m:t> </m:t>
        </m:r>
        <m:sSub>
          <m:e>
            <m:r>
              <m:t>v</m:t>
            </m:r>
          </m:e>
          <m:sub>
            <m:r>
              <m:t>e</m:t>
            </m:r>
          </m:sub>
        </m:sSub>
      </m:oMath>
      <w:r>
        <w:rPr/>
        <w:tab/>
        <w:t>(14)</w:t>
      </w:r>
    </w:p>
    <w:p>
      <w:pPr>
        <w:pStyle w:val="Normal"/>
        <w:jc w:val="both"/>
        <w:rPr/>
      </w:pPr>
      <w:r>
        <w:rPr/>
        <w:t>the worst verdict over the enabled signal set E, under the ordering PROCEED &lt; CAUTION &lt; REFUSE. SegQC cut-points are the 10% (CAUTION) and 2% (REFUSE) quantiles of its validation-split outputs, fixed without labels; because 80% of those validation cases were also SegQC's training data, the quantiles are partly in-sample. An enabled signal that cannot be computed is a REFUSE, never a silent pass; the one documented exception is a missing age, which yields CAUTION because de-identification routinely strips it. The intended-use check refuses patients younger than 18 years. The pre-registered gate enabled input QC, predicted Dice and the conformal band; Section IX-C reports the post-hoc changes that led to the current configuration (input QC, predicted Dice and intended use). A refusal is a successful job outcome, returned with named reasons.</w:t>
      </w:r>
    </w:p>
    <w:p>
      <w:pPr>
        <w:pStyle w:val="Normal"/>
        <w:ind w:firstLine="288"/>
        <w:jc w:val="both"/>
        <w:rPr/>
      </w:pPr>
      <w:r>
        <w:rPr/>
        <w:t>Accepted and cautioned studies proceed to a structured report and to a DICOM-SEG object [54] resampled into the native acquisition geometry through the inverse registration. The report assembles quantities computed elsewhere and never introduces a new model output: per-region volumes and burden descriptors (foci, multifocality, sphericity, surface-to-volume ratio, midline crossing); atlas localisation over 122 SRI24/AAL [55] structures, with the unlabelled fraction stated; involvement of the ventricles and deep white matter; proximity to 23 eloquent structures from a published list [56], carried with its citation; pathology entered by a user, mapped to a WHO CNS5 name [57] and labelled as user-entered; provenance; a non-diagnostic disclaimer; and an explicit list of what the report does not claim (grade, prognosis, molecular status from imaging, deficits). Entropy, conformal-band and Grad-CAM [58] overlays are displayed alongside.</w:t>
      </w:r>
    </w:p>
    <w:p>
      <w:pPr>
        <w:pStyle w:val="Normal"/>
        <w:keepNext w:val="true"/>
        <w:spacing w:before="130" w:after="40"/>
        <w:rPr/>
      </w:pPr>
      <w:r>
        <w:rPr>
          <w:i/>
          <w:iCs/>
        </w:rPr>
        <w:t>J. Out-of-distribution score</w:t>
      </w:r>
    </w:p>
    <w:p>
      <w:pPr>
        <w:pStyle w:val="Normal"/>
        <w:ind w:firstLine="288"/>
        <w:jc w:val="both"/>
        <w:rPr/>
      </w:pPr>
      <w:r>
        <w:rPr/>
        <w:t>A pre-registered score summarises each study by 46 label-free input statistics, standardised on the training split, and computes the Mahalanobis distance [36]</w:t>
      </w:r>
    </w:p>
    <w:p>
      <w:pPr>
        <w:pStyle w:val="Normal"/>
        <w:tabs>
          <w:tab w:val="clear" w:pos="720"/>
          <w:tab w:val="center" w:pos="2520" w:leader="none"/>
          <w:tab w:val="right" w:pos="5040" w:leader="none"/>
        </w:tabs>
        <w:spacing w:before="60" w:after="60"/>
        <w:rPr/>
      </w:pPr>
      <w:r>
        <w:rPr/>
        <w:tab/>
      </w:r>
      <m:oMath>
        <m:r>
          <m:t>z</m:t>
        </m:r>
        <m:r>
          <m:rPr>
            <m:sty m:val="p"/>
          </m:rPr>
          <m:t>=</m:t>
        </m:r>
        <m:d>
          <m:dPr>
            <m:begChr m:val="("/>
            <m:sepChr m:val=""/>
            <m:endChr m:val=")"/>
            <m:grow/>
          </m:dPr>
          <m:e>
            <m:r>
              <m:t>u</m:t>
            </m:r>
            <m:r>
              <m:rPr>
                <m:sty m:val="p"/>
              </m:rPr>
              <m:t>−</m:t>
            </m:r>
            <m:sSub>
              <m:e>
                <m:r>
                  <m:t>μ</m:t>
                </m:r>
              </m:e>
              <m:sub>
                <m:r>
                  <m:rPr>
                    <m:nor/>
                  </m:rPr>
                  <m:t>train</m:t>
                </m:r>
              </m:sub>
            </m:sSub>
          </m:e>
        </m:d>
        <m:r>
          <m:rPr>
            <m:sty m:val="p"/>
          </m:rPr>
          <m:t>⊘</m:t>
        </m:r>
        <m:sSub>
          <m:e>
            <m:r>
              <m:t>σ</m:t>
            </m:r>
          </m:e>
          <m:sub>
            <m:r>
              <m:rPr>
                <m:nor/>
              </m:rPr>
              <m:t>train</m:t>
            </m:r>
          </m:sub>
        </m:sSub>
      </m:oMath>
      <w:r>
        <w:rPr/>
        <w:tab/>
        <w:t>(15)</w:t>
      </w:r>
    </w:p>
    <w:p>
      <w:pPr>
        <w:pStyle w:val="Normal"/>
        <w:tabs>
          <w:tab w:val="clear" w:pos="720"/>
          <w:tab w:val="center" w:pos="2520" w:leader="none"/>
          <w:tab w:val="right" w:pos="5040" w:leader="none"/>
        </w:tabs>
        <w:spacing w:before="60" w:after="60"/>
        <w:rPr/>
      </w:pPr>
      <m:oMath>
        <m:r>
          <m:t>D</m:t>
        </m:r>
        <m:d>
          <m:dPr>
            <m:begChr m:val="("/>
            <m:sepChr m:val=""/>
            <m:endChr m:val=")"/>
            <m:grow/>
          </m:dPr>
          <m:e>
            <m:r>
              <m:t>u</m:t>
            </m:r>
          </m:e>
        </m:d>
        <m:r>
          <m:rPr>
            <m:sty m:val="p"/>
          </m:rPr>
          <m:t>=</m:t>
        </m:r>
        <m:rad>
          <m:radPr>
            <m:degHide m:val="on"/>
          </m:radPr>
          <m:deg/>
          <m:e>
            <m:sSup>
              <m:e>
                <m:r>
                  <m:t>z</m:t>
                </m:r>
              </m:e>
              <m:sup>
                <m:r>
                  <m:rPr>
                    <m:sty m:val="p"/>
                  </m:rPr>
                  <m:t>⊤</m:t>
                </m:r>
              </m:sup>
            </m:sSup>
            <m:sSup>
              <m:e>
                <m:acc>
                  <m:accPr>
                    <m:chr m:val="̂"/>
                  </m:accPr>
                  <m:e>
                    <m:r>
                      <m:t>Σ</m:t>
                    </m:r>
                  </m:e>
                </m:acc>
              </m:e>
              <m:sup>
                <m:r>
                  <m:rPr>
                    <m:sty m:val="p"/>
                  </m:rPr>
                  <m:t>−</m:t>
                </m:r>
                <m:r>
                  <m:t>1</m:t>
                </m:r>
              </m:sup>
            </m:sSup>
            <m:r>
              <m:t>z</m:t>
            </m:r>
          </m:e>
        </m:rad>
        <m:r>
          <m:rPr>
            <m:sty m:val="p"/>
          </m:rPr>
          <m:t>,</m:t>
        </m:r>
        <m:r>
          <m:t> </m:t>
        </m:r>
        <m:acc>
          <m:accPr>
            <m:chr m:val="̂"/>
          </m:accPr>
          <m:e>
            <m:r>
              <m:t>Σ</m:t>
            </m:r>
          </m:e>
        </m:acc>
        <m:r>
          <m:rPr>
            <m:sty m:val="p"/>
          </m:rPr>
          <m:t>=</m:t>
        </m:r>
        <m:d>
          <m:dPr>
            <m:begChr m:val="("/>
            <m:sepChr m:val=""/>
            <m:endChr m:val=")"/>
            <m:grow/>
          </m:dPr>
          <m:e>
            <m:r>
              <m:t>1</m:t>
            </m:r>
            <m:r>
              <m:rPr>
                <m:sty m:val="p"/>
              </m:rPr>
              <m:t>−</m:t>
            </m:r>
            <m:r>
              <m:t>λ</m:t>
            </m:r>
          </m:e>
        </m:d>
        <m:r>
          <m:t> </m:t>
        </m:r>
        <m:r>
          <m:t>S</m:t>
        </m:r>
        <m:r>
          <m:rPr>
            <m:sty m:val="p"/>
          </m:rPr>
          <m:t>+</m:t>
        </m:r>
        <m:r>
          <m:t>λ</m:t>
        </m:r>
        <m:r>
          <m:t> </m:t>
        </m:r>
        <m:r>
          <m:rPr>
            <m:nor/>
          </m:rPr>
          <m:t>diag</m:t>
        </m:r>
        <m:d>
          <m:dPr>
            <m:begChr m:val="("/>
            <m:sepChr m:val=""/>
            <m:endChr m:val=")"/>
            <m:grow/>
          </m:dPr>
          <m:e>
            <m:r>
              <m:t>S</m:t>
            </m:r>
          </m:e>
        </m:d>
      </m:oMath>
      <w:r>
        <w:rPr/>
        <w:tab/>
        <w:t>(16)</w:t>
      </w:r>
    </w:p>
    <w:p>
      <w:pPr>
        <w:pStyle w:val="Normal"/>
        <w:jc w:val="both"/>
        <w:rPr/>
      </w:pPr>
      <w:r>
        <w:rPr/>
        <w:t xml:space="preserve">where u is the vector of statistics, ⊘ is element-wise division and S is the sample covariance, shrunk towards its diagonal with a fixed intensity λ = 0.1 set in advance (in the spirit of [59], which instead estimates the intensity). CAUTION and REFUSE cut-points are the 90th and 98th percentiles of validation scores (7.557 and 9.935). The registered switch-on rule required the score, used as a REFUSE signal, to remove at least four of the eleven SSA silent failures of the error budget.</w:t>
      </w:r>
    </w:p>
    <w:p>
      <w:pPr>
        <w:pStyle w:val="Normal"/>
        <w:keepNext w:val="true"/>
        <w:spacing w:before="130" w:after="40"/>
        <w:rPr/>
      </w:pPr>
      <w:r>
        <w:rPr>
          <w:i/>
          <w:iCs/>
        </w:rPr>
        <w:t>K. Error-budget and real-DICOM protocols</w:t>
      </w:r>
    </w:p>
    <w:p>
      <w:pPr>
        <w:pStyle w:val="Normal"/>
        <w:ind w:firstLine="288"/>
        <w:jc w:val="both"/>
        <w:rPr/>
      </w:pPr>
      <w:r>
        <w:rPr/>
        <w:t>Both measurements were fixed in written protocols before they were run. The error budget passes every cohort through every stage with the deployed, frozen gate and nothing refitted, and reports P(accepted), P(usable), P(usable | accepted), the end-to-end P(accepted ∧ usable) and the four outcome cells, with bootstrap CIs. The real-DICOM protocol freezes a sample of 40 test-split patients and scores the clinical path against BraTS ground truth on the SRI24 grid, with three registered predictions: (a) a median WT loss of at most 0.05 Dice relative to the research path, (b) some thick-slice refusals and (c) a usable rate below the in-distribution 0.852. Disagreement between our registration and BraTS's own alignment counts against the pipeline by design.</w:t>
      </w:r>
    </w:p>
    <w:p>
      <w:pPr>
        <w:pStyle w:val="Normal"/>
        <w:keepNext w:val="true"/>
        <w:spacing w:before="130" w:after="40"/>
        <w:rPr/>
      </w:pPr>
      <w:r>
        <w:rPr>
          <w:i/>
          <w:iCs/>
        </w:rPr>
        <w:t>L. Implementation and compute</w:t>
      </w:r>
    </w:p>
    <w:p>
      <w:pPr>
        <w:pStyle w:val="Normal"/>
        <w:ind w:firstLine="288"/>
        <w:jc w:val="both"/>
        <w:rPr/>
      </w:pPr>
      <w:r>
        <w:rPr/>
        <w:t xml:space="preserve">The system is implemented in PyTorch [60] and MONAI [42] with Hydra configuration, and three string-keyed registries (models, losses and fusion blocks) keep the arms interchangeable. Training ran on Kaggle NVIDIA T4 GPUs (14.56 GiB usable, 12-hour sessions). Every session resumes the model, optimiser, scheduler, gradient scaler, epoch, random-number state and experiment-tracker identity from atomically written checkpoints, and clones the code at a pinned commit. The project used about 186 GPU-hours in total, including 10.5 h lost to the half-precision entropy failure described above and 16.5 h spent on the superseded baseline. Evaluation, analysis and the clinical pipeline run on CPU; a clinical job on a real study takes about six minutes on a laptop CPU with a peak memory of about 12 GB. The code base carries about 2,600 automated tests, and the configuration, pre-registrations and experiment log are public [14].</w:t>
      </w:r>
    </w:p>
    <w:p>
      <w:pPr>
        <w:pStyle w:val="Normal"/>
        <w:keepNext w:val="true"/>
        <w:spacing w:before="220" w:after="90"/>
        <w:jc w:val="center"/>
        <w:rPr/>
      </w:pPr>
      <w:r>
        <w:rPr/>
        <w:t>VI.  RESULTS I: SEGMENTATION</w:t>
      </w:r>
    </w:p>
    <w:p>
      <w:pPr>
        <w:pStyle w:val="Normal"/>
        <w:keepNext w:val="true"/>
        <w:spacing w:before="130" w:after="40"/>
        <w:rPr/>
      </w:pPr>
      <w:r>
        <w:rPr>
          <w:i/>
          <w:iCs/>
        </w:rPr>
        <w:t>A. In distribution</w:t>
      </w:r>
    </w:p>
    <w:p>
      <w:pPr>
        <w:pStyle w:val="Normal"/>
        <w:keepNext w:val="true"/>
        <w:spacing w:before="160" w:after="50"/>
        <w:jc w:val="center"/>
        <w:rPr/>
      </w:pPr>
      <w:r>
        <w:rPr>
          <w:b/>
          <w:bCs/>
          <w:caps/>
          <w:sz w:val="16"/>
          <w:szCs w:val="16"/>
        </w:rPr>
        <w:t>Table III.  Test-split segmentation (BraTS 2021, n = 189)</w:t>
      </w:r>
    </w:p>
    <w:tbl>
      <w:tblPr>
        <w:tblW w:w="5040" w:type="dxa"/>
        <w:jc w:val="center"/>
        <w:tblInd w:w="0" w:type="dxa"/>
        <w:tblLayout w:type="fixed"/>
        <w:tblCellMar>
          <w:top w:w="25" w:type="dxa"/>
          <w:left w:w="55" w:type="dxa"/>
          <w:bottom w:w="25" w:type="dxa"/>
          <w:right w:w="55" w:type="dxa"/>
        </w:tblCellMar>
      </w:tblPr>
      <w:tblGrid>
        <w:gridCol w:w="1319"/>
        <w:gridCol w:w="620"/>
        <w:gridCol w:w="620"/>
        <w:gridCol w:w="621"/>
        <w:gridCol w:w="620"/>
        <w:gridCol w:w="621"/>
        <w:gridCol w:w="618"/>
      </w:tblGrid>
      <w:tr>
        <w:trPr>
          <w:tblHeader w:val="true"/>
          <w:cantSplit w:val="true"/>
        </w:trPr>
        <w:tc>
          <w:tcPr>
            <w:tcW w:w="1319"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Arm</w:t>
            </w:r>
          </w:p>
        </w:tc>
        <w:tc>
          <w:tcPr>
            <w:tcW w:w="62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Dice ET</w:t>
            </w:r>
          </w:p>
        </w:tc>
        <w:tc>
          <w:tcPr>
            <w:tcW w:w="62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Dice TC</w:t>
            </w:r>
          </w:p>
        </w:tc>
        <w:tc>
          <w:tcPr>
            <w:tcW w:w="621"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Dice WT</w:t>
            </w:r>
          </w:p>
        </w:tc>
        <w:tc>
          <w:tcPr>
            <w:tcW w:w="62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HD95 ET</w:t>
            </w:r>
          </w:p>
        </w:tc>
        <w:tc>
          <w:tcPr>
            <w:tcW w:w="621"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HD95 TC</w:t>
            </w:r>
          </w:p>
        </w:tc>
        <w:tc>
          <w:tcPr>
            <w:tcW w:w="61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HD95 WT</w:t>
            </w:r>
          </w:p>
        </w:tc>
      </w:tr>
      <w:tr>
        <w:trPr>
          <w:cantSplit w:val="true"/>
        </w:trPr>
        <w:tc>
          <w:tcPr>
            <w:tcW w:w="13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U-Net baseline</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0.8442</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0.9058</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0.9276</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4.91</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5.24</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6.72</w:t>
            </w:r>
          </w:p>
        </w:tc>
      </w:tr>
      <w:tr>
        <w:trPr>
          <w:cantSplit w:val="true"/>
        </w:trPr>
        <w:tc>
          <w:tcPr>
            <w:tcW w:w="13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Capacity control</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0.8497</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0.9092</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0.9295</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4.84</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5.67</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7.09</w:t>
            </w:r>
          </w:p>
        </w:tc>
      </w:tr>
      <w:tr>
        <w:trPr>
          <w:cantSplit w:val="true"/>
        </w:trPr>
        <w:tc>
          <w:tcPr>
            <w:tcW w:w="13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Content-only ablation</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0.8686</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0.9158</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0.9333</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4.53</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5.45</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6.12</w:t>
            </w:r>
          </w:p>
        </w:tc>
      </w:tr>
      <w:tr>
        <w:trPr>
          <w:cantSplit w:val="true"/>
        </w:trPr>
        <w:tc>
          <w:tcPr>
            <w:tcW w:w="13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NeuroVision-X</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0.8709</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0.9161</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0.9321</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4.20</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4.98</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7.09</w:t>
            </w:r>
          </w:p>
        </w:tc>
      </w:tr>
      <w:tr>
        <w:trPr>
          <w:cantSplit w:val="true"/>
        </w:trPr>
        <w:tc>
          <w:tcPr>
            <w:tcW w:w="131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U-Net 96³/200 ep.†</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0.8587</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0.9157</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0.9354</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4.02</w:t>
            </w:r>
          </w:p>
        </w:tc>
        <w:tc>
          <w:tcPr>
            <w:tcW w:w="6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5.21</w:t>
            </w:r>
          </w:p>
        </w:tc>
        <w:tc>
          <w:tcPr>
            <w:tcW w:w="6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5.36</w:t>
            </w:r>
          </w:p>
        </w:tc>
      </w:tr>
    </w:tbl>
    <w:p>
      <w:pPr>
        <w:pStyle w:val="Normal"/>
        <w:spacing w:before="40" w:after="100"/>
        <w:jc w:val="both"/>
        <w:rPr/>
      </w:pPr>
      <w:r>
        <w:rPr>
          <w:i/>
          <w:iCs/>
          <w:sz w:val="14"/>
          <w:szCs w:val="14"/>
        </w:rPr>
        <w:t>Seed 42. HD95 in mm. Bold: significantly better than both the baseline and the capacity control (Table IV); all HD95 and WT differences were inconclusive. †Superseded run with a different recipe; outside the comparison family.</w:t>
      </w:r>
    </w:p>
    <w:p>
      <w:pPr>
        <w:pStyle w:val="Normal"/>
        <w:ind w:firstLine="288"/>
        <w:jc w:val="both"/>
        <w:rPr/>
      </w:pPr>
      <w:r>
        <w:rPr/>
        <w:t xml:space="preserve">Table III gives absolute test-split results and Table IV the paired comparisons. Against the matched U-Net, the proposed model improves ET Dice by +0.0267 (95% CI 0.0166–0.0393, p</w:t>
      </w:r>
      <w:r>
        <w:rPr>
          <w:vertAlign w:val="subscript"/>
        </w:rPr>
        <w:t xml:space="preserve">holm</w:t>
      </w:r>
      <w:r>
        <w:rPr/>
        <w:t xml:space="preserve"> = 1.4×10</w:t>
      </w:r>
      <w:r>
        <w:rPr>
          <w:vertAlign w:val="superscript"/>
        </w:rPr>
        <w:t xml:space="preserve">−21</w:t>
      </w:r>
      <w:r>
        <w:rPr/>
        <w:t xml:space="preserve">) and TC Dice by +0.0103; the WT difference (+0.0045) is inconclusive. These p-values are conditional on the two trained networks (Section III-B); the evidence that the margin belongs to the architecture rather than to one training run is its replication at a second, independent seed pair (+0.0247, CI 0.0116–0.0420; seed-averaged +0.0257). Retraining the proposed model at seed 43 moves test ET Dice by +0.0021 (CI −0.0018 to +0.0068), and retraining the baseline moves it by +0.0041 (CI 0.0016–0.0072), a shift that meets the registered threshold although the architecture is unchanged. The architecture margin is about six times the larger of these two retraining shifts, and about four times over the cases with reference enhancing tumour; with one retraining per model this is a comparison with two draws, not with an estimated seed variance, and no margin near 0.004 can be attributed to architecture from one seed pair. Because empty-ET cases score 0 or 1 (Section V-E), a handful of them can move the mean by as much as the margin, and here they do move it. Of the five test cases with no reference enhancing tumour, the proposed model predicts none in two and the baseline in no case, as the saved masks and the cases with undefined HD95 (three against five) both show. Those two cases alone contribute 2/189 = 0.0106 to the mean difference, about 40% of it. Over the 184 cases with reference enhancing tumour (exploratory), the difference is +0.0165 (95% CI 0.0125–0.0211; Wilcoxon p = 6.2×10</w:t>
      </w:r>
      <w:r>
        <w:rPr>
          <w:vertAlign w:val="superscript"/>
        </w:rPr>
        <w:t xml:space="preserve">−22</w:t>
      </w:r>
      <w:r>
        <w:rPr/>
        <w:t xml:space="preserve">; 159 wins, 1 tie, 24 losses; Hodges–Lehmann +0.0151), and at seed 43 it is +0.0145 (CI 0.0093–0.0208). The same two cases carry the same share at both seeds: the proposed model consistently returns no enhancing tumour for them and the baseline never does, a replicated behaviour whose weight in the mean is out of proportion to two cases. The direction of H1 does not rest on them, but its size does.</w:t>
      </w:r>
    </w:p>
    <w:p>
      <w:pPr>
        <w:pStyle w:val="Normal"/>
        <w:keepNext w:val="true"/>
        <w:spacing w:before="160" w:after="50"/>
        <w:jc w:val="center"/>
        <w:rPr/>
      </w:pPr>
      <w:r>
        <w:rPr>
          <w:b/>
          <w:bCs/>
          <w:caps/>
          <w:sz w:val="16"/>
          <w:szCs w:val="16"/>
        </w:rPr>
        <w:t>Table IV.  Paired test-split comparisons and the decomposition of the ET gain</w:t>
      </w:r>
    </w:p>
    <w:tbl>
      <w:tblPr>
        <w:tblW w:w="5040" w:type="dxa"/>
        <w:jc w:val="center"/>
        <w:tblInd w:w="0" w:type="dxa"/>
        <w:tblLayout w:type="fixed"/>
        <w:tblCellMar>
          <w:top w:w="25" w:type="dxa"/>
          <w:left w:w="55" w:type="dxa"/>
          <w:bottom w:w="25" w:type="dxa"/>
          <w:right w:w="55" w:type="dxa"/>
        </w:tblCellMar>
      </w:tblPr>
      <w:tblGrid>
        <w:gridCol w:w="1060"/>
        <w:gridCol w:w="1180"/>
        <w:gridCol w:w="720"/>
        <w:gridCol w:w="710"/>
        <w:gridCol w:w="680"/>
        <w:gridCol w:w="690"/>
      </w:tblGrid>
      <w:tr>
        <w:trPr>
          <w:tblHeader w:val="true"/>
          <w:cantSplit w:val="true"/>
        </w:trPr>
        <w:tc>
          <w:tcPr>
            <w:tcW w:w="106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Comparison</w:t>
            </w:r>
          </w:p>
        </w:tc>
        <w:tc>
          <w:tcPr>
            <w:tcW w:w="118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ΔET [95% CI]</w:t>
            </w:r>
          </w:p>
        </w:tc>
        <w:tc>
          <w:tcPr>
            <w:tcW w:w="72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w:t>
            </w:r>
            <w:r>
              <w:rPr>
                <w:b/>
                <w:bCs/>
                <w:sz w:val="16"/>
                <w:szCs w:val="16"/>
                <w:vertAlign w:val="subscript"/>
              </w:rPr>
              <w:t>holm</w:t>
            </w:r>
            <w:r>
              <w:rPr>
                <w:b/>
                <w:bCs/>
                <w:sz w:val="16"/>
                <w:szCs w:val="16"/>
              </w:rPr>
              <w:t xml:space="preserve"> (ET)</w:t>
            </w:r>
          </w:p>
        </w:tc>
        <w:tc>
          <w:tcPr>
            <w:tcW w:w="71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ΔTC</w:t>
            </w:r>
          </w:p>
        </w:tc>
        <w:tc>
          <w:tcPr>
            <w:tcW w:w="68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ΔWT</w:t>
            </w:r>
          </w:p>
        </w:tc>
        <w:tc>
          <w:tcPr>
            <w:tcW w:w="69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ΔET, ref-ET (n = 184)†</w:t>
            </w:r>
          </w:p>
        </w:tc>
      </w:tr>
      <w:tr>
        <w:trPr>
          <w:cantSplit w:val="true"/>
        </w:trPr>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Proposed − baseline</w:t>
            </w:r>
          </w:p>
        </w:tc>
        <w:tc>
          <w:tcPr>
            <w:tcW w:w="11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+0.0267</w:t>
            </w:r>
            <w:r>
              <w:rPr>
                <w:sz w:val="16"/>
                <w:szCs w:val="16"/>
              </w:rPr>
              <w:t xml:space="preserve"> [0.0166, 0.0393]</w:t>
            </w:r>
          </w:p>
        </w:tc>
        <w:tc>
          <w:tcPr>
            <w:tcW w:w="7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1.4×10</w:t>
            </w:r>
            <w:r>
              <w:rPr>
                <w:sz w:val="16"/>
                <w:szCs w:val="16"/>
                <w:vertAlign w:val="superscript"/>
              </w:rPr>
              <w:t>−21</w:t>
            </w:r>
          </w:p>
        </w:tc>
        <w:tc>
          <w:tcPr>
            <w:tcW w:w="71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+0.0103</w:t>
            </w:r>
          </w:p>
        </w:tc>
        <w:tc>
          <w:tcPr>
            <w:tcW w:w="6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+0.0045</w:t>
            </w:r>
          </w:p>
        </w:tc>
        <w:tc>
          <w:tcPr>
            <w:tcW w:w="6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+0.0165</w:t>
            </w:r>
          </w:p>
        </w:tc>
      </w:tr>
      <w:tr>
        <w:trPr>
          <w:cantSplit w:val="true"/>
        </w:trPr>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Capacity − baseline (width)</w:t>
            </w:r>
          </w:p>
        </w:tc>
        <w:tc>
          <w:tcPr>
            <w:tcW w:w="11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+0.0055</w:t>
            </w:r>
          </w:p>
        </w:tc>
        <w:tc>
          <w:tcPr>
            <w:tcW w:w="7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1.6×10</w:t>
            </w:r>
            <w:r>
              <w:rPr>
                <w:sz w:val="16"/>
                <w:szCs w:val="16"/>
                <w:vertAlign w:val="superscript"/>
              </w:rPr>
              <w:t>−9</w:t>
            </w:r>
          </w:p>
        </w:tc>
        <w:tc>
          <w:tcPr>
            <w:tcW w:w="71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+0.0034</w:t>
            </w:r>
          </w:p>
        </w:tc>
        <w:tc>
          <w:tcPr>
            <w:tcW w:w="6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+0.0019</w:t>
            </w:r>
          </w:p>
        </w:tc>
        <w:tc>
          <w:tcPr>
            <w:tcW w:w="6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+0.0057</w:t>
            </w:r>
          </w:p>
        </w:tc>
      </w:tr>
      <w:tr>
        <w:trPr>
          <w:cantSplit w:val="true"/>
        </w:trPr>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Proposed − capacity</w:t>
            </w:r>
          </w:p>
        </w:tc>
        <w:tc>
          <w:tcPr>
            <w:tcW w:w="11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+0.0211</w:t>
            </w:r>
          </w:p>
        </w:tc>
        <w:tc>
          <w:tcPr>
            <w:tcW w:w="7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7.3×10</w:t>
            </w:r>
            <w:r>
              <w:rPr>
                <w:sz w:val="16"/>
                <w:szCs w:val="16"/>
                <w:vertAlign w:val="superscript"/>
              </w:rPr>
              <w:t>−19</w:t>
            </w:r>
          </w:p>
        </w:tc>
        <w:tc>
          <w:tcPr>
            <w:tcW w:w="71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+0.0068</w:t>
            </w:r>
          </w:p>
        </w:tc>
        <w:tc>
          <w:tcPr>
            <w:tcW w:w="6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+0.0026</w:t>
            </w:r>
          </w:p>
        </w:tc>
        <w:tc>
          <w:tcPr>
            <w:tcW w:w="6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+0.0109</w:t>
            </w:r>
          </w:p>
        </w:tc>
      </w:tr>
      <w:tr>
        <w:trPr>
          <w:cantSplit w:val="true"/>
        </w:trPr>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Ablation − capacity (gated fusion)</w:t>
            </w:r>
          </w:p>
        </w:tc>
        <w:tc>
          <w:tcPr>
            <w:tcW w:w="11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+0.0189</w:t>
            </w:r>
          </w:p>
        </w:tc>
        <w:tc>
          <w:tcPr>
            <w:tcW w:w="7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4.4×10</w:t>
            </w:r>
            <w:r>
              <w:rPr>
                <w:sz w:val="16"/>
                <w:szCs w:val="16"/>
                <w:vertAlign w:val="superscript"/>
              </w:rPr>
              <w:t>−20</w:t>
            </w:r>
          </w:p>
        </w:tc>
        <w:tc>
          <w:tcPr>
            <w:tcW w:w="71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6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6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+0.0140</w:t>
            </w:r>
          </w:p>
        </w:tc>
      </w:tr>
      <w:tr>
        <w:trPr>
          <w:cantSplit w:val="true"/>
        </w:trPr>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Proposed − ablation (conditioning)</w:t>
            </w:r>
          </w:p>
        </w:tc>
        <w:tc>
          <w:tcPr>
            <w:tcW w:w="11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+0.0022 [−0.0067, 0.0152]</w:t>
            </w:r>
          </w:p>
        </w:tc>
        <w:tc>
          <w:tcPr>
            <w:tcW w:w="7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0.17</w:t>
            </w:r>
          </w:p>
        </w:tc>
        <w:tc>
          <w:tcPr>
            <w:tcW w:w="71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+0.0003</w:t>
            </w:r>
          </w:p>
        </w:tc>
        <w:tc>
          <w:tcPr>
            <w:tcW w:w="6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−0.0012</w:t>
            </w:r>
          </w:p>
        </w:tc>
        <w:tc>
          <w:tcPr>
            <w:tcW w:w="6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−0.0032</w:t>
            </w:r>
          </w:p>
        </w:tc>
      </w:tr>
      <w:tr>
        <w:trPr>
          <w:cantSplit w:val="true"/>
        </w:trPr>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Seed-43 pair: proposed − baseline</w:t>
            </w:r>
          </w:p>
        </w:tc>
        <w:tc>
          <w:tcPr>
            <w:tcW w:w="11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+0.0247</w:t>
            </w:r>
            <w:r>
              <w:rPr>
                <w:sz w:val="16"/>
                <w:szCs w:val="16"/>
              </w:rPr>
              <w:t xml:space="preserve"> [0.0116, 0.0420]</w:t>
            </w:r>
          </w:p>
        </w:tc>
        <w:tc>
          <w:tcPr>
            <w:tcW w:w="7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1.8×10</w:t>
            </w:r>
            <w:r>
              <w:rPr>
                <w:sz w:val="16"/>
                <w:szCs w:val="16"/>
                <w:vertAlign w:val="superscript"/>
              </w:rPr>
              <w:t>−18</w:t>
            </w:r>
          </w:p>
        </w:tc>
        <w:tc>
          <w:tcPr>
            <w:tcW w:w="71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6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6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+0.0145</w:t>
            </w:r>
          </w:p>
        </w:tc>
      </w:tr>
      <w:tr>
        <w:trPr>
          <w:cantSplit w:val="true"/>
        </w:trPr>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Seed noise, proposed (43 − 42)</w:t>
            </w:r>
          </w:p>
        </w:tc>
        <w:tc>
          <w:tcPr>
            <w:tcW w:w="11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+0.0021 [−0.0018, 0.0068]</w:t>
            </w:r>
          </w:p>
        </w:tc>
        <w:tc>
          <w:tcPr>
            <w:tcW w:w="7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n.s.</w:t>
            </w:r>
          </w:p>
        </w:tc>
        <w:tc>
          <w:tcPr>
            <w:tcW w:w="71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6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6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+0.0022</w:t>
            </w:r>
          </w:p>
        </w:tc>
      </w:tr>
      <w:tr>
        <w:trPr>
          <w:cantSplit w:val="true"/>
        </w:trPr>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Seed noise, baseline (43 − 42)</w:t>
            </w:r>
          </w:p>
        </w:tc>
        <w:tc>
          <w:tcPr>
            <w:tcW w:w="11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+0.0041</w:t>
            </w:r>
            <w:r>
              <w:rPr>
                <w:sz w:val="16"/>
                <w:szCs w:val="16"/>
              </w:rPr>
              <w:t xml:space="preserve"> [0.0016, 0.0072]</w:t>
            </w:r>
          </w:p>
        </w:tc>
        <w:tc>
          <w:tcPr>
            <w:tcW w:w="7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resolves</w:t>
            </w:r>
          </w:p>
        </w:tc>
        <w:tc>
          <w:tcPr>
            <w:tcW w:w="71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68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6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+0.0042</w:t>
            </w:r>
          </w:p>
        </w:tc>
      </w:tr>
    </w:tbl>
    <w:p>
      <w:pPr>
        <w:pStyle w:val="Normal"/>
        <w:spacing w:before="40" w:after="100"/>
        <w:jc w:val="both"/>
        <w:rPr/>
      </w:pPr>
      <w:r>
        <w:rPr>
          <w:i/>
          <w:iCs/>
          <w:sz w:val="14"/>
          <w:szCs w:val="14"/>
        </w:rPr>
        <w:t xml:space="preserve">Bold: better by the rule of Section III-B (CI excludes zero and p</w:t>
      </w:r>
      <w:r>
        <w:rPr>
          <w:i/>
          <w:iCs/>
          <w:sz w:val="14"/>
          <w:szCs w:val="14"/>
          <w:vertAlign w:val="subscript"/>
        </w:rPr>
        <w:t xml:space="preserve">holm</w:t>
      </w:r>
      <w:r>
        <w:rPr>
          <w:i/>
          <w:iCs/>
          <w:sz w:val="14"/>
          <w:szCs w:val="14"/>
        </w:rPr>
        <w:t xml:space="preserve"> &lt; 0.05); unbolded values are inconclusive. p-values are Holm-adjusted within the family registered for each comparison. — : not part of that family. Rows without a bracketed interval were judged by the same rule. Capacity − baseline meets the rule but is of the order of the baseline's own retraining shift (+0.0041) and is not attributed to width (Section VI-B). WT differences are inconclusive throughout. †Exploratory, not pre-registered: mean paired ΔET over the 184 cases with reference enhancing tumour (Section VI-A), not bolded because the rule was not registered for this subset; 95% CIs in row order: [0.0125, 0.0211], [0.0028, 0.0089], [0.0069, 0.0147], [0.0087, 0.0208], [−0.0083, 0.0006], [0.0093, 0.0208], [−0.0018, 0.0072], [0.0016, 0.0075].</w:t>
      </w:r>
    </w:p>
    <w:p>
      <w:pPr>
        <w:pStyle w:val="Normal"/>
        <w:keepNext w:val="true"/>
        <w:spacing w:before="130" w:after="40"/>
        <w:rPr/>
      </w:pPr>
      <w:r>
        <w:rPr>
          <w:i/>
          <w:iCs/>
        </w:rPr>
        <w:t>B. Where the gain comes from</w:t>
      </w:r>
    </w:p>
    <w:p>
      <w:pPr>
        <w:pStyle w:val="Normal"/>
        <w:ind w:firstLine="288"/>
        <w:jc w:val="both"/>
        <w:rPr/>
      </w:pPr>
      <w:r>
        <w:rPr/>
        <w:t>The decomposition (Fig. 3) attributes most of the ET gain to gated fusion. Content-only gated fusion adds +0.0189 over the capacity control. Widening the U-Net to the proposed model's size adds +0.0055, but that comparison rests on a single seed of the capacity control and is of the same order as the baseline's own retraining shift (+0.0041), so we do not attribute it to width. Conditioning the gate on the ambiguity signal, the mechanism the architecture was designed to test, adds +0.0022 with a CI spanning zero (−0.0032 over cases with reference enhancing tumour, CI −0.0083 to +0.0006), and the full model and the content-only ablation are inconclusive against each other on every metric (Table IV). H2 is therefore not supported: the design's claimed novelty is a null. Because the capacity control and the ablation were each trained once, the decomposition is descriptive. What it does rule out is the objection that the proposed model wins only because it is larger: its margin over the capacity control (+0.0211; +0.0109, CI 0.0069–0.0147, over cases with reference enhancing tumour) is two and a half to five times the larger retraining shift.</w:t>
      </w:r>
    </w:p>
    <w:p>
      <w:pPr>
        <w:pStyle w:val="Normal"/>
        <w:keepNext w:val="true"/>
        <w:spacing w:before="80" w:after="40"/>
        <w:jc w:val="center"/>
        <w:rPr/>
      </w:pPr>
      <w:r>
        <w:rPr/>
        <w:drawing>
          <wp:inline distT="0" distB="0" distL="0" distR="0">
            <wp:extent cx="3154680" cy="1767205"/>
            <wp:effectExtent l="0" t="0" r="0" b="0"/>
            <wp:docPr id="3"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
                    <pic:cNvPicPr>
                      <a:picLocks noChangeAspect="1" noChangeArrowheads="1"/>
                    </pic:cNvPicPr>
                  </pic:nvPicPr>
                  <pic:blipFill>
                    <a:blip r:embed="rId7"/>
                    <a:stretch>
                      <a:fillRect/>
                    </a:stretch>
                  </pic:blipFill>
                  <pic:spPr bwMode="auto">
                    <a:xfrm>
                      <a:off x="0" y="0"/>
                      <a:ext cx="3154680" cy="1767205"/>
                    </a:xfrm>
                    <a:prstGeom prst="rect">
                      <a:avLst/>
                    </a:prstGeom>
                  </pic:spPr>
                </pic:pic>
              </a:graphicData>
            </a:graphic>
          </wp:inline>
        </w:drawing>
      </w:r>
    </w:p>
    <w:p>
      <w:pPr>
        <w:pStyle w:val="Normal"/>
        <w:spacing w:before="0" w:after="140"/>
        <w:jc w:val="both"/>
        <w:rPr/>
      </w:pPr>
      <w:r>
        <w:rPr>
          <w:sz w:val="16"/>
          <w:szCs w:val="16"/>
        </w:rPr>
        <w:t>Fig. 3.  Decomposition of the test-split ET Dice gain (n = 189, seed 42). The capacity control and the ablation were trained once, so the decomposition is descriptive: the width term is of the order of the baseline's retraining shift and is not attributed to width, and ambiguity conditioning is not significant (n.s.). Components sum to the total up to rounding. Over the 184 cases with reference enhancing tumour the components are +0.0057, +0.0140 and −0.0032 (total +0.0165; exploratory, Section VI-A).</w:t>
      </w:r>
    </w:p>
    <w:p>
      <w:pPr>
        <w:pStyle w:val="Normal"/>
        <w:ind w:firstLine="288"/>
        <w:jc w:val="both"/>
        <w:rPr/>
      </w:pPr>
      <w:r>
        <w:rPr/>
        <w:t xml:space="preserve">The gain is expensive. Per 64³ patch the proposed model costs 267.4 GFLOPs against 11.3 for the U-Net (23.7×), and 1,085 ms against 46 ms on CPU. Whether that cost is justified depends on the comparison with a strong self-configuring baseline, which is not yet complete (Section VI-E).</w:t>
      </w:r>
    </w:p>
    <w:p>
      <w:pPr>
        <w:pStyle w:val="Normal"/>
        <w:keepNext w:val="true"/>
        <w:spacing w:before="130" w:after="40"/>
        <w:rPr/>
      </w:pPr>
      <w:r>
        <w:rPr>
          <w:i/>
          <w:iCs/>
        </w:rPr>
        <w:t>C. Lesion-wise re-scoring (exploratory)</w:t>
      </w:r>
    </w:p>
    <w:p>
      <w:pPr>
        <w:pStyle w:val="Normal"/>
        <w:keepNext w:val="true"/>
        <w:spacing w:before="160" w:after="50"/>
        <w:jc w:val="center"/>
        <w:rPr/>
      </w:pPr>
      <w:r>
        <w:rPr>
          <w:b/>
          <w:bCs/>
          <w:caps/>
          <w:sz w:val="16"/>
          <w:szCs w:val="16"/>
        </w:rPr>
        <w:t>Table V.  Lesion-wise Dice: proposed − baseline (exploratory)</w:t>
      </w:r>
    </w:p>
    <w:tbl>
      <w:tblPr>
        <w:tblW w:w="5040" w:type="dxa"/>
        <w:jc w:val="center"/>
        <w:tblInd w:w="0" w:type="dxa"/>
        <w:tblLayout w:type="fixed"/>
        <w:tblCellMar>
          <w:top w:w="25" w:type="dxa"/>
          <w:left w:w="55" w:type="dxa"/>
          <w:bottom w:w="25" w:type="dxa"/>
          <w:right w:w="55" w:type="dxa"/>
        </w:tblCellMar>
      </w:tblPr>
      <w:tblGrid>
        <w:gridCol w:w="900"/>
        <w:gridCol w:w="898"/>
        <w:gridCol w:w="1742"/>
        <w:gridCol w:w="798"/>
        <w:gridCol w:w="702"/>
      </w:tblGrid>
      <w:tr>
        <w:trPr>
          <w:tblHeader w:val="true"/>
          <w:cantSplit w:val="true"/>
        </w:trPr>
        <w:tc>
          <w:tcPr>
            <w:tcW w:w="9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Cohort</w:t>
            </w:r>
          </w:p>
        </w:tc>
        <w:tc>
          <w:tcPr>
            <w:tcW w:w="89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Region</w:t>
            </w:r>
          </w:p>
        </w:tc>
        <w:tc>
          <w:tcPr>
            <w:tcW w:w="174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Δ [95% CI]</w:t>
            </w:r>
          </w:p>
        </w:tc>
        <w:tc>
          <w:tcPr>
            <w:tcW w:w="79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w:t>
            </w:r>
            <w:r>
              <w:rPr>
                <w:b/>
                <w:bCs/>
                <w:sz w:val="16"/>
                <w:szCs w:val="16"/>
                <w:vertAlign w:val="subscript"/>
              </w:rPr>
              <w:t>holm</w:t>
            </w:r>
          </w:p>
        </w:tc>
        <w:tc>
          <w:tcPr>
            <w:tcW w:w="70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Verdict</w:t>
            </w:r>
          </w:p>
        </w:tc>
      </w:tr>
      <w:tr>
        <w:trPr>
          <w:cantSplit w:val="true"/>
        </w:trPr>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 (189)</w:t>
            </w:r>
          </w:p>
        </w:tc>
        <w:tc>
          <w:tcPr>
            <w:tcW w:w="8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ET</w:t>
            </w:r>
          </w:p>
        </w:tc>
        <w:tc>
          <w:tcPr>
            <w:tcW w:w="17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+0.0508 [0.0225, 0.0798]</w:t>
            </w:r>
          </w:p>
        </w:tc>
        <w:tc>
          <w:tcPr>
            <w:tcW w:w="7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1.9×10</w:t>
            </w:r>
            <w:r>
              <w:rPr>
                <w:sz w:val="16"/>
                <w:szCs w:val="16"/>
                <w:vertAlign w:val="superscript"/>
              </w:rPr>
              <w:t>−15</w:t>
            </w:r>
          </w:p>
        </w:tc>
        <w:tc>
          <w:tcPr>
            <w:tcW w:w="7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better</w:t>
            </w:r>
          </w:p>
        </w:tc>
      </w:tr>
      <w:tr>
        <w:trPr>
          <w:cantSplit w:val="true"/>
        </w:trPr>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r>
          </w:p>
        </w:tc>
        <w:tc>
          <w:tcPr>
            <w:tcW w:w="8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TC</w:t>
            </w:r>
          </w:p>
        </w:tc>
        <w:tc>
          <w:tcPr>
            <w:tcW w:w="17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+0.0371 [0.0097, 0.0653]</w:t>
            </w:r>
          </w:p>
        </w:tc>
        <w:tc>
          <w:tcPr>
            <w:tcW w:w="7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2.7×10</w:t>
            </w:r>
            <w:r>
              <w:rPr>
                <w:sz w:val="16"/>
                <w:szCs w:val="16"/>
                <w:vertAlign w:val="superscript"/>
              </w:rPr>
              <w:t>−10</w:t>
            </w:r>
          </w:p>
        </w:tc>
        <w:tc>
          <w:tcPr>
            <w:tcW w:w="7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better</w:t>
            </w:r>
          </w:p>
        </w:tc>
      </w:tr>
      <w:tr>
        <w:trPr>
          <w:cantSplit w:val="true"/>
        </w:trPr>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r>
          </w:p>
        </w:tc>
        <w:tc>
          <w:tcPr>
            <w:tcW w:w="8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w:t>
            </w:r>
          </w:p>
        </w:tc>
        <w:tc>
          <w:tcPr>
            <w:tcW w:w="17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+0.0300 [−0.0021, 0.0620]</w:t>
            </w:r>
          </w:p>
        </w:tc>
        <w:tc>
          <w:tcPr>
            <w:tcW w:w="7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9.6×10</w:t>
            </w:r>
            <w:r>
              <w:rPr>
                <w:sz w:val="16"/>
                <w:szCs w:val="16"/>
                <w:vertAlign w:val="superscript"/>
              </w:rPr>
              <w:t>−6</w:t>
            </w:r>
          </w:p>
        </w:tc>
        <w:tc>
          <w:tcPr>
            <w:tcW w:w="7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inconclusive</w:t>
            </w:r>
          </w:p>
        </w:tc>
      </w:tr>
      <w:tr>
        <w:trPr>
          <w:cantSplit w:val="true"/>
        </w:trPr>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 (60)</w:t>
            </w:r>
          </w:p>
        </w:tc>
        <w:tc>
          <w:tcPr>
            <w:tcW w:w="8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ET / TC / WT</w:t>
            </w:r>
          </w:p>
        </w:tc>
        <w:tc>
          <w:tcPr>
            <w:tcW w:w="17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+0.0319 / +0.0149 / +0.0368</w:t>
            </w:r>
          </w:p>
        </w:tc>
        <w:tc>
          <w:tcPr>
            <w:tcW w:w="7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≥0.037</w:t>
            </w:r>
          </w:p>
        </w:tc>
        <w:tc>
          <w:tcPr>
            <w:tcW w:w="7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inconclusive</w:t>
            </w:r>
          </w:p>
        </w:tc>
      </w:tr>
      <w:tr>
        <w:trPr>
          <w:cantSplit w:val="true"/>
        </w:trPr>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 (99)</w:t>
            </w:r>
          </w:p>
        </w:tc>
        <w:tc>
          <w:tcPr>
            <w:tcW w:w="8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ET / TC / WT</w:t>
            </w:r>
          </w:p>
        </w:tc>
        <w:tc>
          <w:tcPr>
            <w:tcW w:w="17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+0.0282 / −0.0006 / +0.0156</w:t>
            </w:r>
          </w:p>
        </w:tc>
        <w:tc>
          <w:tcPr>
            <w:tcW w:w="7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≥0.032</w:t>
            </w:r>
          </w:p>
        </w:tc>
        <w:tc>
          <w:tcPr>
            <w:tcW w:w="7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inconclusive</w:t>
            </w:r>
          </w:p>
        </w:tc>
      </w:tr>
    </w:tbl>
    <w:p>
      <w:pPr>
        <w:pStyle w:val="Normal"/>
        <w:spacing w:before="40" w:after="100"/>
        <w:jc w:val="both"/>
        <w:rPr/>
      </w:pPr>
      <w:r>
        <w:rPr>
          <w:i/>
          <w:iCs/>
          <w:sz w:val="14"/>
          <w:szCs w:val="14"/>
        </w:rPr>
        <w:t xml:space="preserve">Re-scored from saved logits; not pre-registered. Holm correction within cohort. WT: the Wilcoxon test rejects but the bootstrap mean CI includes zero; by Section III-B the comparison is inconclusive, since the two tests address different estimands. Test-split effect sizes are small (Cohen's d_z 0.25 for ET, 0.19 for TC).</w:t>
      </w:r>
    </w:p>
    <w:p>
      <w:pPr>
        <w:pStyle w:val="Normal"/>
        <w:ind w:firstLine="288"/>
        <w:jc w:val="both"/>
        <w:rPr/>
      </w:pPr>
      <w:r>
        <w:rPr/>
        <w:t>Scored lesion-wise, the metric BraTS has used since 2023, the in-distribution gain is larger than voxel Dice suggests: +0.0508 for ET and +0.0371 for TC (Table V). This analysis was not pre-registered and is reported as exploratory. Its mechanism is fewer spurious lesions rather than better recall: the proposed model produces 0.32 false-positive ET lesions per test case against 0.47 for the baseline (32% fewer), with near-identical false negatives (0.28 against 0.30); on SSA the false-positive rates are 0.98 and 1.38. The same re-scoring shows that voxel Dice overstates both models. Lesion-wise minus voxel-wise Dice ranges from −0.10 to −0.32 across runs and cohorts, and is worst for WT: the proposed model's test WT reads 0.9321 voxel-wise and 0.7183 lesion-wise. This is a statement about the metric, not about either architecture.</w:t>
      </w:r>
    </w:p>
    <w:p>
      <w:pPr>
        <w:pStyle w:val="Normal"/>
        <w:keepNext w:val="true"/>
        <w:spacing w:before="130" w:after="40"/>
        <w:rPr/>
      </w:pPr>
      <w:r>
        <w:rPr>
          <w:i/>
          <w:iCs/>
        </w:rPr>
        <w:t>D. Out of distribution</w:t>
      </w:r>
    </w:p>
    <w:p>
      <w:pPr>
        <w:pStyle w:val="Normal"/>
        <w:keepNext w:val="true"/>
        <w:spacing w:before="160" w:after="50"/>
        <w:jc w:val="center"/>
        <w:rPr/>
      </w:pPr>
      <w:r>
        <w:rPr>
          <w:b/>
          <w:bCs/>
          <w:caps/>
          <w:sz w:val="16"/>
          <w:szCs w:val="16"/>
        </w:rPr>
        <w:t>Table VI.  External cohorts: proposed model and paired difference from the baseline</w:t>
      </w:r>
    </w:p>
    <w:tbl>
      <w:tblPr>
        <w:tblW w:w="5040" w:type="dxa"/>
        <w:jc w:val="center"/>
        <w:tblInd w:w="0" w:type="dxa"/>
        <w:tblLayout w:type="fixed"/>
        <w:tblCellMar>
          <w:top w:w="25" w:type="dxa"/>
          <w:left w:w="55" w:type="dxa"/>
          <w:bottom w:w="25" w:type="dxa"/>
          <w:right w:w="55" w:type="dxa"/>
        </w:tblCellMar>
      </w:tblPr>
      <w:tblGrid>
        <w:gridCol w:w="798"/>
        <w:gridCol w:w="900"/>
        <w:gridCol w:w="800"/>
        <w:gridCol w:w="900"/>
        <w:gridCol w:w="1642"/>
      </w:tblGrid>
      <w:tr>
        <w:trPr>
          <w:tblHeader w:val="true"/>
          <w:cantSplit w:val="true"/>
        </w:trPr>
        <w:tc>
          <w:tcPr>
            <w:tcW w:w="79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Region</w:t>
            </w:r>
          </w:p>
        </w:tc>
        <w:tc>
          <w:tcPr>
            <w:tcW w:w="9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SSA proposed</w:t>
            </w:r>
          </w:p>
        </w:tc>
        <w:tc>
          <w:tcPr>
            <w:tcW w:w="8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SSA Δ</w:t>
            </w:r>
          </w:p>
        </w:tc>
        <w:tc>
          <w:tcPr>
            <w:tcW w:w="9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PED proposed</w:t>
            </w:r>
          </w:p>
        </w:tc>
        <w:tc>
          <w:tcPr>
            <w:tcW w:w="164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PED Δ</w:t>
            </w:r>
          </w:p>
        </w:tc>
      </w:tr>
      <w:tr>
        <w:trPr>
          <w:cantSplit w:val="true"/>
        </w:trPr>
        <w:tc>
          <w:tcPr>
            <w:tcW w:w="7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Dice ET</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0.7784</w:t>
            </w:r>
          </w:p>
        </w:tc>
        <w:tc>
          <w:tcPr>
            <w:tcW w:w="8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−0.0008</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0.5634</w:t>
            </w:r>
          </w:p>
        </w:tc>
        <w:tc>
          <w:tcPr>
            <w:tcW w:w="16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−0.0099</w:t>
            </w:r>
          </w:p>
        </w:tc>
      </w:tr>
      <w:tr>
        <w:trPr>
          <w:cantSplit w:val="true"/>
        </w:trPr>
        <w:tc>
          <w:tcPr>
            <w:tcW w:w="7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Dice TC</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0.7846</w:t>
            </w:r>
          </w:p>
        </w:tc>
        <w:tc>
          <w:tcPr>
            <w:tcW w:w="8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+0.0101</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0.4394</w:t>
            </w:r>
          </w:p>
        </w:tc>
        <w:tc>
          <w:tcPr>
            <w:tcW w:w="16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−0.0595</w:t>
            </w:r>
            <w:r>
              <w:rPr>
                <w:sz w:val="16"/>
                <w:szCs w:val="16"/>
              </w:rPr>
              <w:t xml:space="preserve"> (worse, p</w:t>
            </w:r>
            <w:r>
              <w:rPr>
                <w:sz w:val="16"/>
                <w:szCs w:val="16"/>
                <w:vertAlign w:val="subscript"/>
              </w:rPr>
              <w:t>holm</w:t>
            </w:r>
            <w:r>
              <w:rPr>
                <w:sz w:val="16"/>
                <w:szCs w:val="16"/>
              </w:rPr>
              <w:t xml:space="preserve"> 0.0002)</w:t>
            </w:r>
          </w:p>
        </w:tc>
      </w:tr>
      <w:tr>
        <w:trPr>
          <w:cantSplit w:val="true"/>
        </w:trPr>
        <w:tc>
          <w:tcPr>
            <w:tcW w:w="7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Dice WT</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0.8959</w:t>
            </w:r>
          </w:p>
        </w:tc>
        <w:tc>
          <w:tcPr>
            <w:tcW w:w="8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−0.0016</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0.8490</w:t>
            </w:r>
          </w:p>
        </w:tc>
        <w:tc>
          <w:tcPr>
            <w:tcW w:w="16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−0.0220</w:t>
            </w:r>
          </w:p>
        </w:tc>
      </w:tr>
    </w:tbl>
    <w:p>
      <w:pPr>
        <w:pStyle w:val="Normal"/>
        <w:spacing w:before="40" w:after="100"/>
        <w:jc w:val="both"/>
        <w:rPr/>
      </w:pPr>
      <w:r>
        <w:rPr>
          <w:i/>
          <w:iCs/>
          <w:sz w:val="14"/>
          <w:szCs w:val="14"/>
        </w:rPr>
        <w:t>SSA n = 60, PED n = 99. Unmarked differences are inconclusive. Pooled SSA + PED (n = 159): ΔTC −0.0333, p</w:t>
      </w:r>
      <w:r>
        <w:rPr>
          <w:i/>
          <w:iCs/>
          <w:sz w:val="14"/>
          <w:szCs w:val="14"/>
          <w:vertAlign w:val="subscript"/>
        </w:rPr>
        <w:t xml:space="preserve">holm</w:t>
      </w:r>
      <w:r>
        <w:rPr>
          <w:i/>
          <w:iCs/>
          <w:sz w:val="14"/>
          <w:szCs w:val="14"/>
        </w:rPr>
        <w:t xml:space="preserve"> 0.0132 (worse); all other pooled metrics inconclusive, including every HD95.</w:t>
      </w:r>
    </w:p>
    <w:p>
      <w:pPr>
        <w:pStyle w:val="Normal"/>
        <w:ind w:firstLine="288"/>
        <w:jc w:val="both"/>
        <w:rPr/>
      </w:pPr>
      <w:r>
        <w:rPr/>
        <w:t xml:space="preserve">The accuracy gain does not transfer (Table VI). On SSA every difference is inconclusive and the ET advantage is gone (−0.0008). On PED the proposed model is significantly worse on TC (−0.0595, p</w:t>
      </w:r>
      <w:r>
        <w:rPr>
          <w:vertAlign w:val="subscript"/>
        </w:rPr>
        <w:t xml:space="preserve">holm</w:t>
      </w:r>
      <w:r>
        <w:rPr/>
        <w:t xml:space="preserve"> = 0.0002), and pooled over both external cohorts it remains worse on TC (−0.0333, p</w:t>
      </w:r>
      <w:r>
        <w:rPr>
          <w:vertAlign w:val="subscript"/>
        </w:rPr>
        <w:t xml:space="preserve">holm</w:t>
      </w:r>
      <w:r>
        <w:rPr/>
        <w:t xml:space="preserve"> = 0.0132). H4 is refuted as registered. The PED tumour-core comparison, however, measures how two adult-trained models extend a label whose definition has changed (Section IV-A); on whole tumour, the only region defined alike in all cohorts, the PED difference is inconclusive (−0.0220). Both models fail badly on paediatric data (ET Dice 0.5634 and 0.5733, bimodally distributed, a pattern the empty-region scoring convention can produce), which is expected of models trained only on adult glioma. On SSA alone (n = 60), HD95 favoured the proposed model in all three regions by 1.5–2.2 mm; in the pooled external sample the advantage vanished (ET HD95 −1.46 mm, proposed − baseline, CI −3.94 to +0.70, n = 136 cases with non-empty ET), a reminder that promising small-sample patterns in this study repeatedly did not survive a larger sample.</w:t>
      </w:r>
    </w:p>
    <w:p>
      <w:pPr>
        <w:pStyle w:val="Normal"/>
        <w:ind w:firstLine="288"/>
        <w:jc w:val="both"/>
        <w:rPr/>
      </w:pPr>
      <w:r>
        <w:rPr/>
        <w:t>A pre-registered retraining with heavier simulated augmentation (rotation, gamma, bias field and elastic deformation) did not close the gap: pooled SSA + PED TC Dice changed by +0.0117 (CI −0.0006 to +0.0245, p</w:t>
      </w:r>
      <w:r>
        <w:rPr>
          <w:vertAlign w:val="subscript"/>
        </w:rPr>
        <w:t>holm</w:t>
      </w:r>
      <w:r>
        <w:rPr/>
        <w:t xml:space="preserve"> = 0.936), and all 12 registered comparisons were inconclusive. The advance power statement had declared an effect of this size unresolvable at n = 159 with one seed, and an independent seed-to-seed reading of the same quantity (+0.0111, CI −0.0056 to +0.0276) is of the same magnitude. The result is therefore </w:t>
      </w:r>
      <w:r>
        <w:rPr>
          <w:i/>
          <w:iCs/>
        </w:rPr>
        <w:t>not demonstrated</w:t>
      </w:r>
      <w:r>
        <w:rPr/>
        <w:t xml:space="preserve"> rather than negative.</w:t>
      </w:r>
    </w:p>
    <w:p>
      <w:pPr>
        <w:pStyle w:val="Normal"/>
        <w:keepNext w:val="true"/>
        <w:spacing w:before="130" w:after="40"/>
        <w:rPr/>
      </w:pPr>
      <w:r>
        <w:rPr>
          <w:i/>
          <w:iCs/>
        </w:rPr>
        <w:t>E. Comparison with a strong self-configuring baseline</w:t>
      </w:r>
    </w:p>
    <w:p>
      <w:pPr>
        <w:pStyle w:val="Normal"/>
        <w:ind w:firstLine="288"/>
        <w:jc w:val="both"/>
        <w:rPr/>
      </w:pPr>
      <w:r>
        <w:rPr/>
        <w:t xml:space="preserve">All comparisons above are against a U-Net trained with the same compute-limited recipe. The field's bar is a self-configured nnU-Net [3]. A pre-registered comparison trains nnU-Net v2 in its default 3d_fullres configuration (1,000 epochs, its own patch size and schedule) on the same 875-case training split, with voxel-wise and lesion-wise ET Dice as co-primary endpoints and three pre-declared outcomes. If the proposed model is better on both, H1 stands against the field's bar (</w:t>
      </w:r>
      <w:r>
        <w:rPr>
          <w:i/>
          <w:iCs/>
        </w:rPr>
        <w:t xml:space="preserve">survives</w:t>
      </w:r>
      <w:r>
        <w:rPr/>
        <w:t xml:space="preserve">). If either endpoint is inconclusive, the result is reported as competitive at roughly one-twelfth of the training schedule and never as equivalence (</w:t>
      </w:r>
      <w:r>
        <w:rPr>
          <w:i/>
          <w:iCs/>
        </w:rPr>
        <w:t xml:space="preserve">parity</w:t>
      </w:r>
      <w:r>
        <w:rPr/>
        <w:t xml:space="preserve">). If nnU-Net is better on both, the architecture claim is withdrawn and the +0.0267 is reported only against the matched baseline (</w:t>
      </w:r>
      <w:r>
        <w:rPr>
          <w:i/>
          <w:iCs/>
        </w:rPr>
        <w:t xml:space="preserve">retired</w:t>
      </w:r>
      <w:r>
        <w:rPr/>
        <w:t xml:space="preserve">). At the time of writing that run has not finished within the compute budget, so no verdict is reported, Tables III and IV carry no nnU-Net row, and H1 is stated against the matched baseline only. Because nnU-Net trains for more than twelve times as many epochs at a larger patch size, parity or retirement is a realistic outcome, and the paper's conclusions in Sections VIII–X do not depend on it. Whether the reliability findings also hold for the field's default segmenter, by passing nnU-Net's probability outputs through the same conformal, local-recalibration and error-budget analyses, is left to future work; the baseline arm, which reproduces the proposed model's pattern in Tables IX–XI, is the only cross-model evidence here.</w:t>
      </w:r>
    </w:p>
    <w:p>
      <w:pPr>
        <w:pStyle w:val="Normal"/>
        <w:keepNext w:val="true"/>
        <w:spacing w:before="220" w:after="90"/>
        <w:jc w:val="center"/>
        <w:rPr/>
      </w:pPr>
      <w:r>
        <w:rPr/>
        <w:t>VII.  RESULTS II: UNCERTAINTY AND CALIBRATION</w:t>
      </w:r>
    </w:p>
    <w:p>
      <w:pPr>
        <w:pStyle w:val="Normal"/>
        <w:keepNext w:val="true"/>
        <w:spacing w:before="160" w:after="50"/>
        <w:jc w:val="center"/>
        <w:rPr/>
      </w:pPr>
      <w:r>
        <w:rPr>
          <w:b/>
          <w:bCs/>
          <w:caps/>
          <w:sz w:val="16"/>
          <w:szCs w:val="16"/>
        </w:rPr>
        <w:t>Table VII.  Expected calibration error before and after temperature scaling</w:t>
      </w:r>
    </w:p>
    <w:tbl>
      <w:tblPr>
        <w:tblW w:w="5040" w:type="dxa"/>
        <w:jc w:val="center"/>
        <w:tblInd w:w="0" w:type="dxa"/>
        <w:tblLayout w:type="fixed"/>
        <w:tblCellMar>
          <w:top w:w="25" w:type="dxa"/>
          <w:left w:w="55" w:type="dxa"/>
          <w:bottom w:w="25" w:type="dxa"/>
          <w:right w:w="55" w:type="dxa"/>
        </w:tblCellMar>
      </w:tblPr>
      <w:tblGrid>
        <w:gridCol w:w="1239"/>
        <w:gridCol w:w="620"/>
        <w:gridCol w:w="760"/>
        <w:gridCol w:w="820"/>
        <w:gridCol w:w="700"/>
        <w:gridCol w:w="900"/>
      </w:tblGrid>
      <w:tr>
        <w:trPr>
          <w:tblHeader w:val="true"/>
          <w:cantSplit w:val="true"/>
        </w:trPr>
        <w:tc>
          <w:tcPr>
            <w:tcW w:w="1239"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Model</w:t>
            </w:r>
          </w:p>
        </w:tc>
        <w:tc>
          <w:tcPr>
            <w:tcW w:w="62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Region</w:t>
            </w:r>
          </w:p>
        </w:tc>
        <w:tc>
          <w:tcPr>
            <w:tcW w:w="76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In-dom.</w:t>
            </w:r>
          </w:p>
        </w:tc>
        <w:tc>
          <w:tcPr>
            <w:tcW w:w="82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In-dom. scaled</w:t>
            </w:r>
          </w:p>
        </w:tc>
        <w:tc>
          <w:tcPr>
            <w:tcW w:w="7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SSA</w:t>
            </w:r>
          </w:p>
        </w:tc>
        <w:tc>
          <w:tcPr>
            <w:tcW w:w="9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SSA scaled</w:t>
            </w:r>
          </w:p>
        </w:tc>
      </w:tr>
      <w:tr>
        <w:trPr>
          <w:cantSplit w:val="true"/>
        </w:trPr>
        <w:tc>
          <w:tcPr>
            <w:tcW w:w="12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U-Net baseline</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ET</w:t>
            </w:r>
          </w:p>
        </w:tc>
        <w:tc>
          <w:tcPr>
            <w:tcW w:w="7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0.0576</w:t>
            </w:r>
          </w:p>
        </w:tc>
        <w:tc>
          <w:tcPr>
            <w:tcW w:w="8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0.0218</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0.0226</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0.0890</w:t>
            </w:r>
          </w:p>
        </w:tc>
      </w:tr>
      <w:tr>
        <w:trPr>
          <w:cantSplit w:val="true"/>
        </w:trPr>
        <w:tc>
          <w:tcPr>
            <w:tcW w:w="12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TC</w:t>
            </w:r>
          </w:p>
        </w:tc>
        <w:tc>
          <w:tcPr>
            <w:tcW w:w="7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0.0316</w:t>
            </w:r>
          </w:p>
        </w:tc>
        <w:tc>
          <w:tcPr>
            <w:tcW w:w="8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0.0218</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0.0900</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0.0263</w:t>
            </w:r>
          </w:p>
        </w:tc>
      </w:tr>
      <w:tr>
        <w:trPr>
          <w:cantSplit w:val="true"/>
        </w:trPr>
        <w:tc>
          <w:tcPr>
            <w:tcW w:w="12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w:t>
            </w:r>
          </w:p>
        </w:tc>
        <w:tc>
          <w:tcPr>
            <w:tcW w:w="7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0.0293</w:t>
            </w:r>
          </w:p>
        </w:tc>
        <w:tc>
          <w:tcPr>
            <w:tcW w:w="8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0.0090</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0.0538</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0.0137</w:t>
            </w:r>
          </w:p>
        </w:tc>
      </w:tr>
      <w:tr>
        <w:trPr>
          <w:cantSplit w:val="true"/>
        </w:trPr>
        <w:tc>
          <w:tcPr>
            <w:tcW w:w="12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mean</w:t>
            </w:r>
          </w:p>
        </w:tc>
        <w:tc>
          <w:tcPr>
            <w:tcW w:w="7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0.0395</w:t>
            </w:r>
          </w:p>
        </w:tc>
        <w:tc>
          <w:tcPr>
            <w:tcW w:w="8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0.0175</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0.0555</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0.0430</w:t>
            </w:r>
          </w:p>
        </w:tc>
      </w:tr>
      <w:tr>
        <w:trPr>
          <w:cantSplit w:val="true"/>
        </w:trPr>
        <w:tc>
          <w:tcPr>
            <w:tcW w:w="12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NeuroVision-X</w:t>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ET</w:t>
            </w:r>
          </w:p>
        </w:tc>
        <w:tc>
          <w:tcPr>
            <w:tcW w:w="7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0.0709</w:t>
            </w:r>
          </w:p>
        </w:tc>
        <w:tc>
          <w:tcPr>
            <w:tcW w:w="8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0.0121</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0.0247</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0.0685</w:t>
            </w:r>
          </w:p>
        </w:tc>
      </w:tr>
      <w:tr>
        <w:trPr>
          <w:cantSplit w:val="true"/>
        </w:trPr>
        <w:tc>
          <w:tcPr>
            <w:tcW w:w="12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TC</w:t>
            </w:r>
          </w:p>
        </w:tc>
        <w:tc>
          <w:tcPr>
            <w:tcW w:w="7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0.0327</w:t>
            </w:r>
          </w:p>
        </w:tc>
        <w:tc>
          <w:tcPr>
            <w:tcW w:w="8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0.0161</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0.1021</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0.0416</w:t>
            </w:r>
          </w:p>
        </w:tc>
      </w:tr>
      <w:tr>
        <w:trPr>
          <w:cantSplit w:val="true"/>
        </w:trPr>
        <w:tc>
          <w:tcPr>
            <w:tcW w:w="12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w:t>
            </w:r>
          </w:p>
        </w:tc>
        <w:tc>
          <w:tcPr>
            <w:tcW w:w="7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0.0302</w:t>
            </w:r>
          </w:p>
        </w:tc>
        <w:tc>
          <w:tcPr>
            <w:tcW w:w="8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0.0122</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0.0547</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0.0189</w:t>
            </w:r>
          </w:p>
        </w:tc>
      </w:tr>
      <w:tr>
        <w:trPr>
          <w:cantSplit w:val="true"/>
        </w:trPr>
        <w:tc>
          <w:tcPr>
            <w:tcW w:w="12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r>
          </w:p>
        </w:tc>
        <w:tc>
          <w:tcPr>
            <w:tcW w:w="6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mean</w:t>
            </w:r>
          </w:p>
        </w:tc>
        <w:tc>
          <w:tcPr>
            <w:tcW w:w="7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0.0446</w:t>
            </w:r>
          </w:p>
        </w:tc>
        <w:tc>
          <w:tcPr>
            <w:tcW w:w="8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0.0135</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0.0605</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0.0430</w:t>
            </w:r>
          </w:p>
        </w:tc>
      </w:tr>
    </w:tbl>
    <w:p>
      <w:pPr>
        <w:pStyle w:val="Normal"/>
        <w:spacing w:before="40" w:after="100"/>
        <w:jc w:val="both"/>
        <w:rPr/>
      </w:pPr>
      <w:r>
        <w:rPr>
          <w:i/>
          <w:iCs/>
          <w:sz w:val="14"/>
          <w:szCs w:val="14"/>
        </w:rPr>
        <w:t>ECE within the predicted-tumour mask. Temperatures fitted per region on the validation split and applied frozen. Bold: ET calibration worsens after scaling under shift for both models.</w:t>
      </w:r>
    </w:p>
    <w:p>
      <w:pPr>
        <w:pStyle w:val="Normal"/>
        <w:ind w:firstLine="288"/>
        <w:jc w:val="both"/>
        <w:rPr/>
      </w:pPr>
      <w:r>
        <w:rPr/>
        <w:t>No reliability property claimed for the architecture survived its pre-registered test (H3 not supported). Calibration, boundary accuracy and MC-dropout risk–coverage were all inconclusive against the baseline. Temperature scaling behaves differently by region under shift (Table VII). It reduces the proposed model's mean ECE from 0.0446 to 0.0135 on test data, and on SSA it still improves tumour core (0.1021 to 0.0416) and whole tumour (0.0547 to 0.0189) for the proposed model, with the same pattern for the baseline. On SSA enhancing tumour, however, it makes calibration worse for both models (0.0247 to 0.0685 and 0.0226 to 0.0890): a temperature fitted in distribution transfers badly for the smallest region. After scaling both models land on the same SSA mean ECE (0.0430), and the architecture confers no calibration advantage anywhere in the table. Boundary-stratified error counts were lower for the proposed model in every distance band, but the registered boundary endpoints were inconclusive.</w:t>
      </w:r>
    </w:p>
    <w:p>
      <w:pPr>
        <w:pStyle w:val="Normal"/>
        <w:keepNext w:val="true"/>
        <w:spacing w:before="160" w:after="50"/>
        <w:jc w:val="center"/>
        <w:rPr/>
      </w:pPr>
      <w:r>
        <w:rPr>
          <w:b/>
          <w:bCs/>
          <w:caps/>
          <w:sz w:val="16"/>
          <w:szCs w:val="16"/>
        </w:rPr>
        <w:t>Table VIII.  Voxel-level error localisation (AUROC)</w:t>
      </w:r>
    </w:p>
    <w:tbl>
      <w:tblPr>
        <w:tblW w:w="5040" w:type="dxa"/>
        <w:jc w:val="center"/>
        <w:tblInd w:w="0" w:type="dxa"/>
        <w:tblLayout w:type="fixed"/>
        <w:tblCellMar>
          <w:top w:w="25" w:type="dxa"/>
          <w:left w:w="55" w:type="dxa"/>
          <w:bottom w:w="25" w:type="dxa"/>
          <w:right w:w="55" w:type="dxa"/>
        </w:tblCellMar>
      </w:tblPr>
      <w:tblGrid>
        <w:gridCol w:w="1200"/>
        <w:gridCol w:w="900"/>
        <w:gridCol w:w="958"/>
        <w:gridCol w:w="1030"/>
        <w:gridCol w:w="952"/>
      </w:tblGrid>
      <w:tr>
        <w:trPr>
          <w:tblHeader w:val="true"/>
          <w:cantSplit w:val="true"/>
        </w:trPr>
        <w:tc>
          <w:tcPr>
            <w:tcW w:w="12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Cohort / region</w:t>
            </w:r>
          </w:p>
        </w:tc>
        <w:tc>
          <w:tcPr>
            <w:tcW w:w="9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Entropy</w:t>
            </w:r>
          </w:p>
        </w:tc>
        <w:tc>
          <w:tcPr>
            <w:tcW w:w="95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MC-dropout</w:t>
            </w:r>
          </w:p>
        </w:tc>
        <w:tc>
          <w:tcPr>
            <w:tcW w:w="103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Disagreement</w:t>
            </w:r>
          </w:p>
        </w:tc>
        <w:tc>
          <w:tcPr>
            <w:tcW w:w="95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Conf. head</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0.8874</w:t>
            </w:r>
          </w:p>
        </w:tc>
        <w:tc>
          <w:tcPr>
            <w:tcW w:w="95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0.8661</w:t>
            </w:r>
          </w:p>
        </w:tc>
        <w:tc>
          <w:tcPr>
            <w:tcW w:w="10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0.7095</w:t>
            </w:r>
          </w:p>
        </w:tc>
        <w:tc>
          <w:tcPr>
            <w:tcW w:w="95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0.8307</w:t>
            </w:r>
          </w:p>
        </w:tc>
        <w:tc>
          <w:tcPr>
            <w:tcW w:w="95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0.8437</w:t>
            </w:r>
          </w:p>
        </w:tc>
        <w:tc>
          <w:tcPr>
            <w:tcW w:w="10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0.7879</w:t>
            </w:r>
          </w:p>
        </w:tc>
        <w:tc>
          <w:tcPr>
            <w:tcW w:w="95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 ET</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0.912</w:t>
            </w:r>
          </w:p>
        </w:tc>
        <w:tc>
          <w:tcPr>
            <w:tcW w:w="95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10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95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0.855</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 TC</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0.908</w:t>
            </w:r>
          </w:p>
        </w:tc>
        <w:tc>
          <w:tcPr>
            <w:tcW w:w="95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10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95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0.871</w:t>
            </w:r>
          </w:p>
        </w:tc>
      </w:tr>
      <w:tr>
        <w:trPr>
          <w:cantSplit w:val="true"/>
        </w:trPr>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 WT</w:t>
            </w:r>
          </w:p>
        </w:tc>
        <w:tc>
          <w:tcPr>
            <w:tcW w:w="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0.904</w:t>
            </w:r>
          </w:p>
        </w:tc>
        <w:tc>
          <w:tcPr>
            <w:tcW w:w="95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103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95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0.477</w:t>
            </w:r>
          </w:p>
        </w:tc>
      </w:tr>
    </w:tbl>
    <w:p>
      <w:pPr>
        <w:pStyle w:val="Normal"/>
        <w:spacing w:before="40" w:after="100"/>
        <w:jc w:val="both"/>
        <w:rPr/>
      </w:pPr>
      <w:r>
        <w:rPr>
          <w:i/>
          <w:iCs/>
          <w:sz w:val="14"/>
          <w:szCs w:val="14"/>
        </w:rPr>
        <w:t xml:space="preserve">Entropy and MC-dropout (N = 10) are equivalent by TOST against a margin of 0.03 AUROC fixed before any external MC-dropout map existed (secondary analysis): SSA +0.0214, p 0.024; PED −0.0129, p 3.7×10</w:t>
      </w:r>
      <w:r>
        <w:rPr>
          <w:i/>
          <w:iCs/>
          <w:sz w:val="14"/>
          <w:szCs w:val="14"/>
          <w:vertAlign w:val="superscript"/>
        </w:rPr>
        <w:t xml:space="preserve">−5</w:t>
      </w:r>
      <w:r>
        <w:rPr>
          <w:i/>
          <w:iCs/>
          <w:sz w:val="14"/>
          <w:szCs w:val="14"/>
        </w:rPr>
        <w:t xml:space="preserve">. Confidence head vs entropy, all regions: p</w:t>
      </w:r>
      <w:r>
        <w:rPr>
          <w:i/>
          <w:iCs/>
          <w:sz w:val="14"/>
          <w:szCs w:val="14"/>
          <w:vertAlign w:val="subscript"/>
        </w:rPr>
        <w:t xml:space="preserve">holm</w:t>
      </w:r>
      <w:r>
        <w:rPr>
          <w:i/>
          <w:iCs/>
          <w:sz w:val="14"/>
          <w:szCs w:val="14"/>
        </w:rPr>
        <w:t xml:space="preserve"> ≈ 0, CIs below zero. SSA and PED rows score error in any of the three regions, with each signal averaged over regions; test rows are per region. Bold: best in row. —: not measured (MC-dropout and disagreement maps were scored on the external cohorts, the confidence head on the test split only, as an exploratory analysis).</w:t>
      </w:r>
    </w:p>
    <w:p>
      <w:pPr>
        <w:pStyle w:val="Normal"/>
        <w:ind w:firstLine="288"/>
        <w:jc w:val="both"/>
        <w:rPr/>
      </w:pPr>
      <w:r>
        <w:rPr/>
        <w:t xml:space="preserve">Single-pass predictive entropy is undefeated as an error localiser (Table VIII). Under shift it is equivalent to 10-sample MC-dropout by a TOST at a 0.03 AUROC margin fixed in advance (a secondary analysis outside the registered families), at a tenth of the cost. The inter-branch disagreement is worse than MC-dropout by 0.157 AUROC on SSA and 0.056 on PED, with CIs wholly outside the margin, and beats it in only 30 of 159 external cases. The trained confidence head loses to free entropy on ET and TC (0.855 and 0.871 against 0.912 and 0.908). On WT it is uninformative (AUROC 0.477; per-case median 0.484): a post-review check found no sign or channel defect, but a whole-tumour confidence output that is nearly constant (standard deviation below 0.02) and almost no different inside and outside the predicted tumour. The head learned nothing for the easiest region. One pre-registered positive deserves care in interpretation. Disagreement does carry per-voxel error information that entropy lacks: residualised on entropy, its AUROC is 0.578, 0.569 and 0.677 on test, SSA and PED, all CIs excluding 0.5 (p</w:t>
      </w:r>
      <w:r>
        <w:rPr>
          <w:vertAlign w:val="subscript"/>
        </w:rPr>
        <w:t xml:space="preserve">holm</w:t>
      </w:r>
      <w:r>
        <w:rPr/>
        <w:t xml:space="preserve"> = 0.0025). Yet adding it to entropy produces a worse error detector in distribution on both endpoints, and a better one only on PED AUROC. Information is not utility.</w:t>
      </w:r>
    </w:p>
    <w:p>
      <w:pPr>
        <w:pStyle w:val="Normal"/>
        <w:keepNext w:val="true"/>
        <w:spacing w:before="220" w:after="90"/>
        <w:jc w:val="center"/>
        <w:rPr/>
      </w:pPr>
      <w:r>
        <w:rPr/>
        <w:t>VIII.  RESULTS III: THE ERROR BOUND IN AND OUT OF DISTRIBUTION</w:t>
      </w:r>
    </w:p>
    <w:p>
      <w:pPr>
        <w:pStyle w:val="Normal"/>
        <w:keepNext w:val="true"/>
        <w:spacing w:before="130" w:after="40"/>
        <w:rPr/>
      </w:pPr>
      <w:r>
        <w:rPr>
          <w:i/>
          <w:iCs/>
        </w:rPr>
        <w:t>A. In distribution</w:t>
      </w:r>
    </w:p>
    <w:p>
      <w:pPr>
        <w:pStyle w:val="Normal"/>
        <w:keepNext w:val="true"/>
        <w:spacing w:before="160" w:after="50"/>
        <w:jc w:val="center"/>
        <w:rPr/>
      </w:pPr>
      <w:r>
        <w:rPr>
          <w:b/>
          <w:bCs/>
          <w:caps/>
          <w:sz w:val="16"/>
          <w:szCs w:val="16"/>
        </w:rPr>
        <w:t>Table IX.  CRC thresholds fitted on validation and realised miss rate on test</w:t>
      </w:r>
    </w:p>
    <w:tbl>
      <w:tblPr>
        <w:tblW w:w="5040" w:type="dxa"/>
        <w:jc w:val="center"/>
        <w:tblInd w:w="0" w:type="dxa"/>
        <w:tblLayout w:type="fixed"/>
        <w:tblCellMar>
          <w:top w:w="25" w:type="dxa"/>
          <w:left w:w="55" w:type="dxa"/>
          <w:bottom w:w="25" w:type="dxa"/>
          <w:right w:w="55" w:type="dxa"/>
        </w:tblCellMar>
      </w:tblPr>
      <w:tblGrid>
        <w:gridCol w:w="520"/>
        <w:gridCol w:w="418"/>
        <w:gridCol w:w="561"/>
        <w:gridCol w:w="700"/>
        <w:gridCol w:w="1521"/>
        <w:gridCol w:w="520"/>
        <w:gridCol w:w="799"/>
      </w:tblGrid>
      <w:tr>
        <w:trPr>
          <w:tblHeader w:val="true"/>
          <w:cantSplit w:val="true"/>
        </w:trPr>
        <w:tc>
          <w:tcPr>
            <w:tcW w:w="52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Region</w:t>
            </w:r>
          </w:p>
        </w:tc>
        <w:tc>
          <w:tcPr>
            <w:tcW w:w="41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α</w:t>
            </w:r>
          </w:p>
        </w:tc>
        <w:tc>
          <w:tcPr>
            <w:tcW w:w="561"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τ̂</w:t>
            </w:r>
          </w:p>
        </w:tc>
        <w:tc>
          <w:tcPr>
            <w:tcW w:w="7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Calib. risk</w:t>
            </w:r>
          </w:p>
        </w:tc>
        <w:tc>
          <w:tcPr>
            <w:tcW w:w="1521"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Test risk [95% CI]</w:t>
            </w:r>
          </w:p>
        </w:tc>
        <w:tc>
          <w:tcPr>
            <w:tcW w:w="52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Ratio</w:t>
            </w:r>
          </w:p>
        </w:tc>
        <w:tc>
          <w:tcPr>
            <w:tcW w:w="799"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Verdict</w:t>
            </w:r>
          </w:p>
        </w:tc>
      </w:tr>
      <w:tr>
        <w:trPr>
          <w:cantSplit w:val="true"/>
        </w:trPr>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WT</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w:t>
            </w:r>
          </w:p>
        </w:tc>
        <w:tc>
          <w:tcPr>
            <w:tcW w:w="56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0.100</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0.0446</w:t>
            </w:r>
          </w:p>
        </w:tc>
        <w:tc>
          <w:tcPr>
            <w:tcW w:w="15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0.0364 [0.0287, 0.0447]</w:t>
            </w:r>
          </w:p>
        </w:tc>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0.73×</w:t>
            </w:r>
          </w:p>
        </w:tc>
        <w:tc>
          <w:tcPr>
            <w:tcW w:w="7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holds</w:t>
            </w:r>
          </w:p>
        </w:tc>
      </w:tr>
      <w:tr>
        <w:trPr>
          <w:cantSplit w:val="true"/>
        </w:trPr>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WT</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0.10</w:t>
            </w:r>
          </w:p>
        </w:tc>
        <w:tc>
          <w:tcPr>
            <w:tcW w:w="56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0.725</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0.0929</w:t>
            </w:r>
          </w:p>
        </w:tc>
        <w:tc>
          <w:tcPr>
            <w:tcW w:w="15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0.0829 [0.0716, 0.0947]</w:t>
            </w:r>
          </w:p>
        </w:tc>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0.83×</w:t>
            </w:r>
          </w:p>
        </w:tc>
        <w:tc>
          <w:tcPr>
            <w:tcW w:w="7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holds</w:t>
            </w:r>
          </w:p>
        </w:tc>
      </w:tr>
      <w:tr>
        <w:trPr>
          <w:cantSplit w:val="true"/>
        </w:trPr>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WT</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0.20</w:t>
            </w:r>
          </w:p>
        </w:tc>
        <w:tc>
          <w:tcPr>
            <w:tcW w:w="56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0.950</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0.1512</w:t>
            </w:r>
          </w:p>
        </w:tc>
        <w:tc>
          <w:tcPr>
            <w:tcW w:w="15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0.1409 [0.1283, 0.1547]</w:t>
            </w:r>
          </w:p>
        </w:tc>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0.70×</w:t>
            </w:r>
          </w:p>
        </w:tc>
        <w:tc>
          <w:tcPr>
            <w:tcW w:w="7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holds</w:t>
            </w:r>
          </w:p>
        </w:tc>
      </w:tr>
      <w:tr>
        <w:trPr>
          <w:cantSplit w:val="true"/>
        </w:trPr>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TC</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w:t>
            </w:r>
          </w:p>
        </w:tc>
        <w:tc>
          <w:tcPr>
            <w:tcW w:w="56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0.0158</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0.0433</w:t>
            </w:r>
          </w:p>
        </w:tc>
        <w:tc>
          <w:tcPr>
            <w:tcW w:w="15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0.0444 [0.0288, 0.0634]</w:t>
            </w:r>
          </w:p>
        </w:tc>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0.89×</w:t>
            </w:r>
          </w:p>
        </w:tc>
        <w:tc>
          <w:tcPr>
            <w:tcW w:w="7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below α; CI straddles</w:t>
            </w:r>
          </w:p>
        </w:tc>
      </w:tr>
      <w:tr>
        <w:trPr>
          <w:cantSplit w:val="true"/>
        </w:trPr>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TC</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0.10</w:t>
            </w:r>
          </w:p>
        </w:tc>
        <w:tc>
          <w:tcPr>
            <w:tcW w:w="56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0.600</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0.0941</w:t>
            </w:r>
          </w:p>
        </w:tc>
        <w:tc>
          <w:tcPr>
            <w:tcW w:w="15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0.0909 [0.0719, 0.1125]</w:t>
            </w:r>
          </w:p>
        </w:tc>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0.91×</w:t>
            </w:r>
          </w:p>
        </w:tc>
        <w:tc>
          <w:tcPr>
            <w:tcW w:w="7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below α; CI straddles</w:t>
            </w:r>
          </w:p>
        </w:tc>
      </w:tr>
      <w:tr>
        <w:trPr>
          <w:cantSplit w:val="true"/>
        </w:trPr>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TC</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0.20</w:t>
            </w:r>
          </w:p>
        </w:tc>
        <w:tc>
          <w:tcPr>
            <w:tcW w:w="56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0.950</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0.1465</w:t>
            </w:r>
          </w:p>
        </w:tc>
        <w:tc>
          <w:tcPr>
            <w:tcW w:w="1521"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0.1478 [0.1251, 0.1722]</w:t>
            </w:r>
          </w:p>
        </w:tc>
        <w:tc>
          <w:tcPr>
            <w:tcW w:w="52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0.74×</w:t>
            </w:r>
          </w:p>
        </w:tc>
        <w:tc>
          <w:tcPr>
            <w:tcW w:w="7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holds</w:t>
            </w:r>
          </w:p>
        </w:tc>
      </w:tr>
    </w:tbl>
    <w:p>
      <w:pPr>
        <w:pStyle w:val="Normal"/>
        <w:spacing w:before="40" w:after="100"/>
        <w:jc w:val="both"/>
        <w:rPr/>
      </w:pPr>
      <w:r>
        <w:rPr>
          <w:i/>
          <w:iCs/>
          <w:sz w:val="14"/>
          <w:szCs w:val="14"/>
        </w:rPr>
        <w:t>NeuroVision-X; fitted on validation (n = 187), applied frozen to test (n = 189). At α = 0.20, τ̂ = 0.950 is the grid ceiling and the constraint does not bind (Section V-G). The baseline arm gives 0.64–0.96× across the same six cells.</w:t>
      </w:r>
    </w:p>
    <w:p>
      <w:pPr>
        <w:pStyle w:val="Normal"/>
        <w:ind w:firstLine="288"/>
        <w:jc w:val="both"/>
        <w:rPr/>
      </w:pPr>
      <w:r>
        <w:rPr/>
        <w:t>In distribution the bound behaves as exchangeability implies (Table IX). Realised test-split miss rates lie below nominal in all six cells, at 0.70–0.91× α. In four cells the whole CI is below α; for TC at α = 0.05 and 0.10 the point estimate is below α but the interval includes it, so by the rule of Section III-B those two cells are inconclusive rather than confirmed. Two of the four confirmed cells are the grid-limited α = 0.20 cells, whose margin reflects the grid ceiling rather than the calibration rule. The baseline arm behaves the same way (0.64–0.96×), as it should: the guarantee holds for an arbitrarily poor model, which is its strength, not a weakness. The guarantee is also cheap. At α = 0.05 the conservative mask grows by 1.10× (WT) and 1.18× (TC) relative to the default τ = 0.5 mask; at α = 0.10 the fitted thresholds (0.725 and 0.600) exceed 0.5, so the mask shrinks, and the default operating point is already more conservative than a 10% miss-rate guarantee requires. H5 is supported in its in-distribution half, which is a check of the implementation rather than a risky prediction.</w:t>
      </w:r>
    </w:p>
    <w:p>
      <w:pPr>
        <w:pStyle w:val="Normal"/>
        <w:keepNext w:val="true"/>
        <w:spacing w:before="130" w:after="40"/>
        <w:rPr/>
      </w:pPr>
      <w:r>
        <w:rPr>
          <w:i/>
          <w:iCs/>
        </w:rPr>
        <w:t>B. Under shift</w:t>
      </w:r>
    </w:p>
    <w:p>
      <w:pPr>
        <w:pStyle w:val="Normal"/>
        <w:keepNext w:val="true"/>
        <w:spacing w:before="160" w:after="50"/>
        <w:jc w:val="center"/>
        <w:rPr/>
      </w:pPr>
      <w:r>
        <w:rPr>
          <w:b/>
          <w:bCs/>
          <w:caps/>
          <w:sz w:val="16"/>
          <w:szCs w:val="16"/>
        </w:rPr>
        <w:t>Table X.  Realised miss rate under shift at frozen thresholds</w:t>
      </w:r>
    </w:p>
    <w:tbl>
      <w:tblPr>
        <w:tblW w:w="5040" w:type="dxa"/>
        <w:jc w:val="center"/>
        <w:tblInd w:w="0" w:type="dxa"/>
        <w:tblLayout w:type="fixed"/>
        <w:tblCellMar>
          <w:top w:w="25" w:type="dxa"/>
          <w:left w:w="55" w:type="dxa"/>
          <w:bottom w:w="25" w:type="dxa"/>
          <w:right w:w="55" w:type="dxa"/>
        </w:tblCellMar>
      </w:tblPr>
      <w:tblGrid>
        <w:gridCol w:w="738"/>
        <w:gridCol w:w="700"/>
        <w:gridCol w:w="1200"/>
        <w:gridCol w:w="1200"/>
        <w:gridCol w:w="1202"/>
      </w:tblGrid>
      <w:tr>
        <w:trPr>
          <w:tblHeader w:val="true"/>
          <w:cantSplit w:val="true"/>
        </w:trPr>
        <w:tc>
          <w:tcPr>
            <w:tcW w:w="73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Cohort</w:t>
            </w:r>
          </w:p>
        </w:tc>
        <w:tc>
          <w:tcPr>
            <w:tcW w:w="7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Region</w:t>
            </w:r>
          </w:p>
        </w:tc>
        <w:tc>
          <w:tcPr>
            <w:tcW w:w="12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α = 0.05</w:t>
            </w:r>
          </w:p>
        </w:tc>
        <w:tc>
          <w:tcPr>
            <w:tcW w:w="12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α = 0.10</w:t>
            </w:r>
          </w:p>
        </w:tc>
        <w:tc>
          <w:tcPr>
            <w:tcW w:w="120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α = 0.20</w:t>
            </w:r>
          </w:p>
        </w:tc>
      </w:tr>
      <w:tr>
        <w:trPr>
          <w:cantSplit w:val="true"/>
        </w:trPr>
        <w:tc>
          <w:tcPr>
            <w:tcW w:w="7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0.0550 (1.10×)</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0.1069 (1.07×)</w:t>
            </w:r>
          </w:p>
        </w:tc>
        <w:tc>
          <w:tcPr>
            <w:tcW w:w="1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0.1686 (0.84×)</w:t>
            </w:r>
          </w:p>
        </w:tc>
      </w:tr>
      <w:tr>
        <w:trPr>
          <w:cantSplit w:val="true"/>
        </w:trPr>
        <w:tc>
          <w:tcPr>
            <w:tcW w:w="7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TC</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0.0724 (1.45×)</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0.1711 (1.71×)</w:t>
            </w:r>
          </w:p>
        </w:tc>
        <w:tc>
          <w:tcPr>
            <w:tcW w:w="1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0.2837 (1.42×)</w:t>
            </w:r>
          </w:p>
        </w:tc>
      </w:tr>
      <w:tr>
        <w:trPr>
          <w:cantSplit w:val="true"/>
        </w:trPr>
        <w:tc>
          <w:tcPr>
            <w:tcW w:w="7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0.0971 (1.94×)</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0.1390 (1.39×)</w:t>
            </w:r>
          </w:p>
        </w:tc>
        <w:tc>
          <w:tcPr>
            <w:tcW w:w="1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0.1824 (0.91×)</w:t>
            </w:r>
          </w:p>
        </w:tc>
      </w:tr>
      <w:tr>
        <w:trPr>
          <w:cantSplit w:val="true"/>
        </w:trPr>
        <w:tc>
          <w:tcPr>
            <w:tcW w:w="7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TC</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0.5734 (11.5×)</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0.6513 (6.5×)</w:t>
            </w:r>
          </w:p>
        </w:tc>
        <w:tc>
          <w:tcPr>
            <w:tcW w:w="1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0.7002 (3.5×)</w:t>
            </w:r>
          </w:p>
        </w:tc>
      </w:tr>
    </w:tbl>
    <w:p>
      <w:pPr>
        <w:pStyle w:val="Normal"/>
        <w:spacing w:before="40" w:after="100"/>
        <w:jc w:val="both"/>
        <w:rPr/>
      </w:pPr>
      <w:r>
        <w:rPr>
          <w:i/>
          <w:iCs/>
          <w:sz w:val="14"/>
          <w:szCs w:val="14"/>
        </w:rPr>
        <w:t xml:space="preserve">NeuroVision-X; ratio to nominal α in parentheses. Bold: violated (CI lower bound above α); other cells inconclusive. α = 0.20 thresholds are grid-limited. PED TC is scored against a tumour-core definition that differs from the training labels (Section IV-A). The baseline also violates 7 of 12 cells, 6 of them the same (it violates SSA TC at α = 0.05 instead of PED WT at α = 0.10).</w:t>
      </w:r>
    </w:p>
    <w:p>
      <w:pPr>
        <w:pStyle w:val="Normal"/>
        <w:ind w:firstLine="288"/>
        <w:jc w:val="both"/>
        <w:rPr/>
      </w:pPr>
      <w:r>
        <w:rPr/>
        <w:t xml:space="preserve">Under shift the bound fails (Table X, Fig. 4). Seven of twelve cells are violated for the proposed model, and independently seven of twelve for the baseline, six of them the same cells. The violations differ by cohort and region. For adult SSA, where acquisition and population changed but the task did not, WT stays close to nominal (1.07–1.10× at α ≤ 0.10, all inconclusive) while TC is violated at 1.4–1.7×. For paediatric data, WT is violated at up to 1.94×, and TC fails at 3.5–11.5×, with realised miss rates of 57–70% of the tumour core against a nominal 5–20%. The paediatric TC failure is largely beyond the reach of calibration. At the smallest grid threshold, τ = 10</w:t>
      </w:r>
      <w:r>
        <w:rPr>
          <w:vertAlign w:val="superscript"/>
        </w:rPr>
        <w:t xml:space="preserve">−4</w:t>
      </w:r>
      <w:r>
        <w:rPr/>
        <w:t xml:space="preserve">, the model still misses 35.6% of paediatric tumour core on average (R</w:t>
      </w:r>
      <w:r>
        <w:rPr>
          <w:vertAlign w:val="subscript"/>
        </w:rPr>
        <w:t xml:space="preserve">min</w:t>
      </w:r>
      <w:r>
        <w:rPr/>
        <w:t xml:space="preserve">, Section V-G): about a third of the reference tumour core receives essentially no tumour-core probability. That is expected of an adult-trained model facing non-enhancing and cystic tissue it was taught to leave out of tumour core (Section IV-A); what is measured here is how much, a floor of 35.6% that no threshold removes. The release used here merges the paediatric sub-regions into one label [12], so the floor cannot be attributed to non-enhancing, cystic or necrotic tissue from these data. Because PED whole tumour, whose definition is comparable, is also violated, disease and anatomy contribute as well; the label definition bears on the size of the tumour-core failure, not on all of the paediatric one. Three cohorts cannot establish an ordering of shifts by size, and the input-statistics score does not separate SSA from PED (flag rates 60% and 50.5% with overlapping intervals, Table XIV), so we make no claim that failure grows with distance in input space. H5 is supported in its shift half. The failure itself is not new [32], [33]; what these data add is that the largest failure is concentrated in the one region whose definition differs under unchanged label values, and that it lies beyond the reach of any threshold. At α = 0.05 the PED TC conservative mask is also inflated, by 2.29× on average (1.27× median), without restoring the bound.</w:t>
      </w:r>
    </w:p>
    <w:p>
      <w:pPr>
        <w:sectPr>
          <w:type w:val="continuous"/>
          <w:pgSz w:w="12240" w:h="15840"/>
          <w:pgMar w:left="900" w:right="900" w:gutter="0" w:header="0" w:top="1080" w:footer="708" w:bottom="1440"/>
          <w:cols w:num="2" w:space="360" w:equalWidth="true" w:sep="false"/>
          <w:formProt w:val="false"/>
          <w:textDirection w:val="lrTb"/>
          <w:docGrid w:type="default" w:linePitch="360" w:charSpace="8192"/>
        </w:sectPr>
      </w:pPr>
    </w:p>
    <w:p>
      <w:pPr>
        <w:pStyle w:val="Normal"/>
        <w:keepNext w:val="true"/>
        <w:spacing w:before="80" w:after="40"/>
        <w:jc w:val="center"/>
        <w:rPr/>
      </w:pPr>
      <w:r>
        <w:rPr/>
        <w:drawing>
          <wp:inline distT="0" distB="0" distL="0" distR="0">
            <wp:extent cx="4754880" cy="2245360"/>
            <wp:effectExtent l="0" t="0" r="0" b="0"/>
            <wp:docPr id="4" name="Fig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
                    <pic:cNvPicPr>
                      <a:picLocks noChangeAspect="1" noChangeArrowheads="1"/>
                    </pic:cNvPicPr>
                  </pic:nvPicPr>
                  <pic:blipFill>
                    <a:blip r:embed="rId8"/>
                    <a:stretch>
                      <a:fillRect/>
                    </a:stretch>
                  </pic:blipFill>
                  <pic:spPr bwMode="auto">
                    <a:xfrm>
                      <a:off x="0" y="0"/>
                      <a:ext cx="4754880" cy="2245360"/>
                    </a:xfrm>
                    <a:prstGeom prst="rect">
                      <a:avLst/>
                    </a:prstGeom>
                  </pic:spPr>
                </pic:pic>
              </a:graphicData>
            </a:graphic>
          </wp:inline>
        </w:drawing>
      </w:r>
    </w:p>
    <w:p>
      <w:pPr>
        <w:pStyle w:val="Normal"/>
        <w:spacing w:before="0" w:after="140"/>
        <w:jc w:val="center"/>
        <w:rPr/>
      </w:pPr>
      <w:r>
        <w:rPr>
          <w:sz w:val="16"/>
          <w:szCs w:val="16"/>
        </w:rPr>
        <w:t xml:space="preserve">Fig. 4.  Realised miss rate against nominal α for WT (left) and TC (right) on test, SSA and PED, with thresholds fitted on validation and applied frozen. Points above the diagonal exceed nominal α; filled markers are violated by the rule of Section III-B (CI lower bound above α), hollow markers are not. The PED TC points lie far above the diagonal.</w:t>
      </w:r>
    </w:p>
    <w:p>
      <w:pPr>
        <w:sectPr>
          <w:type w:val="continuous"/>
          <w:pgSz w:w="12240" w:h="15840"/>
          <w:pgMar w:left="900" w:right="900" w:gutter="0" w:header="0" w:top="1080" w:footer="708" w:bottom="1440"/>
          <w:formProt w:val="false"/>
          <w:textDirection w:val="lrTb"/>
          <w:docGrid w:type="default" w:linePitch="360" w:charSpace="8192"/>
        </w:sectPr>
      </w:pPr>
    </w:p>
    <w:p>
      <w:pPr>
        <w:pStyle w:val="Normal"/>
        <w:keepNext w:val="true"/>
        <w:spacing w:before="130" w:after="40"/>
        <w:rPr/>
      </w:pPr>
      <w:r>
        <w:rPr>
          <w:i/>
          <w:iCs/>
        </w:rPr>
        <w:t>C. What a new site needs: local recalibration</w:t>
      </w:r>
    </w:p>
    <w:p>
      <w:pPr>
        <w:sectPr>
          <w:type w:val="continuous"/>
          <w:pgSz w:w="12240" w:h="15840"/>
          <w:pgMar w:left="900" w:right="900" w:gutter="0" w:header="0" w:top="1080" w:footer="708" w:bottom="1440"/>
          <w:cols w:num="2" w:space="360" w:equalWidth="true" w:sep="false"/>
          <w:formProt w:val="false"/>
          <w:textDirection w:val="lrTb"/>
          <w:docGrid w:type="default" w:linePitch="360" w:charSpace="8192"/>
        </w:sectPr>
      </w:pPr>
    </w:p>
    <w:p>
      <w:pPr>
        <w:pStyle w:val="Normal"/>
        <w:keepNext w:val="true"/>
        <w:spacing w:before="160" w:after="50"/>
        <w:jc w:val="center"/>
        <w:rPr/>
      </w:pPr>
      <w:r>
        <w:rPr>
          <w:b/>
          <w:bCs/>
          <w:caps/>
          <w:sz w:val="16"/>
          <w:szCs w:val="16"/>
        </w:rPr>
        <w:t>Table XI.  Counterfactual local recalibration (1,000 splits per cell)</w:t>
      </w:r>
    </w:p>
    <w:tbl>
      <w:tblPr>
        <w:tblW w:w="10440" w:type="dxa"/>
        <w:jc w:val="center"/>
        <w:tblInd w:w="0" w:type="dxa"/>
        <w:tblLayout w:type="fixed"/>
        <w:tblCellMar>
          <w:top w:w="25" w:type="dxa"/>
          <w:left w:w="55" w:type="dxa"/>
          <w:bottom w:w="25" w:type="dxa"/>
          <w:right w:w="55" w:type="dxa"/>
        </w:tblCellMar>
      </w:tblPr>
      <w:tblGrid>
        <w:gridCol w:w="1698"/>
        <w:gridCol w:w="2202"/>
        <w:gridCol w:w="6540"/>
      </w:tblGrid>
      <w:tr>
        <w:trPr>
          <w:tblHeader w:val="true"/>
          <w:cantSplit w:val="true"/>
        </w:trPr>
        <w:tc>
          <w:tcPr>
            <w:tcW w:w="169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Cohort · region</w:t>
            </w:r>
          </w:p>
        </w:tc>
        <w:tc>
          <w:tcPr>
            <w:tcW w:w="220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Floor k (α .05 / .10 / .20)</w:t>
            </w:r>
          </w:p>
        </w:tc>
        <w:tc>
          <w:tcPr>
            <w:tcW w:w="654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Held-out risk and verdict</w:t>
            </w:r>
          </w:p>
        </w:tc>
      </w:tr>
      <w:tr>
        <w:trPr>
          <w:cantSplit w:val="true"/>
        </w:trPr>
        <w:tc>
          <w:tcPr>
            <w:tcW w:w="1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 · WT</w:t>
            </w:r>
          </w:p>
        </w:tc>
        <w:tc>
          <w:tcPr>
            <w:tcW w:w="2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22 / 10 / 5</w:t>
            </w:r>
          </w:p>
        </w:tc>
        <w:tc>
          <w:tcPr>
            <w:tcW w:w="65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Restored at every α (k = 30: 0.025 / 0.071 / 0.161)</w:t>
            </w:r>
          </w:p>
        </w:tc>
      </w:tr>
      <w:tr>
        <w:trPr>
          <w:cantSplit w:val="true"/>
        </w:trPr>
        <w:tc>
          <w:tcPr>
            <w:tcW w:w="1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 · TC</w:t>
            </w:r>
          </w:p>
        </w:tc>
        <w:tc>
          <w:tcPr>
            <w:tcW w:w="2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39 / 13 / 5</w:t>
            </w:r>
          </w:p>
        </w:tc>
        <w:tc>
          <w:tcPr>
            <w:tcW w:w="65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 xml:space="preserve">α .10, .20 restored (k = 30: 0.071 / 0.172); α .05 not restored: at k = 30 (below the floor) 39% feasible, 0.054; at k = 39 / 45 (post-review) 44% / 46% feasible, 0.058 / 0.065</w:t>
            </w:r>
          </w:p>
        </w:tc>
      </w:tr>
      <w:tr>
        <w:trPr>
          <w:cantSplit w:val="true"/>
        </w:trPr>
        <w:tc>
          <w:tcPr>
            <w:tcW w:w="1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 · WT</w:t>
            </w:r>
          </w:p>
        </w:tc>
        <w:tc>
          <w:tcPr>
            <w:tcW w:w="2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26 / 11 / 5</w:t>
            </w:r>
          </w:p>
        </w:tc>
        <w:tc>
          <w:tcPr>
            <w:tcW w:w="65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Restored at every α (k = 49: 0.034 / 0.082 / 0.173)</w:t>
            </w:r>
          </w:p>
        </w:tc>
      </w:tr>
      <w:tr>
        <w:trPr>
          <w:cantSplit w:val="true"/>
        </w:trPr>
        <w:tc>
          <w:tcPr>
            <w:tcW w:w="1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 · TC</w:t>
            </w:r>
          </w:p>
        </w:tc>
        <w:tc>
          <w:tcPr>
            <w:tcW w:w="2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never</w:t>
            </w:r>
          </w:p>
        </w:tc>
        <w:tc>
          <w:tcPr>
            <w:tcW w:w="65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Infeasible at α .05, .10; at .20 feasible in 0.2–0.9% of splits at k 5–15, missing 0.38–0.41: not restored</w:t>
            </w:r>
          </w:p>
        </w:tc>
      </w:tr>
      <w:tr>
        <w:trPr>
          <w:cantSplit w:val="true"/>
        </w:trPr>
        <w:tc>
          <w:tcPr>
            <w:tcW w:w="1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 (control)</w:t>
            </w:r>
          </w:p>
        </w:tc>
        <w:tc>
          <w:tcPr>
            <w:tcW w:w="22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20 / 10 / 5; TC 27 / 11 / 5</w:t>
            </w:r>
          </w:p>
        </w:tc>
        <w:tc>
          <w:tcPr>
            <w:tcW w:w="65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Restored everywhere at k = 94, both models</w:t>
            </w:r>
          </w:p>
        </w:tc>
      </w:tr>
    </w:tbl>
    <w:p>
      <w:pPr>
        <w:pStyle w:val="Normal"/>
        <w:spacing w:before="40" w:after="100"/>
        <w:jc w:val="both"/>
        <w:rPr/>
      </w:pPr>
      <w:r>
        <w:rPr>
          <w:i/>
          <w:iCs/>
          <w:sz w:val="14"/>
          <w:szCs w:val="14"/>
        </w:rPr>
        <w:t>Counterfactual: cases are drawn from the same external cohort, so this answers what a site would need, never what the cohort's coverage is. Floors from (12), fixed in the amendment before any split.</w:t>
      </w:r>
    </w:p>
    <w:p>
      <w:pPr>
        <w:sectPr>
          <w:type w:val="continuous"/>
          <w:pgSz w:w="12240" w:h="15840"/>
          <w:pgMar w:left="900" w:right="900" w:gutter="0" w:header="0" w:top="1080" w:footer="708" w:bottom="1440"/>
          <w:formProt w:val="false"/>
          <w:textDirection w:val="lrTb"/>
          <w:docGrid w:type="default" w:linePitch="360" w:charSpace="8192"/>
        </w:sectPr>
      </w:pPr>
    </w:p>
    <w:p>
      <w:pPr>
        <w:pStyle w:val="Normal"/>
        <w:ind w:firstLine="288"/>
        <w:jc w:val="both"/>
        <w:rPr/>
      </w:pPr>
      <w:r>
        <w:rPr/>
        <w:t xml:space="preserve">A new site can restore the expected-risk bound by recalibrating on its own labelled cases (Table XI, Fig. 5). The in-distribution control was restored everywhere. SSA WT, SSA TC at α = 0.10 and 0.20, and PED WT were restored at the evaluated k, which lies at or above their floors; the floors range from 5 cases at α = 0.20 to 39 at α = 0.05. SSA TC at α = 0.05 is not restored at any k evaluated. Below its floor (k = 30) only 39% of draws are feasible, and at or above it (k = 39 and 45, leaving 21 and 15 held-out cases; post-review, exploratory) only 44–46% are, with held-out miss rates of 0.058 and 0.065. The floor in (12) uses the cohort's lowest achievable risk, so it is necessary but not sufficient: a 39-case draw often has a higher one. The baseline is restored at both k (0.027 and 0.030). PED TC, whose lowest achievable miss rate (0.356) exceeds every α, was infeasible, and the handful of feasible splits at α = 0.20 missed 38–41% of the tumour core. H6 is supported as registered, on the registered grid of k. Its registered predictions were largely arithmetic: once a cohort's R</w:t>
      </w:r>
      <w:r>
        <w:rPr>
          <w:vertAlign w:val="subscript"/>
        </w:rPr>
        <w:t xml:space="preserve">min</w:t>
      </w:r>
      <w:r>
        <w:rPr/>
        <w:t xml:space="preserve"> is known, the floors and the infeasibility of PED TC follow from (10), so their agreement with the splits checks the implementation; the empirical content is the held-out risk at or above the floor, and it contains one failure that the registered grid could not reach (SSA tumour core at α = 0.05, above). The shape matches the CT result of Adhikary </w:t>
      </w:r>
      <w:r>
        <w:rPr>
          <w:i/>
          <w:iCs/>
        </w:rPr>
        <w:t xml:space="preserve">et al.</w:t>
      </w:r>
      <w:r>
        <w:rPr/>
        <w:t xml:space="preserve"> [33], roughly 10–40 local cases depending on the bound, with some organs never reaching a usable threshold, here for MRI tumour sub-regions.</w:t>
      </w:r>
    </w:p>
    <w:p>
      <w:pPr>
        <w:sectPr>
          <w:type w:val="continuous"/>
          <w:pgSz w:w="12240" w:h="15840"/>
          <w:pgMar w:left="900" w:right="900" w:gutter="0" w:header="0" w:top="1080" w:footer="708" w:bottom="1440"/>
          <w:cols w:num="2" w:space="360" w:equalWidth="true" w:sep="false"/>
          <w:formProt w:val="false"/>
          <w:textDirection w:val="lrTb"/>
          <w:docGrid w:type="default" w:linePitch="360" w:charSpace="8192"/>
        </w:sectPr>
      </w:pPr>
    </w:p>
    <w:p>
      <w:pPr>
        <w:pStyle w:val="Normal"/>
        <w:keepNext w:val="true"/>
        <w:spacing w:before="80" w:after="40"/>
        <w:jc w:val="center"/>
        <w:rPr/>
      </w:pPr>
      <w:r>
        <w:rPr/>
        <w:drawing>
          <wp:inline distT="0" distB="0" distL="0" distR="0">
            <wp:extent cx="6400800" cy="2014855"/>
            <wp:effectExtent l="0" t="0" r="0" b="0"/>
            <wp:docPr id="5" name="Fig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
                    <pic:cNvPicPr>
                      <a:picLocks noChangeAspect="1" noChangeArrowheads="1"/>
                    </pic:cNvPicPr>
                  </pic:nvPicPr>
                  <pic:blipFill>
                    <a:blip r:embed="rId9"/>
                    <a:stretch>
                      <a:fillRect/>
                    </a:stretch>
                  </pic:blipFill>
                  <pic:spPr bwMode="auto">
                    <a:xfrm>
                      <a:off x="0" y="0"/>
                      <a:ext cx="6400800" cy="2014855"/>
                    </a:xfrm>
                    <a:prstGeom prst="rect">
                      <a:avLst/>
                    </a:prstGeom>
                  </pic:spPr>
                </pic:pic>
              </a:graphicData>
            </a:graphic>
          </wp:inline>
        </w:drawing>
      </w:r>
    </w:p>
    <w:p>
      <w:pPr>
        <w:pStyle w:val="Normal"/>
        <w:spacing w:before="0" w:after="140"/>
        <w:jc w:val="center"/>
        <w:rPr/>
      </w:pPr>
      <w:r>
        <w:rPr>
          <w:sz w:val="16"/>
          <w:szCs w:val="16"/>
        </w:rPr>
        <w:t xml:space="preserve">Fig. 5.  Held-out miss rate after local recalibration on k labelled cases: mean over feasible splits out of 1,000 (bands: 2.5th–97.5th percentiles across feasible splits). Dotted lines mark nominal α. Hollow markers lie below the cell's floor, where the mean is conditioned on feasibility and biased; crosses mark cells not restored: SSA TC at α = 0.05 (also not restored at k = 39 and 45, not plotted), and PED TC, infeasible at α ≤ 0.10 and failing where marginally feasible at α = 0.20.</w:t>
      </w:r>
    </w:p>
    <w:p>
      <w:pPr>
        <w:sectPr>
          <w:type w:val="continuous"/>
          <w:pgSz w:w="12240" w:h="15840"/>
          <w:pgMar w:left="900" w:right="900" w:gutter="0" w:header="0" w:top="1080" w:footer="708" w:bottom="1440"/>
          <w:formProt w:val="false"/>
          <w:textDirection w:val="lrTb"/>
          <w:docGrid w:type="default" w:linePitch="360" w:charSpace="8192"/>
        </w:sectPr>
      </w:pPr>
    </w:p>
    <w:p>
      <w:pPr>
        <w:pStyle w:val="Normal"/>
        <w:ind w:firstLine="288"/>
        <w:jc w:val="both"/>
        <w:rPr/>
      </w:pPr>
      <w:r>
        <w:rPr/>
        <w:t xml:space="preserve">Three cautions follow. First, below the floor "feasible" does not mean "safe". SSA TC at α = 0.05 with k = 30, below its floor of 39, was feasible in only 39% of splits, and conditioning on feasibility selected easy calibration draws, biasing the held-out risk upwards to 0.054 (Monte Carlo SE 0.0008). A site needs at least the floor, not merely a draw that happens to fit, and SSA tumour core shows that even the floor may not be enough. Second, the guarantee is on the mean over draws, and the floor trades safety for mask size. Near the floor, the few calibration cases force conservative thresholds: almost no individual split exceeded α at k ≤ 10, but the recalibrated masks were inflated by up to 3.6×. As k grows the thresholds tighten, and at the largest k evaluated (half the cohort) the fraction of individual splits whose held-out miss rate exceeds α reaches 25–30%, on test as well as externally. A site obtains one calibration draw, so a bound restored in expectation can still be violated by the draw it actually has. A high-probability bound removes this at the price of more local cases; on CT, [33] re-certified six organs at α = 0.10 with 25 local cases under a betting-based RCPS bound, against 10–15 for CRC. The model-independent minimum for that bound at δ = 0.1 is 45 cases at α = 0.05 and 22 at α = 0.10 (Section V-G), which an SSA-sized cohort of 60 cannot both calibrate and evaluate at α = 0.05; the realised floors and violation rates under RCPS were not measured here. Third, restoring the bound under shift costs mask: at α = 0.10 and k = 10 the mean mask inflation is 1.84× for SSA WT, 3.17× for SSA TC and 3.61× for PED WT, against 2.07× and 2.42× on test. A bound on the miss rate says nothing about false-positive volume, and a mask three times the default size can satisfy the bound while being of little clinical use. The Dice and precision of the recalibrated masks, which [33] reports for CT, were not measured, so "restored" here is a statement about the miss rate alone.</w:t>
      </w:r>
    </w:p>
    <w:p>
      <w:pPr>
        <w:pStyle w:val="Normal"/>
        <w:keepNext w:val="true"/>
        <w:spacing w:before="220" w:after="90"/>
        <w:jc w:val="center"/>
        <w:rPr/>
      </w:pPr>
      <w:r>
        <w:rPr/>
        <w:t>IX.  RESULTS IV: THE PIPELINE END TO END</w:t>
      </w:r>
    </w:p>
    <w:p>
      <w:pPr>
        <w:pStyle w:val="Normal"/>
        <w:keepNext w:val="true"/>
        <w:spacing w:before="130" w:after="40"/>
        <w:rPr/>
      </w:pPr>
      <w:r>
        <w:rPr>
          <w:i/>
          <w:iCs/>
        </w:rPr>
        <w:t>A. The quality-control model under shift</w:t>
      </w:r>
    </w:p>
    <w:p>
      <w:pPr>
        <w:pStyle w:val="Normal"/>
        <w:keepNext w:val="true"/>
        <w:spacing w:before="160" w:after="50"/>
        <w:jc w:val="center"/>
        <w:rPr/>
      </w:pPr>
      <w:r>
        <w:rPr>
          <w:b/>
          <w:bCs/>
          <w:caps/>
          <w:sz w:val="16"/>
          <w:szCs w:val="16"/>
        </w:rPr>
        <w:t>Table XII.  SegQC against entropy for flagging failed masks (Dice &lt; 0.7)</w:t>
      </w:r>
    </w:p>
    <w:tbl>
      <w:tblPr>
        <w:tblW w:w="5040" w:type="dxa"/>
        <w:jc w:val="center"/>
        <w:tblInd w:w="0" w:type="dxa"/>
        <w:tblLayout w:type="fixed"/>
        <w:tblCellMar>
          <w:top w:w="25" w:type="dxa"/>
          <w:left w:w="55" w:type="dxa"/>
          <w:bottom w:w="25" w:type="dxa"/>
          <w:right w:w="55" w:type="dxa"/>
        </w:tblCellMar>
      </w:tblPr>
      <w:tblGrid>
        <w:gridCol w:w="640"/>
        <w:gridCol w:w="640"/>
        <w:gridCol w:w="1298"/>
        <w:gridCol w:w="1402"/>
        <w:gridCol w:w="1060"/>
      </w:tblGrid>
      <w:tr>
        <w:trPr>
          <w:tblHeader w:val="true"/>
          <w:cantSplit w:val="true"/>
        </w:trPr>
        <w:tc>
          <w:tcPr>
            <w:tcW w:w="64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Cohort</w:t>
            </w:r>
          </w:p>
        </w:tc>
        <w:tc>
          <w:tcPr>
            <w:tcW w:w="64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Region</w:t>
            </w:r>
          </w:p>
        </w:tc>
        <w:tc>
          <w:tcPr>
            <w:tcW w:w="129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ΔAUROC (QC − entropy)</w:t>
            </w:r>
          </w:p>
        </w:tc>
        <w:tc>
          <w:tcPr>
            <w:tcW w:w="140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95% CI</w:t>
            </w:r>
          </w:p>
        </w:tc>
        <w:tc>
          <w:tcPr>
            <w:tcW w:w="106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w:t>
            </w:r>
            <w:r>
              <w:rPr>
                <w:b/>
                <w:bCs/>
                <w:sz w:val="16"/>
                <w:szCs w:val="16"/>
                <w:vertAlign w:val="subscript"/>
              </w:rPr>
              <w:t>holm</w:t>
            </w:r>
          </w:p>
        </w:tc>
      </w:tr>
      <w:tr>
        <w:trPr>
          <w:cantSplit w:val="true"/>
        </w:trPr>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w:t>
            </w:r>
          </w:p>
        </w:tc>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TC</w:t>
            </w:r>
          </w:p>
        </w:tc>
        <w:tc>
          <w:tcPr>
            <w:tcW w:w="12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+0.1686</w:t>
            </w:r>
          </w:p>
        </w:tc>
        <w:tc>
          <w:tcPr>
            <w:tcW w:w="14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[0.0686, 0.2747]</w:t>
            </w:r>
          </w:p>
        </w:tc>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0.006</w:t>
            </w:r>
          </w:p>
        </w:tc>
      </w:tr>
      <w:tr>
        <w:trPr>
          <w:cantSplit w:val="true"/>
        </w:trPr>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w:t>
            </w:r>
          </w:p>
        </w:tc>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ET</w:t>
            </w:r>
          </w:p>
        </w:tc>
        <w:tc>
          <w:tcPr>
            <w:tcW w:w="12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+0.0375</w:t>
            </w:r>
          </w:p>
        </w:tc>
        <w:tc>
          <w:tcPr>
            <w:tcW w:w="14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[−0.1096, 0.1758]</w:t>
            </w:r>
          </w:p>
        </w:tc>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1.0</w:t>
            </w:r>
          </w:p>
        </w:tc>
      </w:tr>
      <w:tr>
        <w:trPr>
          <w:cantSplit w:val="true"/>
        </w:trPr>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w:t>
            </w:r>
          </w:p>
        </w:tc>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TC</w:t>
            </w:r>
          </w:p>
        </w:tc>
        <w:tc>
          <w:tcPr>
            <w:tcW w:w="12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−0.1951</w:t>
            </w:r>
          </w:p>
        </w:tc>
        <w:tc>
          <w:tcPr>
            <w:tcW w:w="14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[−0.3551, −0.0429]</w:t>
            </w:r>
          </w:p>
        </w:tc>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0.0504</w:t>
            </w:r>
          </w:p>
        </w:tc>
      </w:tr>
      <w:tr>
        <w:trPr>
          <w:cantSplit w:val="true"/>
        </w:trPr>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w:t>
            </w:r>
          </w:p>
        </w:tc>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ET</w:t>
            </w:r>
          </w:p>
        </w:tc>
        <w:tc>
          <w:tcPr>
            <w:tcW w:w="12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+0.0290</w:t>
            </w:r>
          </w:p>
        </w:tc>
        <w:tc>
          <w:tcPr>
            <w:tcW w:w="14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[−0.0959, 0.1556]</w:t>
            </w:r>
          </w:p>
        </w:tc>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1.0</w:t>
            </w:r>
          </w:p>
        </w:tc>
      </w:tr>
      <w:tr>
        <w:trPr>
          <w:cantSplit w:val="true"/>
        </w:trPr>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w:t>
            </w:r>
          </w:p>
        </w:tc>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w:t>
            </w:r>
          </w:p>
        </w:tc>
        <w:tc>
          <w:tcPr>
            <w:tcW w:w="12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−0.1898</w:t>
            </w:r>
          </w:p>
        </w:tc>
        <w:tc>
          <w:tcPr>
            <w:tcW w:w="14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[−0.3312, −0.0667]</w:t>
            </w:r>
          </w:p>
        </w:tc>
        <w:tc>
          <w:tcPr>
            <w:tcW w:w="106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0.010</w:t>
            </w:r>
          </w:p>
        </w:tc>
      </w:tr>
    </w:tbl>
    <w:p>
      <w:pPr>
        <w:pStyle w:val="Normal"/>
        <w:spacing w:before="40" w:after="100"/>
        <w:jc w:val="both"/>
        <w:rPr/>
      </w:pPr>
      <w:r>
        <w:rPr>
          <w:i/>
          <w:iCs/>
          <w:sz w:val="14"/>
          <w:szCs w:val="14"/>
        </w:rPr>
        <w:t xml:space="preserve">Five-cell pre-registered family; cells with fewer than five failures (test WT, SSA WT) excluded in advance. Bootstrap paired on the same resampled cases for both scores. Bold: significant by the rule of Section III-B; SSA TC (p</w:t>
      </w:r>
      <w:r>
        <w:rPr>
          <w:i/>
          <w:iCs/>
          <w:sz w:val="14"/>
          <w:szCs w:val="14"/>
          <w:vertAlign w:val="subscript"/>
        </w:rPr>
        <w:t xml:space="preserve">holm</w:t>
      </w:r>
      <w:r>
        <w:rPr>
          <w:i/>
          <w:iCs/>
          <w:sz w:val="14"/>
          <w:szCs w:val="14"/>
        </w:rPr>
        <w:t xml:space="preserve"> 0.0504) misses it narrowly. SSA TC n = 59.</w:t>
      </w:r>
    </w:p>
    <w:p>
      <w:pPr>
        <w:pStyle w:val="Normal"/>
        <w:ind w:firstLine="288"/>
        <w:jc w:val="both"/>
        <w:rPr/>
      </w:pPr>
      <w:r>
        <w:rPr/>
        <w:t xml:space="preserve">By its pre-registered rule (at least one firing cell), the QC gate is positive: SegQC beats entropy at flagging failed paediatric TC masks by +0.169 AUROC (Table XII). In the same five-cell family, however, it loses significantly on PED WT (−0.190), and on SSA TC (−0.195) by a margin that narrowly misses the registered bar (p</w:t>
      </w:r>
      <w:r>
        <w:rPr>
          <w:vertAlign w:val="subscript"/>
        </w:rPr>
        <w:t xml:space="preserve">holm</w:t>
      </w:r>
      <w:r>
        <w:rPr/>
        <w:t xml:space="preserve"> = 0.0504). H7 is therefore </w:t>
      </w:r>
      <w:r>
        <w:rPr>
          <w:i/>
          <w:iCs/>
        </w:rPr>
        <w:t xml:space="preserve">mixed</w:t>
      </w:r>
      <w:r>
        <w:rPr/>
        <w:t xml:space="preserve">, and the three cells are always reported together. The dominant finding is not in the family's decision rule. In all six external cells the QC model's bias moves in the optimistic direction relative to its in-distribution bias, most for PED TC, from −0.070 to +0.228 (Δ +0.298). The QC model grows more confident exactly where the segmentation is least trustworthy, and it inherits the shift it is meant to detect.</w:t>
      </w:r>
    </w:p>
    <w:p>
      <w:pPr>
        <w:pStyle w:val="Normal"/>
        <w:ind w:firstLine="288"/>
        <w:jc w:val="both"/>
        <w:rPr/>
      </w:pPr>
      <w:r>
        <w:rPr/>
        <w:t xml:space="preserve">The entropy comparator in Table XII is single-pass predictive entropy averaged over the region's predicted foreground. Zenk </w:t>
      </w:r>
      <w:r>
        <w:rPr>
          <w:i/>
          <w:iCs/>
        </w:rPr>
        <w:t xml:space="preserve">et al.</w:t>
      </w:r>
      <w:r>
        <w:rPr/>
        <w:t xml:space="preserve"> [26] found the pairwise Dice between stochastic predictions to be the most robust case-level failure detector in 3D segmentation; that comparator, and the area under the risk–coverage curve for each case-level signal, were not computed here, so Table XII compares SegQC with entropy only (Section XI).</w:t>
      </w:r>
    </w:p>
    <w:p>
      <w:pPr>
        <w:pStyle w:val="Normal"/>
        <w:keepNext w:val="true"/>
        <w:spacing w:before="130" w:after="40"/>
        <w:rPr/>
      </w:pPr>
      <w:r>
        <w:rPr>
          <w:i/>
          <w:iCs/>
        </w:rPr>
        <w:t>B. The error budget</w:t>
      </w:r>
    </w:p>
    <w:p>
      <w:pPr>
        <w:sectPr>
          <w:type w:val="continuous"/>
          <w:pgSz w:w="12240" w:h="15840"/>
          <w:pgMar w:left="900" w:right="900" w:gutter="0" w:header="0" w:top="1080" w:footer="708" w:bottom="1440"/>
          <w:cols w:num="2" w:space="360" w:equalWidth="true" w:sep="false"/>
          <w:formProt w:val="false"/>
          <w:textDirection w:val="lrTb"/>
          <w:docGrid w:type="default" w:linePitch="360" w:charSpace="8192"/>
        </w:sectPr>
      </w:pPr>
    </w:p>
    <w:p>
      <w:pPr>
        <w:pStyle w:val="Normal"/>
        <w:keepNext w:val="true"/>
        <w:spacing w:before="160" w:after="50"/>
        <w:jc w:val="center"/>
        <w:rPr/>
      </w:pPr>
      <w:r>
        <w:rPr>
          <w:b/>
          <w:bCs/>
          <w:caps/>
          <w:sz w:val="16"/>
          <w:szCs w:val="16"/>
        </w:rPr>
        <w:t>Table XIII.  End-to-end error budget with the deployed gate</w:t>
      </w:r>
    </w:p>
    <w:tbl>
      <w:tblPr>
        <w:tblW w:w="10440" w:type="dxa"/>
        <w:jc w:val="center"/>
        <w:tblInd w:w="0" w:type="dxa"/>
        <w:tblLayout w:type="fixed"/>
        <w:tblCellMar>
          <w:top w:w="25" w:type="dxa"/>
          <w:left w:w="55" w:type="dxa"/>
          <w:bottom w:w="25" w:type="dxa"/>
          <w:right w:w="55" w:type="dxa"/>
        </w:tblCellMar>
      </w:tblPr>
      <w:tblGrid>
        <w:gridCol w:w="2698"/>
        <w:gridCol w:w="1102"/>
        <w:gridCol w:w="1500"/>
        <w:gridCol w:w="2638"/>
        <w:gridCol w:w="2502"/>
      </w:tblGrid>
      <w:tr>
        <w:trPr>
          <w:tblHeader w:val="true"/>
          <w:cantSplit w:val="true"/>
        </w:trPr>
        <w:tc>
          <w:tcPr>
            <w:tcW w:w="269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Cohort · gate</w:t>
            </w:r>
          </w:p>
        </w:tc>
        <w:tc>
          <w:tcPr>
            <w:tcW w:w="110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P(acc.)</w:t>
            </w:r>
          </w:p>
        </w:tc>
        <w:tc>
          <w:tcPr>
            <w:tcW w:w="15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P(usable | acc.)</w:t>
            </w:r>
          </w:p>
        </w:tc>
        <w:tc>
          <w:tcPr>
            <w:tcW w:w="263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P(acc. ∧ usable) [95% CI]</w:t>
            </w:r>
          </w:p>
        </w:tc>
        <w:tc>
          <w:tcPr>
            <w:tcW w:w="250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CA / SF / OR / CR</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 · registered</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0.894</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0.953</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0.852</w:t>
            </w:r>
            <w:r>
              <w:rPr>
                <w:sz w:val="16"/>
                <w:szCs w:val="16"/>
              </w:rPr>
              <w:t xml:space="preserve"> [0.799, 0.900]</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161 / 8 / 16 / 4</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 · registered</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0.967</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0.810</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0.783</w:t>
            </w:r>
            <w:r>
              <w:rPr>
                <w:sz w:val="16"/>
                <w:szCs w:val="16"/>
              </w:rPr>
              <w:t xml:space="preserve"> [0.667, 0.883]</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47 / 11 / 1 / 1</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 · registered</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0.737</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0.329</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0.242</w:t>
            </w:r>
            <w:r>
              <w:rPr>
                <w:sz w:val="16"/>
                <w:szCs w:val="16"/>
              </w:rPr>
              <w:t xml:space="preserve"> [0.162, 0.333]</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24 / 49 / 3 / 23</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 · band display-only†</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0.958</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0.956</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0.915 [0.873, 0.952]</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173 / 8 / 4 / 4</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 · band display-only†</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0.967</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0.810</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0.783</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47 / 11 / 1 / 1</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 · band display-only†</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0.798</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0.329</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0.263 [0.182, 0.354]</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26 / 53 / 1 / 19</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 · + intended use†</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0.000</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0.000</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 / 0 / 27 / 72</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 · + OOD as REFUSE‡</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0.884</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6 more usable refused</w:t>
            </w:r>
          </w:p>
        </w:tc>
      </w:tr>
      <w:tr>
        <w:trPr>
          <w:cantSplit w:val="true"/>
        </w:trPr>
        <w:tc>
          <w:tcPr>
            <w:tcW w:w="269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 · + OOD as REFUSE‡</w:t>
            </w:r>
          </w:p>
        </w:tc>
        <w:tc>
          <w:tcPr>
            <w:tcW w:w="11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263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w:t>
            </w:r>
          </w:p>
        </w:tc>
        <w:tc>
          <w:tcPr>
            <w:tcW w:w="250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SF 11 → 8; OR 1 → 7</w:t>
            </w:r>
          </w:p>
        </w:tc>
      </w:tr>
    </w:tbl>
    <w:p>
      <w:pPr>
        <w:pStyle w:val="Normal"/>
        <w:spacing w:before="40" w:after="100"/>
        <w:jc w:val="both"/>
        <w:rPr/>
      </w:pPr>
      <w:r>
        <w:rPr>
          <w:i/>
          <w:iCs/>
          <w:sz w:val="14"/>
          <w:szCs w:val="14"/>
        </w:rPr>
        <w:t xml:space="preserve">CA correct acceptance, SF silent failure, OR over-refusal, CR correct refusal; usable = WT and TC Dice ≥ 0.7. Rows marked 'registered' are the pre-registered result. †Post-hoc deployment changes, measured afterwards (Section IX-C); intended use leaves test and SSA unchanged. ‡Added to the band display-only gate; not adopted (Section IX-D). No-gate usable rates: test 0.937, SSA 0.800, PED 0.273.</w:t>
      </w:r>
    </w:p>
    <w:p>
      <w:pPr>
        <w:sectPr>
          <w:type w:val="continuous"/>
          <w:pgSz w:w="12240" w:h="15840"/>
          <w:pgMar w:left="900" w:right="900" w:gutter="0" w:header="0" w:top="1080" w:footer="708" w:bottom="1440"/>
          <w:formProt w:val="false"/>
          <w:textDirection w:val="lrTb"/>
          <w:docGrid w:type="default" w:linePitch="360" w:charSpace="8192"/>
        </w:sectPr>
      </w:pPr>
    </w:p>
    <w:p>
      <w:pPr>
        <w:pStyle w:val="Normal"/>
        <w:ind w:firstLine="288"/>
        <w:jc w:val="both"/>
        <w:rPr/>
      </w:pPr>
      <w:r>
        <w:rPr/>
        <w:t xml:space="preserve">End to end, with the registered gate, the pipeline returns a usable mask for 85.2% of in-distribution studies, 78.3% of SSA studies and 24.2% of PED studies, with silent-failure rates of 4.2%, 18.3% and 49.5% (Table XIII, Fig. 6). The silent-failure column belongs beside the success rate wherever either is quoted. The gate's refusals are mostly wrong in distribution (4 of 20 correct, precision 0.20) and decent only on PED (0.88); its recall is poor everywhere, and it is blind to cohort-level shift. In distribution it refuses 16 usable studies to catch 4 unusable ones, lifting the usable rate among accepted studies only from 0.937 to 0.953. On SSA it refuses 2 of 60 studies, one rightly and one wrongly, while passing 11 of the 12 unusable masks. On PED, 23 of its 26 refusals are correct (precision 0.88), but it catches only 23 of the 72 unusable masks (recall 0.32).</w:t>
      </w:r>
    </w:p>
    <w:p>
      <w:pPr>
        <w:pStyle w:val="Normal"/>
        <w:keepNext w:val="true"/>
        <w:spacing w:before="80" w:after="40"/>
        <w:jc w:val="center"/>
        <w:rPr/>
      </w:pPr>
      <w:r>
        <w:rPr/>
        <w:drawing>
          <wp:inline distT="0" distB="0" distL="0" distR="0">
            <wp:extent cx="3154680" cy="1973580"/>
            <wp:effectExtent l="0" t="0" r="0" b="0"/>
            <wp:docPr id="6" name="Fig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
                    <pic:cNvPicPr>
                      <a:picLocks noChangeAspect="1" noChangeArrowheads="1"/>
                    </pic:cNvPicPr>
                  </pic:nvPicPr>
                  <pic:blipFill>
                    <a:blip r:embed="rId10"/>
                    <a:stretch>
                      <a:fillRect/>
                    </a:stretch>
                  </pic:blipFill>
                  <pic:spPr bwMode="auto">
                    <a:xfrm>
                      <a:off x="0" y="0"/>
                      <a:ext cx="3154680" cy="1973580"/>
                    </a:xfrm>
                    <a:prstGeom prst="rect">
                      <a:avLst/>
                    </a:prstGeom>
                  </pic:spPr>
                </pic:pic>
              </a:graphicData>
            </a:graphic>
          </wp:inline>
        </w:drawing>
      </w:r>
    </w:p>
    <w:p>
      <w:pPr>
        <w:pStyle w:val="Normal"/>
        <w:spacing w:before="0" w:after="140"/>
        <w:jc w:val="both"/>
        <w:rPr/>
      </w:pPr>
      <w:r>
        <w:rPr>
          <w:sz w:val="16"/>
          <w:szCs w:val="16"/>
        </w:rPr>
        <w:t>Fig. 6.  Outcome of every study under the registered gate. Silent failure (accepted but unusable) grows from 4.2% in distribution to 18.3% on SSA and 49.5% on PED.</w:t>
      </w:r>
    </w:p>
    <w:p>
      <w:pPr>
        <w:pStyle w:val="Normal"/>
        <w:ind w:firstLine="288"/>
        <w:jc w:val="both"/>
        <w:rPr/>
      </w:pPr>
      <w:r>
        <w:rPr/>
        <w:t xml:space="preserve">No operating point rescues the paediatric cohort. Sweeping the predicted-Dice refusal quantile over six values from 0.01 to 0.30, with the registered gate's other signals unchanged (Fig. 7; 0.02 is the deployed value), raises in-distribution P(usable | accepted) above 0.97 at a steep cost in coverage, but on PED it never exceeds 0.44: refusing three quarters of paediatric studies still leaves 56% of the accepted ones unusable. Gate acceptance also does not restore the conformal guarantee where it breaks. At the deployed α = 0.10, the realised PED TC miss rate is 0.651 over all cases and 0.573 over accepted ones (SSA TC: 0.171 and 0.159). The gate filters the worst cases but cannot repair a broken exchangeability assumption. Nor do these readings depend on the usable bar: the silent-failure rate for test, SSA and PED is 1.6%, 10.0% and 31.3% at a bar of 0.5 Dice and 27.0%, 55.0% and 68.7% at 0.9, and the ordering of the three cohorts and the gate's near-inertness on SSA hold at every bar from 0.5 to 0.9.</w:t>
      </w:r>
    </w:p>
    <w:p>
      <w:pPr>
        <w:pStyle w:val="Normal"/>
        <w:keepNext w:val="true"/>
        <w:spacing w:before="80" w:after="40"/>
        <w:jc w:val="center"/>
        <w:rPr/>
      </w:pPr>
      <w:r>
        <w:rPr/>
        <w:drawing>
          <wp:inline distT="0" distB="0" distL="0" distR="0">
            <wp:extent cx="3154680" cy="1979295"/>
            <wp:effectExtent l="0" t="0" r="0" b="0"/>
            <wp:docPr id="7" name="Fig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descr=""/>
                    <pic:cNvPicPr>
                      <a:picLocks noChangeAspect="1" noChangeArrowheads="1"/>
                    </pic:cNvPicPr>
                  </pic:nvPicPr>
                  <pic:blipFill>
                    <a:blip r:embed="rId11"/>
                    <a:stretch>
                      <a:fillRect/>
                    </a:stretch>
                  </pic:blipFill>
                  <pic:spPr bwMode="auto">
                    <a:xfrm>
                      <a:off x="0" y="0"/>
                      <a:ext cx="3154680" cy="1979295"/>
                    </a:xfrm>
                    <a:prstGeom prst="rect">
                      <a:avLst/>
                    </a:prstGeom>
                  </pic:spPr>
                </pic:pic>
              </a:graphicData>
            </a:graphic>
          </wp:inline>
        </w:drawing>
      </w:r>
    </w:p>
    <w:p>
      <w:pPr>
        <w:pStyle w:val="Normal"/>
        <w:spacing w:before="0" w:after="140"/>
        <w:jc w:val="both"/>
        <w:rPr/>
      </w:pPr>
      <w:r>
        <w:rPr>
          <w:sz w:val="16"/>
          <w:szCs w:val="16"/>
        </w:rPr>
        <w:t xml:space="preserve">Fig. 7.  Coverage against P(usable | accepted) as the predicted-Dice refusal quantile q varies from 0.01 to 0.30. Each curve has six points, labelled by q; the ring marks the deployed q = 0.02. On PED no operating point exceeds 0.44.</w:t>
      </w:r>
    </w:p>
    <w:p>
      <w:pPr>
        <w:pStyle w:val="Normal"/>
        <w:keepNext w:val="true"/>
        <w:spacing w:before="130" w:after="40"/>
        <w:rPr/>
      </w:pPr>
      <w:r>
        <w:rPr>
          <w:i/>
          <w:iCs/>
        </w:rPr>
        <w:t>C. Post-hoc changes to the deployed gate</w:t>
      </w:r>
    </w:p>
    <w:p>
      <w:pPr>
        <w:pStyle w:val="Normal"/>
        <w:ind w:firstLine="288"/>
        <w:jc w:val="both"/>
        <w:rPr/>
      </w:pPr>
      <w:r>
        <w:rPr/>
        <w:t>Two changes were made after reading the registered error budget, and each is reported as a separate, labelled variant rather than folded into the registered result. First, every one of the conformal band's 12 in-distribution refusals had been an over-refusal, so the band became display-only. In-distribution end-to-end success rose from 0.852 to 0.915, SSA was unchanged, and PED lost four correct refusals (silent failure 49 to 53 of 99). Second, an intended-use rule now refuses patients under 18 from the DICOM age. It refuses every paediatric study by construction (72 correct refusals and 27 over-refusals, the latter paediatric masks that were usable) and changes nothing on test or SSA. This is scoping, not detection: a rule that refuses every child scores perfectly on a paediatric cohort by construction, says nothing about SSA, where the shift is real and the population is adult, and fails open (CAUTION) when de-identification removes the age. The learned gate still cannot see cohort-level shift; a labelling rule can only exclude a cohort it can name.</w:t>
      </w:r>
    </w:p>
    <w:p>
      <w:pPr>
        <w:pStyle w:val="Normal"/>
        <w:keepNext w:val="true"/>
        <w:spacing w:before="130" w:after="40"/>
        <w:rPr/>
      </w:pPr>
      <w:r>
        <w:rPr>
          <w:i/>
          <w:iCs/>
        </w:rPr>
        <w:t>D. An input-statistics OOD score</w:t>
      </w:r>
    </w:p>
    <w:p>
      <w:pPr>
        <w:pStyle w:val="Normal"/>
        <w:keepNext w:val="true"/>
        <w:spacing w:before="160" w:after="50"/>
        <w:jc w:val="center"/>
        <w:rPr/>
      </w:pPr>
      <w:r>
        <w:rPr>
          <w:b/>
          <w:bCs/>
          <w:caps/>
          <w:sz w:val="16"/>
          <w:szCs w:val="16"/>
        </w:rPr>
        <w:t>Table XIV.  Pre-registered OOD score: flag rates and discrimination</w:t>
      </w:r>
    </w:p>
    <w:tbl>
      <w:tblPr>
        <w:tblW w:w="5040" w:type="dxa"/>
        <w:jc w:val="center"/>
        <w:tblInd w:w="0" w:type="dxa"/>
        <w:tblLayout w:type="fixed"/>
        <w:tblCellMar>
          <w:top w:w="25" w:type="dxa"/>
          <w:left w:w="55" w:type="dxa"/>
          <w:bottom w:w="25" w:type="dxa"/>
          <w:right w:w="55" w:type="dxa"/>
        </w:tblCellMar>
      </w:tblPr>
      <w:tblGrid>
        <w:gridCol w:w="640"/>
        <w:gridCol w:w="418"/>
        <w:gridCol w:w="1500"/>
        <w:gridCol w:w="700"/>
        <w:gridCol w:w="1782"/>
      </w:tblGrid>
      <w:tr>
        <w:trPr>
          <w:tblHeader w:val="true"/>
          <w:cantSplit w:val="true"/>
        </w:trPr>
        <w:tc>
          <w:tcPr>
            <w:tcW w:w="64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Cohort</w:t>
            </w:r>
          </w:p>
        </w:tc>
        <w:tc>
          <w:tcPr>
            <w:tcW w:w="418"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n</w:t>
            </w:r>
          </w:p>
        </w:tc>
        <w:tc>
          <w:tcPr>
            <w:tcW w:w="15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CAUTION or worse [95% CI]</w:t>
            </w:r>
          </w:p>
        </w:tc>
        <w:tc>
          <w:tcPr>
            <w:tcW w:w="7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REFUSE</w:t>
            </w:r>
          </w:p>
        </w:tc>
        <w:tc>
          <w:tcPr>
            <w:tcW w:w="178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AUROC, unusable</w:t>
            </w:r>
          </w:p>
        </w:tc>
      </w:tr>
      <w:tr>
        <w:trPr>
          <w:cantSplit w:val="true"/>
        </w:trPr>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Test</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189</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0.095 [0.058, 0.138]</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0.037</w:t>
            </w:r>
          </w:p>
        </w:tc>
        <w:tc>
          <w:tcPr>
            <w:tcW w:w="178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0.565 [0.367, 0.763]</w:t>
            </w:r>
          </w:p>
        </w:tc>
      </w:tr>
      <w:tr>
        <w:trPr>
          <w:cantSplit w:val="true"/>
        </w:trPr>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60</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0.600</w:t>
            </w:r>
            <w:r>
              <w:rPr>
                <w:sz w:val="16"/>
                <w:szCs w:val="16"/>
              </w:rPr>
              <w:t xml:space="preserve"> [0.483, 0.717]</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0.150</w:t>
            </w:r>
          </w:p>
        </w:tc>
        <w:tc>
          <w:tcPr>
            <w:tcW w:w="178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0.589 [0.422, 0.748]</w:t>
            </w:r>
          </w:p>
        </w:tc>
      </w:tr>
      <w:tr>
        <w:trPr>
          <w:cantSplit w:val="true"/>
        </w:trPr>
        <w:tc>
          <w:tcPr>
            <w:tcW w:w="64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PED</w:t>
            </w:r>
          </w:p>
        </w:tc>
        <w:tc>
          <w:tcPr>
            <w:tcW w:w="418"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99</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0.505</w:t>
            </w:r>
            <w:r>
              <w:rPr>
                <w:sz w:val="16"/>
                <w:szCs w:val="16"/>
              </w:rPr>
              <w:t xml:space="preserve"> [0.404, 0.606]</w:t>
            </w:r>
          </w:p>
        </w:tc>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0.101</w:t>
            </w:r>
          </w:p>
        </w:tc>
        <w:tc>
          <w:tcPr>
            <w:tcW w:w="178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0.600 [0.461, 0.734]</w:t>
            </w:r>
          </w:p>
        </w:tc>
      </w:tr>
    </w:tbl>
    <w:p>
      <w:pPr>
        <w:pStyle w:val="Normal"/>
        <w:spacing w:before="40" w:after="100"/>
        <w:jc w:val="both"/>
        <w:rPr/>
      </w:pPr>
      <w:r>
        <w:rPr>
          <w:i/>
          <w:iCs/>
          <w:sz w:val="14"/>
          <w:szCs w:val="14"/>
        </w:rPr>
        <w:t xml:space="preserve">Cut-points: validation 90th / 98th percentiles (7.557 / 9.935). AUROC for flagging studies with an unusable mask. PED's flag rate reflects paediatric input, not failure.</w:t>
      </w:r>
    </w:p>
    <w:p>
      <w:pPr>
        <w:pStyle w:val="Normal"/>
        <w:ind w:firstLine="288"/>
        <w:jc w:val="both"/>
        <w:rPr/>
      </w:pPr>
      <w:r>
        <w:rPr/>
        <w:t>The OOD score sees what the output-side gate cannot (Table XIV). It flags 60% of SSA studies against 9.5% of test studies, with separated CIs, and 50.5% of PED. But it ranks failed masks barely above chance (AUROC 0.56–0.60). As a per-study REFUSE it would remove only 3 of the 11 SSA silent failures (four were required by the registered rule), at the cost of refusing 6 usable SSA studies and 6 usable test studies. All four registered predictions held, including the switch-on failure, and the score stays display-only (H8 supported). It detects the shifted cohort, not the failed study. Its natural use is therefore as a site-level alarm, the fraction of a site's studies flagged, followed by local recalibration; that use is a post-hoc proposal and was not registered.</w:t>
      </w:r>
    </w:p>
    <w:p>
      <w:pPr>
        <w:pStyle w:val="Normal"/>
        <w:keepNext w:val="true"/>
        <w:spacing w:before="130" w:after="40"/>
        <w:rPr/>
      </w:pPr>
      <w:r>
        <w:rPr>
          <w:i/>
          <w:iCs/>
        </w:rPr>
        <w:t>E. Real DICOM: the cost of the front end</w:t>
      </w:r>
    </w:p>
    <w:p>
      <w:pPr>
        <w:pStyle w:val="Normal"/>
        <w:keepNext w:val="true"/>
        <w:spacing w:before="160" w:after="50"/>
        <w:jc w:val="center"/>
        <w:rPr/>
      </w:pPr>
      <w:r>
        <w:rPr>
          <w:b/>
          <w:bCs/>
          <w:caps/>
          <w:sz w:val="16"/>
          <w:szCs w:val="16"/>
        </w:rPr>
        <w:t>Table XV.  Real-DICOM measurement (40 test-split patients)</w:t>
      </w:r>
    </w:p>
    <w:tbl>
      <w:tblPr>
        <w:tblW w:w="5040" w:type="dxa"/>
        <w:jc w:val="center"/>
        <w:tblInd w:w="0" w:type="dxa"/>
        <w:tblLayout w:type="fixed"/>
        <w:tblCellMar>
          <w:top w:w="25" w:type="dxa"/>
          <w:left w:w="55" w:type="dxa"/>
          <w:bottom w:w="25" w:type="dxa"/>
          <w:right w:w="55" w:type="dxa"/>
        </w:tblCellMar>
      </w:tblPr>
      <w:tblGrid>
        <w:gridCol w:w="2900"/>
        <w:gridCol w:w="2139"/>
      </w:tblGrid>
      <w:tr>
        <w:trPr>
          <w:tblHeader w:val="true"/>
          <w:cantSplit w:val="true"/>
        </w:trPr>
        <w:tc>
          <w:tcPr>
            <w:tcW w:w="29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Quantity</w:t>
            </w:r>
          </w:p>
        </w:tc>
        <w:tc>
          <w:tcPr>
            <w:tcW w:w="2139"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Value [95% CI]</w:t>
            </w:r>
          </w:p>
        </w:tc>
      </w:tr>
      <w:tr>
        <w:trPr>
          <w:cantSplit w:val="true"/>
        </w:trPr>
        <w:tc>
          <w:tcPr>
            <w:tcW w:w="2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Refused at input QC (thick slices)</w:t>
            </w:r>
          </w:p>
        </w:tc>
        <w:tc>
          <w:tcPr>
            <w:tcW w:w="21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16 / 40 (0.40)</w:t>
            </w:r>
          </w:p>
        </w:tc>
      </w:tr>
      <w:tr>
        <w:trPr>
          <w:cantSplit w:val="true"/>
        </w:trPr>
        <w:tc>
          <w:tcPr>
            <w:tcW w:w="2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Refused at the gate (predicted Dice)</w:t>
            </w:r>
          </w:p>
        </w:tc>
        <w:tc>
          <w:tcPr>
            <w:tcW w:w="21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 / 40 (0.05)</w:t>
            </w:r>
          </w:p>
        </w:tc>
      </w:tr>
      <w:tr>
        <w:trPr>
          <w:cantSplit w:val="true"/>
        </w:trPr>
        <w:tc>
          <w:tcPr>
            <w:tcW w:w="2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Accepted (all PROCEED)</w:t>
            </w:r>
          </w:p>
        </w:tc>
        <w:tc>
          <w:tcPr>
            <w:tcW w:w="21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22 / 40 (0.55)</w:t>
            </w:r>
          </w:p>
        </w:tc>
      </w:tr>
      <w:tr>
        <w:trPr>
          <w:cantSplit w:val="true"/>
        </w:trPr>
        <w:tc>
          <w:tcPr>
            <w:tcW w:w="2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P(accepted ∧ usable)</w:t>
            </w:r>
          </w:p>
        </w:tc>
        <w:tc>
          <w:tcPr>
            <w:tcW w:w="21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0.20</w:t>
            </w:r>
            <w:r>
              <w:rPr>
                <w:sz w:val="16"/>
                <w:szCs w:val="16"/>
              </w:rPr>
              <w:t xml:space="preserve"> [0.075, 0.325]</w:t>
            </w:r>
          </w:p>
        </w:tc>
      </w:tr>
      <w:tr>
        <w:trPr>
          <w:cantSplit w:val="true"/>
        </w:trPr>
        <w:tc>
          <w:tcPr>
            <w:tcW w:w="2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P(usable | accepted)</w:t>
            </w:r>
          </w:p>
        </w:tc>
        <w:tc>
          <w:tcPr>
            <w:tcW w:w="21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0.36</w:t>
            </w:r>
            <w:r>
              <w:rPr>
                <w:sz w:val="16"/>
                <w:szCs w:val="16"/>
              </w:rPr>
              <w:t xml:space="preserve"> [0.18, 0.55]</w:t>
            </w:r>
          </w:p>
        </w:tc>
      </w:tr>
      <w:tr>
        <w:trPr>
          <w:cantSplit w:val="true"/>
        </w:trPr>
        <w:tc>
          <w:tcPr>
            <w:tcW w:w="2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Silent failure (accepted ∧ unusable)</w:t>
            </w:r>
          </w:p>
        </w:tc>
        <w:tc>
          <w:tcPr>
            <w:tcW w:w="21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0.35</w:t>
            </w:r>
            <w:r>
              <w:rPr>
                <w:sz w:val="16"/>
                <w:szCs w:val="16"/>
              </w:rPr>
              <w:t xml:space="preserve"> [0.20, 0.50]</w:t>
            </w:r>
          </w:p>
        </w:tc>
      </w:tr>
      <w:tr>
        <w:trPr>
          <w:cantSplit w:val="true"/>
        </w:trPr>
        <w:tc>
          <w:tcPr>
            <w:tcW w:w="2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Front-end cost, WT Dice, median</w:t>
            </w:r>
          </w:p>
        </w:tc>
        <w:tc>
          <w:tcPr>
            <w:tcW w:w="21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b/>
                <w:bCs/>
                <w:sz w:val="16"/>
                <w:szCs w:val="16"/>
              </w:rPr>
              <w:t>−0.232</w:t>
            </w:r>
            <w:r>
              <w:rPr>
                <w:sz w:val="16"/>
                <w:szCs w:val="16"/>
              </w:rPr>
              <w:t xml:space="preserve"> [−0.379, −0.182]</w:t>
            </w:r>
          </w:p>
        </w:tc>
      </w:tr>
      <w:tr>
        <w:trPr>
          <w:cantSplit w:val="true"/>
        </w:trPr>
        <w:tc>
          <w:tcPr>
            <w:tcW w:w="2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Front-end cost, TC / ET Dice, median</w:t>
            </w:r>
          </w:p>
        </w:tc>
        <w:tc>
          <w:tcPr>
            <w:tcW w:w="213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−0.367 / −0.456</w:t>
            </w:r>
          </w:p>
        </w:tc>
      </w:tr>
    </w:tbl>
    <w:p>
      <w:pPr>
        <w:pStyle w:val="Normal"/>
        <w:spacing w:before="40" w:after="100"/>
        <w:jc w:val="both"/>
        <w:rPr/>
      </w:pPr>
      <w:r>
        <w:rPr>
          <w:i/>
          <w:iCs/>
          <w:sz w:val="14"/>
          <w:szCs w:val="14"/>
        </w:rPr>
        <w:t>Cost = clinical path − research path on the same patients, scored against BraTS ground truth on the SRI24 grid. Wilcoxon p = 4.8×10</w:t>
      </w:r>
      <w:r>
        <w:rPr>
          <w:i/>
          <w:iCs/>
          <w:sz w:val="14"/>
          <w:szCs w:val="14"/>
          <w:vertAlign w:val="superscript"/>
        </w:rPr>
        <w:t xml:space="preserve">−7</w:t>
      </w:r>
      <w:r>
        <w:rPr>
          <w:i/>
          <w:iCs/>
          <w:sz w:val="14"/>
          <w:szCs w:val="14"/>
        </w:rPr>
        <w:t xml:space="preserve"> for every region; 22 of 22 accepted cases lose Dice. Not external validation.</w:t>
      </w:r>
    </w:p>
    <w:p>
      <w:pPr>
        <w:pStyle w:val="Normal"/>
        <w:ind w:firstLine="288"/>
        <w:jc w:val="both"/>
        <w:rPr/>
      </w:pPr>
      <w:r>
        <w:rPr/>
        <w:t>On the original DICOM of 40 test-split patients (Table XV), the front end refuses 16 studies at input QC: 15 for voxel spacing above 3 mm together with slice anisotropy of at least 6, and one for anisotropy alone. These are thick-slice acquisitions that BraTS had resampled to 1 mm isotropic and that our front end declines by design. The gate refuses 2 more. On the 22 accepted studies, all passed at PROCEED, the median WT Dice falls by 0.232 relative to the research path, so that only 8 are usable (P(usable | accepted) = 0.36) and the silent-failure rate is 0.35, against 0.042 on the research path. Prediction (a) failed by about five-fold, so H9 is refuted as measured in atlas space; predictions (b) and (c) held. Laterality was correct in all 22 cases.</w:t>
      </w:r>
    </w:p>
    <w:p>
      <w:pPr>
        <w:pStyle w:val="Normal"/>
        <w:ind w:firstLine="288"/>
        <w:jc w:val="both"/>
        <w:rPr/>
      </w:pPr>
      <w:r>
        <w:rPr/>
        <w:t xml:space="preserve">A post-hoc diagnosis locates most of the loss in registration. For each accepted study, the translation that best aligns the clinical whole-tumour mask with the BraTS label has a median length of 5.9 mm, mostly along the anterior–posterior axis, and reaches about 15 mm. Undoing that translation alone raises the median Dice from 0.66 to 0.83 (WT), 0.58 to 0.86 (TC) and 0.43 to 0.75 (ET), and the usable count from 8 to 14 of 22; the remaining gap to the research path (about 0.93 WT) reflects rotational and non-rigid disagreement as well as genuine differences between the pipelines. The protocol counts registration disagreement against the pipeline because the report's anatomy is read in atlas space. A convention mismatch is ruled out: our SRI24 target and the BraTS grid have identical affines, and the per-case offsets do not share a sign (anterior–posterior: 7 positive, 12 negative, 3 zero; post-review, exploratory). Instead, the offset mirrors the reference's own alignment. BraTS's skull-stripped brains sit a median 3.3 mm from the SRI24 template across the 189 test cases (36% at 5 mm or more), and our per-case tumour offset is the mirror image of that brain offset (Pearson r = −0.86 along the anterior–posterior axis). Shifting our masks by the brain-only offset, with no tumour information, raises the median whole-tumour Dice from 0.66 to 0.71 (tumour core from 0.58 to 0.66; 16 of 22 studies improve, Wilcoxon p = 0.017). Table XV therefore measures disagreement between two independent registrations of the same patient, our rigid one and the reference's, against a reference that is itself several millimetres from the atlas; it is not evidence that either registration is the worse one. The gate, however, did not notice the degradation: it accepted 22 of the 24 studies that reached it, 14 of which were unusable. This is the front-end analogue of its blindness to cohort shift.</w:t>
      </w:r>
    </w:p>
    <w:p>
      <w:pPr>
        <w:pStyle w:val="Normal"/>
        <w:keepNext w:val="true"/>
        <w:spacing w:before="130" w:after="40"/>
        <w:rPr/>
      </w:pPr>
      <w:r>
        <w:rPr>
          <w:i/>
          <w:iCs/>
        </w:rPr>
        <w:t>F. The report layer</w:t>
      </w:r>
    </w:p>
    <w:p>
      <w:pPr>
        <w:pStyle w:val="Normal"/>
        <w:ind w:firstLine="288"/>
        <w:jc w:val="both"/>
        <w:rPr/>
      </w:pPr>
      <w:r>
        <w:rPr/>
        <w:t>The structured report is stable with respect to segmentation quality. Across 189 paired test cases and 25 report metrics, reports derived from the proposed model, the baseline and the ground truth differ conclusively on only one metric, and 16 of 25 metrics have identical medians across the three sources. A better segmenter therefore does not produce a measurably better report, which is reassuring for deployment and negative for any claim that the architecture improves the report. Predicted reports over-report multifocality (33.9% of cases for the proposed model and 40.7% for the baseline, against 22.8% in the ground truth), consistent with the spurious-lesion mechanism of Section VI-C. The eloquence field is degenerate on BraTS: every case lies near an eloquent structure under the published list, so the report presents it as reference context, never as a risk statement.</w:t>
      </w:r>
    </w:p>
    <w:p>
      <w:pPr>
        <w:pStyle w:val="Normal"/>
        <w:keepNext w:val="true"/>
        <w:spacing w:before="220" w:after="90"/>
        <w:jc w:val="center"/>
        <w:rPr/>
      </w:pPr>
      <w:r>
        <w:rPr/>
        <w:t>X.  DISCUSSION AND SYNTHESIS</w:t>
      </w:r>
    </w:p>
    <w:p>
      <w:pPr>
        <w:pStyle w:val="Normal"/>
        <w:ind w:firstLine="288"/>
        <w:jc w:val="both"/>
        <w:rPr/>
      </w:pPr>
      <w:r>
        <w:rPr>
          <w:b/>
          <w:bCs/>
        </w:rPr>
        <w:t>The accuracy result is real, narrow and secondary.</w:t>
      </w:r>
      <w:r>
        <w:rPr/>
        <w:t xml:space="preserve"> The dual encoder beats a matched U-Net on enhancing tumour by a margin that replicates across two seed pairs, exceeds each model's retraining shift about four- to six-fold and survives a capacity control, although two cases without enhancing tumour carry about 40% of its mean. But it does not come from the ambiguity-conditioning mechanism it was built around, it costs 23.7× the computation, it disappears on adult external data, and on paediatric tumour core, where the label definition itself differs, it reverses. Until the comparison with nnU-Net is complete it is established only against a baseline trained under the same constrained recipe, and a large re-evaluation of 3D segmentation architectures [18] counsels caution about such margins. We therefore treat the model as the object of the audit rather than as the paper's contribution.</w:t>
      </w:r>
    </w:p>
    <w:p>
      <w:pPr>
        <w:pStyle w:val="Normal"/>
        <w:ind w:firstLine="288"/>
        <w:jc w:val="both"/>
        <w:rPr/>
      </w:pPr>
      <w:r>
        <w:rPr>
          <w:b/>
          <w:bCs/>
        </w:rPr>
        <w:t xml:space="preserve">Single-pass entropy is a hard baseline.</w:t>
      </w:r>
      <w:r>
        <w:rPr/>
        <w:t xml:space="preserve"> Four mechanisms were measured against it as error localisers: MC-dropout, inter-branch disagreement, a trained confidence head and, at the case level, a learned QC model. MC-dropout is equivalent at ten times the cost; disagreement and the confidence head are worse; the QC model wins in one external cell, loses in one and narrowly misses significance in a third. Any new uncertainty signal for this task should be measured against free predictive entropy before anything else.</w:t>
      </w:r>
    </w:p>
    <w:p>
      <w:pPr>
        <w:pStyle w:val="Normal"/>
        <w:ind w:firstLine="288"/>
        <w:jc w:val="both"/>
        <w:rPr/>
      </w:pPr>
      <w:r>
        <w:rPr>
          <w:b/>
          <w:bCs/>
        </w:rPr>
        <w:t>Information is not utility.</w:t>
      </w:r>
      <w:r>
        <w:rPr/>
        <w:t xml:space="preserve"> Disagreement between the encoders carries error information that entropy does not, significantly and under shift, yet adding it to entropy makes a worse detector in distribution. A statistically real signal and a useful one are different findings, and the second must be tested directly.</w:t>
      </w:r>
    </w:p>
    <w:p>
      <w:pPr>
        <w:pStyle w:val="Normal"/>
        <w:ind w:firstLine="288"/>
        <w:jc w:val="both"/>
        <w:rPr/>
      </w:pPr>
      <w:r>
        <w:rPr>
          <w:b/>
          <w:bCs/>
        </w:rPr>
        <w:t>The guarantee fails where exchangeability fails, and worst where a label differs.</w:t>
      </w:r>
      <w:r>
        <w:rPr/>
        <w:t xml:space="preserve"> Conformal risk control did what its theory promises: it held in distribution for both models and failed out of distribution. The failure ranged from near-nominal for adult external whole tumour to 1.4–1.7× for adult external tumour core and 3.5–11.5× for paediatric tumour core, whose reference label includes tissue the model was not trained to call tumour core. Three cohorts do not show that failure grows with any measure of shift, and we do not claim it. The failure is repairable in expectation where the model is not hopeless: a site with a few tens of labelled cases, at or above a floor computable from its lowest achievable risk, restores the mean bound in all but one evaluated cell, although the floor does not guarantee it, a single site's draw can still exceed it, and restoration enlarges the mask. Where the lowest achievable risk already exceeds the target, as for paediatric tumour core, no threshold can help; only a model trained on the target label definition can.</w:t>
      </w:r>
    </w:p>
    <w:p>
      <w:pPr>
        <w:pStyle w:val="Normal"/>
        <w:ind w:firstLine="288"/>
        <w:jc w:val="both"/>
        <w:rPr/>
      </w:pPr>
      <w:r>
        <w:rPr>
          <w:b/>
          <w:bCs/>
        </w:rPr>
        <w:t>The gate sees masks, not cohorts.</w:t>
      </w:r>
      <w:r>
        <w:rPr/>
        <w:t xml:space="preserve"> A learned gate over predicted quality refuses the obviously bad masks and misses the plausible-looking bad ones, and its predictor becomes more optimistic under shift. Acceptance by the gate does not restore the guarantee. An input-statistics score detects the shifted population cleanly but cannot say which study failed. The two signals operate at different levels: one per study, the other per cohort.</w:t>
      </w:r>
    </w:p>
    <w:p>
      <w:pPr>
        <w:pStyle w:val="Normal"/>
        <w:ind w:firstLine="288"/>
        <w:jc w:val="both"/>
        <w:rPr/>
      </w:pPr>
      <w:r>
        <w:rPr>
          <w:b/>
          <w:bCs/>
        </w:rPr>
        <w:t>A deployable recipe is site-level, not study-level.</w:t>
      </w:r>
      <w:r>
        <w:rPr/>
        <w:t xml:space="preserve"> Taken together, the results suggest an order of operations for a new site: monitor the fraction of studies flagged by the OOD score as a site-level alarm; when it rises, collect at least the floor number of labelled local cases (floors of 5–39 for the expected-risk bound, depending on α and region, with restoration demonstrated at 30–49, and more for a high-probability bound); recalibrate; confirm the bound on held-out local cases, since the floor is necessary but not sufficient; and check the size of the recalibrated mask before trusting the bound. Before any of this, confirm that the site's label definitions match the training protocol, since no recalibration can repair a label the model was not trained to produce. Scope out populations the model cannot serve, as the intended-use rule does for paediatric patients, and report that as scoping. This recipe is a synthesis of registered results and one post-hoc proposal; it has not itself been validated prospectively.</w:t>
      </w:r>
    </w:p>
    <w:p>
      <w:pPr>
        <w:pStyle w:val="Normal"/>
        <w:ind w:firstLine="288"/>
        <w:jc w:val="both"/>
        <w:rPr/>
      </w:pPr>
      <w:r>
        <w:rPr>
          <w:b/>
          <w:bCs/>
        </w:rPr>
        <w:t xml:space="preserve">On real data, the front end must be measured, not assumed.</w:t>
      </w:r>
      <w:r>
        <w:rPr/>
        <w:t xml:space="preserve"> The largest single loss measured in this study is the passage from DICOM to atlas space: a median 0.23 whole-tumour Dice on the same patients, most of it explained by a few millimetres of disagreement with the reference alignment, which tracks how far the reference's own alignment departs from the atlas rather than a defect in either pipeline. Validation that starts from preprocessed benchmark volumes skips the stage that failed most here, and the gate did not see it. Table XVI summarises the hypotheses.</w:t>
      </w:r>
    </w:p>
    <w:p>
      <w:pPr>
        <w:pStyle w:val="Normal"/>
        <w:keepNext w:val="true"/>
        <w:spacing w:before="160" w:after="50"/>
        <w:jc w:val="center"/>
        <w:rPr/>
      </w:pPr>
      <w:r>
        <w:rPr>
          <w:b/>
          <w:bCs/>
          <w:caps/>
          <w:sz w:val="16"/>
          <w:szCs w:val="16"/>
        </w:rPr>
        <w:t>Table XVI.  Hypothesis scorecard</w:t>
      </w:r>
    </w:p>
    <w:tbl>
      <w:tblPr>
        <w:tblW w:w="5040" w:type="dxa"/>
        <w:jc w:val="center"/>
        <w:tblInd w:w="0" w:type="dxa"/>
        <w:tblLayout w:type="fixed"/>
        <w:tblCellMar>
          <w:top w:w="25" w:type="dxa"/>
          <w:left w:w="55" w:type="dxa"/>
          <w:bottom w:w="25" w:type="dxa"/>
          <w:right w:w="55" w:type="dxa"/>
        </w:tblCellMar>
      </w:tblPr>
      <w:tblGrid>
        <w:gridCol w:w="2299"/>
        <w:gridCol w:w="1599"/>
        <w:gridCol w:w="1142"/>
      </w:tblGrid>
      <w:tr>
        <w:trPr>
          <w:tblHeader w:val="true"/>
          <w:cantSplit w:val="true"/>
        </w:trPr>
        <w:tc>
          <w:tcPr>
            <w:tcW w:w="2299"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Hypothesis</w:t>
            </w:r>
          </w:p>
        </w:tc>
        <w:tc>
          <w:tcPr>
            <w:tcW w:w="1599"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Verdict</w:t>
            </w:r>
          </w:p>
        </w:tc>
        <w:tc>
          <w:tcPr>
            <w:tcW w:w="1142"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Evidence</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H1 Accuracy: ET gain over matched U-Net</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Supported vs matched U-Net (two seed pairs); nnU-Net comparison not complete</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Tables III–IV</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H2 Mechanism: ambiguity conditioning adds</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Not supported</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 IV, Fig. 3</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H3 Reliability: calibration, boundary, detectors</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Not supported</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Tables VII–VIII</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H4 Transfer: gain holds on SSA/PED</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Refuted as registered; PED TC confounded by label definition</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 VI</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Heavier augmentation closes the OOD gap</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Not demonstrated</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Section VI-D</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H5 Guarantee: holds in distribution, degrades under shift</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Supported; in-distribution half is a check</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Tables IX–X, Fig. 4</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H6 Recalibration: tens of cases; PED TC infeasible</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 xml:space="preserve">Supported as registered; floor necessary, not sufficient (SSA TC at α = 0.05, post-review); high-probability bound not fitted</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 XI, Fig. 5</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H7 QC beats entropy in ≥ 1 external cell</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Mixed (1 win, 1 loss, 1 borderline)</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 XII</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H8 OOD score flags cohorts, not failures</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Supported; not switched on</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 XIV</w:t>
            </w:r>
          </w:p>
        </w:tc>
      </w:tr>
      <w:tr>
        <w:trPr>
          <w:cantSplit w:val="true"/>
        </w:trPr>
        <w:tc>
          <w:tcPr>
            <w:tcW w:w="22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H9 Front-end cost ≤ 0.05 WT Dice</w:t>
            </w:r>
          </w:p>
        </w:tc>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Refuted as measured; reference alignment itself varies (Section IX-E)</w:t>
            </w:r>
          </w:p>
        </w:tc>
        <w:tc>
          <w:tcPr>
            <w:tcW w:w="1142"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center"/>
              <w:rPr/>
            </w:pPr>
            <w:r>
              <w:rPr>
                <w:sz w:val="16"/>
                <w:szCs w:val="16"/>
              </w:rPr>
              <w:t>Table XV</w:t>
            </w:r>
          </w:p>
        </w:tc>
      </w:tr>
    </w:tbl>
    <w:p>
      <w:pPr>
        <w:pStyle w:val="Normal"/>
        <w:spacing w:before="40" w:after="100"/>
        <w:jc w:val="both"/>
        <w:rPr/>
      </w:pPr>
      <w:r>
        <w:rPr>
          <w:i/>
          <w:iCs/>
          <w:sz w:val="14"/>
          <w:szCs w:val="14"/>
        </w:rPr>
        <w:t>Labels as defined in Section III-C. A check is a result implied by the method's construction rather than a risky prediction (Section I). The augmentation row was registered separately from H1–H9.</w:t>
      </w:r>
    </w:p>
    <w:p>
      <w:pPr>
        <w:pStyle w:val="Normal"/>
        <w:keepNext w:val="true"/>
        <w:spacing w:before="220" w:after="90"/>
        <w:jc w:val="center"/>
        <w:rPr/>
      </w:pPr>
      <w:r>
        <w:rPr/>
        <w:t>XI.  LIMITATIONS</w:t>
      </w:r>
    </w:p>
    <w:p>
      <w:pPr>
        <w:pStyle w:val="Normal"/>
        <w:ind w:firstLine="288"/>
        <w:jc w:val="both"/>
        <w:rPr/>
      </w:pPr>
      <w:r>
        <w:rPr/>
        <w:t xml:space="preserve">The in-distribution evaluation uses a random split of the public BraTS 2021 training set rather than a hidden test set, and every model was trained under a compute-limited recipe (64³ patches, 80 epochs) chosen for feasibility, not accuracy; absolute scores are therefore below the state of the art and not comparable with leaderboard results. Two seeds were trained for the proposed model and the baseline and one for the capacity control and the ablation, which measures a noise floor but not a seed distribution, and case-level p-values are conditional on the trained weights. The comparison with a strong self-configuring baseline is not complete, and the architecture claim is conditional on it. About 40% of the mean enhancing-tumour margin comes from two cases with no reference enhancing tumour, scored under the empty-region convention (Section VI-A). The external cohorts are small (60 and 99 cases), several comparisons were explicitly underpowered, and Holm correction is applied within cohorts, not across them. The lesion-wise analysis is exploratory.</w:t>
      </w:r>
    </w:p>
    <w:p>
      <w:pPr>
        <w:pStyle w:val="Normal"/>
        <w:ind w:firstLine="288"/>
        <w:jc w:val="both"/>
        <w:rPr/>
      </w:pPr>
      <w:r>
        <w:rPr/>
        <w:t xml:space="preserve">The paediatric cohort shares the adult label values but not the adult tumour-core definition, so PED tumour-core results measure an adult-trained model against a different label and are not a pure test of distribution shift. The CRC guarantee used throughout is marginal over calibration draws; the high-probability alternative was not fitted. It is also marginal over the pooled population: the in-distribution cases are a random split of a multi-institutional pool, and on that same pool, partitioned by institution, pooled calibration violates the target at 40% of individual sites [32], so "holds in distribution" here does not mean "holds at each contributing site". At α = 0.20 the threshold grid, not the calibration rule, set τ̂. Protocol order rests on commit timestamps, and several registered predictions were written after related outputs had been seen (Appendix A).</w:t>
      </w:r>
    </w:p>
    <w:p>
      <w:pPr>
        <w:pStyle w:val="Normal"/>
        <w:ind w:firstLine="288"/>
        <w:jc w:val="both"/>
        <w:rPr/>
      </w:pPr>
      <w:r>
        <w:rPr/>
        <w:t>The local-recalibration result is counterfactual: calibration and evaluation cases come from the same external cohort, so it describes what a site would need and is not an external validation of coverage, and individual splits can still exceed α. The error budget uses saved outputs for the external cohorts rather than live DICOM, and the usable bar of 0.7 Dice is a convention. Two gate changes were decided after reading the registered budget; they are reported as labelled post-hoc variants but were not themselves pre-registered. The intended-use rule depends on a header field that de-identification often removes. The QC model is trained on synthetic degradations of in-distribution predictions, and its bias grows under shift. The real-DICOM measurement concerns 40 patients from the test distribution, is scored in atlas space against a reference alignment that itself lies a median 3.3 mm from the atlas, and treats thick-slice refusal as a design decision that another pipeline might resolve by resampling.</w:t>
      </w:r>
    </w:p>
    <w:p>
      <w:pPr>
        <w:pStyle w:val="Normal"/>
        <w:ind w:firstLine="288"/>
        <w:jc w:val="both"/>
        <w:rPr/>
      </w:pPr>
      <w:r>
        <w:rPr/>
        <w:t xml:space="preserve">Several analyses that this manuscript's internal review identified as needed have not been run, and the corresponding claims are limited accordingly. They are: the nnU-Net comparison, and nnU-Net as a second audited model; floors and per-draw violation rates under a high-probability (RCPS) bound; the Dice and precision of recalibrated masks; and the pairwise-Dice failure detector of [26] and risk–coverage areas for the case-level signals. A decomposition of the paediatric tumour-core miss by sub-region needs the later BraTS-PEDs release [61] that distributes the four sub-region labels separately. SegQC cut-points are partly in-sample; how far the outcome counts move with cut-points fitted on its held-out cases alone was not measured.</w:t>
      </w:r>
    </w:p>
    <w:p>
      <w:pPr>
        <w:pStyle w:val="Normal"/>
        <w:ind w:firstLine="288"/>
        <w:jc w:val="both"/>
        <w:rPr/>
      </w:pPr>
      <w:r>
        <w:rPr/>
        <w:t>The system is a research prototype. It is not a medical device, has no regulatory clearance, and has not been evaluated with clinicians or in a reader study; its reports are non-diagnostic by construction. Verdicts were assigned by the author under pre-registered rules, and independent replication, ideally at a site contributing its own labelled cases, would strengthen every claim here.</w:t>
      </w:r>
    </w:p>
    <w:p>
      <w:pPr>
        <w:pStyle w:val="Normal"/>
        <w:keepNext w:val="true"/>
        <w:spacing w:before="220" w:after="90"/>
        <w:jc w:val="center"/>
        <w:rPr/>
      </w:pPr>
      <w:r>
        <w:rPr/>
        <w:t>XII.  CONCLUSION</w:t>
      </w:r>
    </w:p>
    <w:p>
      <w:pPr>
        <w:pStyle w:val="Normal"/>
        <w:ind w:firstLine="288"/>
        <w:jc w:val="both"/>
        <w:rPr/>
      </w:pPr>
      <w:r>
        <w:rPr/>
        <w:t xml:space="preserve">Measured from DICOM to report under distribution shift, a segmentation model's in-distribution accuracy is the least informative number about its deployment. The audited dual encoder is more accurate than a matched U-Net where it was trained, for a reason other than the one it was designed around, and that advantage does not travel. What does travel is the behaviour of the reliability wrapper, and that behaviour is predictable. A conformal miss-rate bound holds where its assumptions hold and breaks under shift, most of all in the region whose label meaning differs from training; it can usually be restored at a new site, in expectation, with local labelled cases at or above a floor computable from the site's lowest achievable risk, although that floor is necessary rather than sufficient and is of no help where the model is already beyond rescue.</w:t>
      </w:r>
    </w:p>
    <w:p>
      <w:pPr>
        <w:pStyle w:val="Normal"/>
        <w:ind w:firstLine="288"/>
        <w:jc w:val="both"/>
        <w:rPr/>
      </w:pPr>
      <w:r>
        <w:rPr/>
        <w:t xml:space="preserve">A refusal gate built on predicted quality catches the obvious failures and misses the plausible ones, grows more optimistic as the shift grows, and cannot see a population change; an input-statistics score can see the population change but not which study failed. On real data the largest measured loss arose at the front end, mostly as disagreement with the reference's own alignment, and its cost must be measured rather than assumed. The practical implication is a division of labour: per-study signals for the obvious failures, a cohort-level alarm and local recalibration for the silent ones, a check that a new site's labels mean what the training labels meant, explicit scoping for populations the model cannot serve, and a validation protocol that starts from the scanner rather than from the benchmark.</w:t>
      </w:r>
    </w:p>
    <w:p>
      <w:pPr>
        <w:pStyle w:val="Normal"/>
        <w:keepNext w:val="true"/>
        <w:spacing w:before="220" w:after="90"/>
        <w:jc w:val="center"/>
        <w:rPr/>
      </w:pPr>
      <w:r>
        <w:rPr/>
        <w:t>DATA AND CODE AVAILABILITY</w:t>
      </w:r>
    </w:p>
    <w:p>
      <w:pPr>
        <w:pStyle w:val="Normal"/>
        <w:ind w:firstLine="288"/>
        <w:jc w:val="both"/>
        <w:rPr/>
      </w:pPr>
      <w:r>
        <w:rPr/>
        <w:t xml:space="preserve">BraTS 2021, BraTS-Africa and BraTS-PEDs are publicly available from the BraTS organisers; the RSNA-MICCAI DICOM studies and UPenn-GBM are available from their respective public releases. Source code, Hydra configurations, all pre-registrations, measurement protocols, the experiment log and the claims ledger are available at [14], including the scripts that regenerate every post-review analysis (ref_et_comparison.py, real_dicom_offsets.py, confidence_diag.py and local_recalibration.py). </w:t>
      </w:r>
      <w:r>
        <w:rPr>
          <w:highlight w:val="yellow"/>
        </w:rPr>
        <w:t xml:space="preserve">[Author to confirm: whether trained weights and saved logits are released, and where.]</w:t>
      </w:r>
    </w:p>
    <w:p>
      <w:pPr>
        <w:pStyle w:val="Normal"/>
        <w:keepNext w:val="true"/>
        <w:spacing w:before="220" w:after="90"/>
        <w:jc w:val="center"/>
        <w:rPr/>
      </w:pPr>
      <w:r>
        <w:rPr/>
        <w:t>APPENDIX A.  PROTOCOL TIMELINE</w:t>
      </w:r>
    </w:p>
    <w:p>
      <w:pPr>
        <w:pStyle w:val="Normal"/>
        <w:ind w:firstLine="288"/>
        <w:jc w:val="both"/>
        <w:rPr/>
      </w:pPr>
      <w:r>
        <w:rPr/>
        <w:t xml:space="preserve">Table A-I lists every written protocol in the order it was committed to the public repository [14], with what had already been computed when it was written. It is the evidence for the risk attached to each prediction in Table XVI: a prediction written before any related output existed is a test; one written after related outputs were seen is weaker, and is identified as such here. The archive identifier is given in Section III-A.</w:t>
      </w:r>
    </w:p>
    <w:p>
      <w:pPr>
        <w:pStyle w:val="Normal"/>
        <w:keepNext w:val="true"/>
        <w:spacing w:before="160" w:after="50"/>
        <w:jc w:val="center"/>
        <w:rPr/>
      </w:pPr>
      <w:r>
        <w:rPr>
          <w:b/>
          <w:bCs/>
          <w:caps/>
          <w:sz w:val="16"/>
          <w:szCs w:val="16"/>
        </w:rPr>
        <w:t>Table A-I.  Protocol timeline</w:t>
      </w:r>
    </w:p>
    <w:tbl>
      <w:tblPr>
        <w:tblW w:w="5040" w:type="dxa"/>
        <w:jc w:val="center"/>
        <w:tblInd w:w="0" w:type="dxa"/>
        <w:tblLayout w:type="fixed"/>
        <w:tblCellMar>
          <w:top w:w="25" w:type="dxa"/>
          <w:left w:w="55" w:type="dxa"/>
          <w:bottom w:w="25" w:type="dxa"/>
          <w:right w:w="55" w:type="dxa"/>
        </w:tblCellMar>
      </w:tblPr>
      <w:tblGrid>
        <w:gridCol w:w="1900"/>
        <w:gridCol w:w="950"/>
        <w:gridCol w:w="2190"/>
      </w:tblGrid>
      <w:tr>
        <w:trPr>
          <w:tblHeader w:val="true"/>
          <w:cantSplit w:val="true"/>
        </w:trPr>
        <w:tc>
          <w:tcPr>
            <w:tcW w:w="190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Protocol</w:t>
            </w:r>
          </w:p>
        </w:tc>
        <w:tc>
          <w:tcPr>
            <w:tcW w:w="95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Committed</w:t>
            </w:r>
          </w:p>
        </w:tc>
        <w:tc>
          <w:tcPr>
            <w:tcW w:w="2190" w:type="dxa"/>
            <w:tcBorders>
              <w:top w:val="single" w:sz="4" w:space="0" w:color="999999"/>
              <w:left w:val="single" w:sz="4" w:space="0" w:color="999999"/>
              <w:bottom w:val="single" w:sz="4" w:space="0" w:color="999999"/>
              <w:right w:val="single" w:sz="4" w:space="0" w:color="999999"/>
            </w:tcBorders>
            <w:shd w:color="auto" w:fill="E9E9E9" w:val="clear"/>
            <w:vAlign w:val="center"/>
          </w:tcPr>
          <w:p>
            <w:pPr>
              <w:pStyle w:val="Normal"/>
              <w:keepNext w:val="true"/>
              <w:spacing w:lineRule="auto" w:line="196"/>
              <w:jc w:val="center"/>
              <w:rPr/>
            </w:pPr>
            <w:r>
              <w:rPr>
                <w:b/>
                <w:bCs/>
                <w:sz w:val="16"/>
                <w:szCs w:val="16"/>
              </w:rPr>
              <w:t>Already computed when written</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HD95 under shift, external cohorts</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2026-08-19</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 segmentation results; no PED case processed</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Inter-branch disagreement as failure detector</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2026-08-19</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In-distribution accuracy and calibration (H1, H3); no disagreement map extracted</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Conformal guarantee (H5)</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2026-08-23</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SSA and PED segmentation accuracy; no conformal number</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Strong baseline, nnU-Net</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2026-08-23</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All seed-42 in-distribution results; no nnU-Net number</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Error localisation (entropy with disagreement)</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2026-08-23</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Disagreement-detector result; no combined-detector quantity</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Segmentation QC model (H7)</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2026-08-24</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In- and out-of-distribution conformal results; QC model not yet trained</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Heavier augmentation</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2026-08-31</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External accuracy gap (H4)</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Second seed</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2026-09-18</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All seed-42 results</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Error-budget protocol</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2026-09-18</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Component results; no pipeline-level number</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Local recalibration, conformal amendment 1 (H6)</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2026-09-26</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Frozen-threshold shift results, including each cohort's R</w:t>
            </w:r>
            <w:r>
              <w:rPr>
                <w:sz w:val="16"/>
                <w:szCs w:val="16"/>
                <w:vertAlign w:val="subscript"/>
              </w:rPr>
              <w:t>min</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Real-DICOM protocol (H9)</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2026-09-26</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No DICOM study downloaded</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Cross-fitted fine-tuning, SSA and PED</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2026-09-26</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 xml:space="preserve">Registered; running at the time of writing</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Input-statistics OOD score (H8)</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2026-09-27</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Error budget, including the 11 SSA silent failures used in the switch-on rule</w:t>
            </w:r>
          </w:p>
        </w:tc>
      </w:tr>
      <w:tr>
        <w:trPr>
          <w:cantSplit w:val="true"/>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Flip test-time augmentation</w:t>
            </w:r>
          </w:p>
        </w:tc>
        <w:tc>
          <w:tcPr>
            <w:tcW w:w="95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2026-09-27</w:t>
            </w:r>
          </w:p>
        </w:tc>
        <w:tc>
          <w:tcPr>
            <w:tcW w:w="2190" w:type="dxa"/>
            <w:tcBorders>
              <w:top w:val="single" w:sz="4" w:space="0" w:color="999999"/>
              <w:left w:val="single" w:sz="4" w:space="0" w:color="999999"/>
              <w:bottom w:val="single" w:sz="4" w:space="0" w:color="999999"/>
              <w:right w:val="single" w:sz="4" w:space="0" w:color="999999"/>
            </w:tcBorders>
            <w:vAlign w:val="center"/>
          </w:tcPr>
          <w:p>
            <w:pPr>
              <w:pStyle w:val="Normal"/>
              <w:keepNext w:val="true"/>
              <w:spacing w:lineRule="auto" w:line="196"/>
              <w:jc w:val="left"/>
              <w:rPr/>
            </w:pPr>
            <w:r>
              <w:rPr>
                <w:sz w:val="16"/>
                <w:szCs w:val="16"/>
              </w:rPr>
              <w:t xml:space="preserve">Registered; scheduled</w:t>
            </w:r>
          </w:p>
        </w:tc>
      </w:tr>
    </w:tbl>
    <w:p>
      <w:pPr>
        <w:pStyle w:val="Normal"/>
        <w:spacing w:before="40" w:after="100"/>
        <w:jc w:val="both"/>
        <w:rPr/>
      </w:pPr>
      <w:r>
        <w:rPr>
          <w:i/>
          <w:iCs/>
          <w:sz w:val="14"/>
          <w:szCs w:val="14"/>
        </w:rPr>
        <w:t xml:space="preserve">Dates are commit dates in [14]. Protocols that belong to the same analysis family are listed separately when they were committed separately. TTA and cross-fitted fine-tuning are registered and were not complete at the time of writing.</w:t>
      </w:r>
    </w:p>
    <w:p>
      <w:pPr>
        <w:pStyle w:val="Normal"/>
        <w:keepNext w:val="true"/>
        <w:spacing w:before="220" w:after="90"/>
        <w:jc w:val="center"/>
        <w:rPr/>
      </w:pPr>
      <w:r>
        <w:rPr/>
        <w:t>ACKNOWLEDGMENT</w:t>
      </w:r>
    </w:p>
    <w:p>
      <w:pPr>
        <w:pStyle w:val="Normal"/>
        <w:ind w:firstLine="288"/>
        <w:jc w:val="both"/>
        <w:rPr/>
      </w:pPr>
      <w:r>
        <w:rPr>
          <w:highlight w:val="yellow"/>
        </w:rPr>
        <w:t xml:space="preserve">[Author to add: faculty guide, department and any funding.]</w:t>
      </w:r>
      <w:r>
        <w:rPr/>
        <w:t xml:space="preserve"> Software components were implemented with the assistance of large-language-model coding tools (Anthropic Claude, via Claude Code) under the author's specification and review, and such tools also assisted in drafting this manuscript. The research questions, pre-registrations, experimental decisions and the verification of every reported number are the author's responsibility. This study used only publicly available, de-identified data; no new human-subject data were collected.</w:t>
      </w:r>
    </w:p>
    <w:p>
      <w:pPr>
        <w:pStyle w:val="Normal"/>
        <w:keepNext w:val="true"/>
        <w:spacing w:before="220" w:after="80"/>
        <w:jc w:val="center"/>
        <w:rPr/>
      </w:pPr>
      <w:r>
        <w:rPr/>
        <w:t>REFERENCES</w:t>
      </w:r>
    </w:p>
    <w:p>
      <w:pPr>
        <w:pStyle w:val="Normal"/>
        <w:tabs>
          <w:tab w:val="clear" w:pos="720"/>
          <w:tab w:val="left" w:pos="400" w:leader="none"/>
        </w:tabs>
        <w:spacing w:before="0" w:after="20"/>
        <w:ind w:hanging="400" w:left="400"/>
        <w:jc w:val="both"/>
        <w:rPr/>
      </w:pPr>
      <w:r>
        <w:rPr>
          <w:sz w:val="16"/>
          <w:szCs w:val="16"/>
        </w:rPr>
        <w:t>[1]</w:t>
      </w:r>
      <w:r>
        <w:rPr/>
        <w:tab/>
      </w:r>
      <w:r>
        <w:rPr>
          <w:sz w:val="16"/>
          <w:szCs w:val="16"/>
        </w:rPr>
        <w:t xml:space="preserve">B. H. Menze </w:t>
      </w:r>
      <w:r>
        <w:rPr>
          <w:i/>
          <w:iCs/>
          <w:sz w:val="16"/>
          <w:szCs w:val="16"/>
        </w:rPr>
        <w:t>et al.</w:t>
      </w:r>
      <w:r>
        <w:rPr>
          <w:sz w:val="16"/>
          <w:szCs w:val="16"/>
        </w:rPr>
        <w:t xml:space="preserve">, "The multimodal brain tumor image segmentation benchmark (BRATS)," </w:t>
      </w:r>
      <w:r>
        <w:rPr>
          <w:i/>
          <w:iCs/>
          <w:sz w:val="16"/>
          <w:szCs w:val="16"/>
        </w:rPr>
        <w:t>IEEE Trans. Med. Imag.</w:t>
      </w:r>
      <w:r>
        <w:rPr>
          <w:sz w:val="16"/>
          <w:szCs w:val="16"/>
        </w:rPr>
        <w:t>, vol. 34, no. 10, pp. 1993–2024, Oct. 2015.</w:t>
      </w:r>
    </w:p>
    <w:p>
      <w:pPr>
        <w:pStyle w:val="Normal"/>
        <w:tabs>
          <w:tab w:val="clear" w:pos="720"/>
          <w:tab w:val="left" w:pos="400" w:leader="none"/>
        </w:tabs>
        <w:spacing w:before="0" w:after="20"/>
        <w:ind w:hanging="400" w:left="400"/>
        <w:jc w:val="both"/>
        <w:rPr/>
      </w:pPr>
      <w:r>
        <w:rPr>
          <w:sz w:val="16"/>
          <w:szCs w:val="16"/>
        </w:rPr>
        <w:t>[2]</w:t>
      </w:r>
      <w:r>
        <w:rPr/>
        <w:tab/>
      </w:r>
      <w:r>
        <w:rPr>
          <w:sz w:val="16"/>
          <w:szCs w:val="16"/>
        </w:rPr>
        <w:t xml:space="preserve">U. Baid </w:t>
      </w:r>
      <w:r>
        <w:rPr>
          <w:i/>
          <w:iCs/>
          <w:sz w:val="16"/>
          <w:szCs w:val="16"/>
        </w:rPr>
        <w:t>et al.</w:t>
      </w:r>
      <w:r>
        <w:rPr>
          <w:sz w:val="16"/>
          <w:szCs w:val="16"/>
        </w:rPr>
        <w:t>, "The RSNA-ASNR-MICCAI BraTS 2021 benchmark on brain tumor segmentation and radiogenomic classification," arXiv:2107.02314, 2021.</w:t>
      </w:r>
    </w:p>
    <w:p>
      <w:pPr>
        <w:pStyle w:val="Normal"/>
        <w:tabs>
          <w:tab w:val="clear" w:pos="720"/>
          <w:tab w:val="left" w:pos="400" w:leader="none"/>
        </w:tabs>
        <w:spacing w:before="0" w:after="20"/>
        <w:ind w:hanging="400" w:left="400"/>
        <w:jc w:val="both"/>
        <w:rPr/>
      </w:pPr>
      <w:r>
        <w:rPr>
          <w:sz w:val="16"/>
          <w:szCs w:val="16"/>
        </w:rPr>
        <w:t>[3]</w:t>
      </w:r>
      <w:r>
        <w:rPr/>
        <w:tab/>
      </w:r>
      <w:r>
        <w:rPr>
          <w:sz w:val="16"/>
          <w:szCs w:val="16"/>
        </w:rPr>
        <w:t xml:space="preserve">F. Isensee, P. F. Jaeger, S. A. A. Kohl, J. Petersen, and K. H. Maier-Hein, "nnU-Net: A self-configuring method for deep learning-based biomedical image segmentation," </w:t>
      </w:r>
      <w:r>
        <w:rPr>
          <w:i/>
          <w:iCs/>
          <w:sz w:val="16"/>
          <w:szCs w:val="16"/>
        </w:rPr>
        <w:t>Nat. Methods</w:t>
      </w:r>
      <w:r>
        <w:rPr>
          <w:sz w:val="16"/>
          <w:szCs w:val="16"/>
        </w:rPr>
        <w:t>, vol. 18, pp. 203–211, 2021.</w:t>
      </w:r>
    </w:p>
    <w:p>
      <w:pPr>
        <w:pStyle w:val="Normal"/>
        <w:tabs>
          <w:tab w:val="clear" w:pos="720"/>
          <w:tab w:val="left" w:pos="400" w:leader="none"/>
        </w:tabs>
        <w:spacing w:before="0" w:after="20"/>
        <w:ind w:hanging="400" w:left="400"/>
        <w:jc w:val="both"/>
        <w:rPr/>
      </w:pPr>
      <w:r>
        <w:rPr>
          <w:sz w:val="16"/>
          <w:szCs w:val="16"/>
        </w:rPr>
        <w:t>[4]</w:t>
      </w:r>
      <w:r>
        <w:rPr/>
        <w:tab/>
      </w:r>
      <w:r>
        <w:rPr>
          <w:sz w:val="16"/>
          <w:szCs w:val="16"/>
        </w:rPr>
        <w:t xml:space="preserve">A. Hatamizadeh, V. Nath, Y. Tang, D. Yang, H. R. Roth, and D. Xu, "Swin UNETR: Swin transformers for semantic segmentation of brain tumors in MRI images," in </w:t>
      </w:r>
      <w:r>
        <w:rPr>
          <w:i/>
          <w:iCs/>
          <w:sz w:val="16"/>
          <w:szCs w:val="16"/>
        </w:rPr>
        <w:t>Proc. MICCAI BrainLes Workshop</w:t>
      </w:r>
      <w:r>
        <w:rPr>
          <w:sz w:val="16"/>
          <w:szCs w:val="16"/>
        </w:rPr>
        <w:t>, LNCS 12962, 2022, pp. 272–284.</w:t>
      </w:r>
    </w:p>
    <w:p>
      <w:pPr>
        <w:pStyle w:val="Normal"/>
        <w:tabs>
          <w:tab w:val="clear" w:pos="720"/>
          <w:tab w:val="left" w:pos="400" w:leader="none"/>
        </w:tabs>
        <w:spacing w:before="0" w:after="20"/>
        <w:ind w:hanging="400" w:left="400"/>
        <w:jc w:val="both"/>
        <w:rPr/>
      </w:pPr>
      <w:r>
        <w:rPr>
          <w:sz w:val="16"/>
          <w:szCs w:val="16"/>
        </w:rPr>
        <w:t>[5]</w:t>
      </w:r>
      <w:r>
        <w:rPr/>
        <w:tab/>
      </w:r>
      <w:r>
        <w:rPr>
          <w:sz w:val="16"/>
          <w:szCs w:val="16"/>
        </w:rPr>
        <w:t xml:space="preserve">J. Chen </w:t>
      </w:r>
      <w:r>
        <w:rPr>
          <w:i/>
          <w:iCs/>
          <w:sz w:val="16"/>
          <w:szCs w:val="16"/>
        </w:rPr>
        <w:t>et al.</w:t>
      </w:r>
      <w:r>
        <w:rPr>
          <w:sz w:val="16"/>
          <w:szCs w:val="16"/>
        </w:rPr>
        <w:t>, "TransUNet: Transformers make strong encoders for medical image segmentation," arXiv:2102.04306, 2021.</w:t>
      </w:r>
    </w:p>
    <w:p>
      <w:pPr>
        <w:pStyle w:val="Normal"/>
        <w:tabs>
          <w:tab w:val="clear" w:pos="720"/>
          <w:tab w:val="left" w:pos="400" w:leader="none"/>
        </w:tabs>
        <w:spacing w:before="0" w:after="20"/>
        <w:ind w:hanging="400" w:left="400"/>
        <w:jc w:val="both"/>
        <w:rPr/>
      </w:pPr>
      <w:r>
        <w:rPr>
          <w:sz w:val="16"/>
          <w:szCs w:val="16"/>
        </w:rPr>
        <w:t>[6]</w:t>
      </w:r>
      <w:r>
        <w:rPr/>
        <w:tab/>
      </w:r>
      <w:r>
        <w:rPr>
          <w:sz w:val="16"/>
          <w:szCs w:val="16"/>
        </w:rPr>
        <w:t xml:space="preserve">Y. Zhang, H. Liu, and Q. Hu, "TransFuse: Fusing transformers and CNNs for medical image segmentation," in </w:t>
      </w:r>
      <w:r>
        <w:rPr>
          <w:i/>
          <w:iCs/>
          <w:sz w:val="16"/>
          <w:szCs w:val="16"/>
        </w:rPr>
        <w:t>Proc. MICCAI</w:t>
      </w:r>
      <w:r>
        <w:rPr>
          <w:sz w:val="16"/>
          <w:szCs w:val="16"/>
        </w:rPr>
        <w:t>, LNCS 12901, 2021, pp. 14–24.</w:t>
      </w:r>
    </w:p>
    <w:p>
      <w:pPr>
        <w:pStyle w:val="Normal"/>
        <w:tabs>
          <w:tab w:val="clear" w:pos="720"/>
          <w:tab w:val="left" w:pos="400" w:leader="none"/>
        </w:tabs>
        <w:spacing w:before="0" w:after="20"/>
        <w:ind w:hanging="400" w:left="400"/>
        <w:jc w:val="both"/>
        <w:rPr/>
      </w:pPr>
      <w:r>
        <w:rPr>
          <w:sz w:val="16"/>
          <w:szCs w:val="16"/>
        </w:rPr>
        <w:t>[7]</w:t>
      </w:r>
      <w:r>
        <w:rPr/>
        <w:tab/>
      </w:r>
      <w:r>
        <w:rPr>
          <w:sz w:val="16"/>
          <w:szCs w:val="16"/>
        </w:rPr>
        <w:t xml:space="preserve">A. Hatamizadeh </w:t>
      </w:r>
      <w:r>
        <w:rPr>
          <w:i/>
          <w:iCs/>
          <w:sz w:val="16"/>
          <w:szCs w:val="16"/>
        </w:rPr>
        <w:t>et al.</w:t>
      </w:r>
      <w:r>
        <w:rPr>
          <w:sz w:val="16"/>
          <w:szCs w:val="16"/>
        </w:rPr>
        <w:t xml:space="preserve">, "UNETR: Transformers for 3D medical image segmentation," in </w:t>
      </w:r>
      <w:r>
        <w:rPr>
          <w:i/>
          <w:iCs/>
          <w:sz w:val="16"/>
          <w:szCs w:val="16"/>
        </w:rPr>
        <w:t>Proc. IEEE/CVF WACV</w:t>
      </w:r>
      <w:r>
        <w:rPr>
          <w:sz w:val="16"/>
          <w:szCs w:val="16"/>
        </w:rPr>
        <w:t>, 2022, pp. 574–584.</w:t>
      </w:r>
    </w:p>
    <w:p>
      <w:pPr>
        <w:pStyle w:val="Normal"/>
        <w:tabs>
          <w:tab w:val="clear" w:pos="720"/>
          <w:tab w:val="left" w:pos="400" w:leader="none"/>
        </w:tabs>
        <w:spacing w:before="0" w:after="20"/>
        <w:ind w:hanging="400" w:left="400"/>
        <w:jc w:val="both"/>
        <w:rPr/>
      </w:pPr>
      <w:r>
        <w:rPr>
          <w:sz w:val="16"/>
          <w:szCs w:val="16"/>
        </w:rPr>
        <w:t>[8]</w:t>
      </w:r>
      <w:r>
        <w:rPr/>
        <w:tab/>
      </w:r>
      <w:r>
        <w:rPr>
          <w:sz w:val="16"/>
          <w:szCs w:val="16"/>
        </w:rPr>
        <w:t xml:space="preserve">J. R. Zech, M. A. Badgeley, M. Liu, A. B. Costa, J. J. Titano, and E. K. Oermann, "Variable generalization performance of a deep learning model to detect pneumonia in chest radiographs: A cross-sectional study," </w:t>
      </w:r>
      <w:r>
        <w:rPr>
          <w:i/>
          <w:iCs/>
          <w:sz w:val="16"/>
          <w:szCs w:val="16"/>
        </w:rPr>
        <w:t>PLoS Med.</w:t>
      </w:r>
      <w:r>
        <w:rPr>
          <w:sz w:val="16"/>
          <w:szCs w:val="16"/>
        </w:rPr>
        <w:t>, vol. 15, no. 11, art. e1002683, 2018.</w:t>
      </w:r>
    </w:p>
    <w:p>
      <w:pPr>
        <w:pStyle w:val="Normal"/>
        <w:tabs>
          <w:tab w:val="clear" w:pos="720"/>
          <w:tab w:val="left" w:pos="400" w:leader="none"/>
        </w:tabs>
        <w:spacing w:before="0" w:after="20"/>
        <w:ind w:hanging="400" w:left="400"/>
        <w:jc w:val="both"/>
        <w:rPr/>
      </w:pPr>
      <w:r>
        <w:rPr>
          <w:sz w:val="16"/>
          <w:szCs w:val="16"/>
        </w:rPr>
        <w:t>[9]</w:t>
      </w:r>
      <w:r>
        <w:rPr/>
        <w:tab/>
      </w:r>
      <w:r>
        <w:rPr>
          <w:sz w:val="16"/>
          <w:szCs w:val="16"/>
        </w:rPr>
        <w:t xml:space="preserve">A. N. Angelopoulos, S. Bates, A. Fisch, L. Lei, and T. Schuster, "Conformal risk control," in </w:t>
      </w:r>
      <w:r>
        <w:rPr>
          <w:i/>
          <w:iCs/>
          <w:sz w:val="16"/>
          <w:szCs w:val="16"/>
        </w:rPr>
        <w:t>Proc. ICLR</w:t>
      </w:r>
      <w:r>
        <w:rPr>
          <w:sz w:val="16"/>
          <w:szCs w:val="16"/>
        </w:rPr>
        <w:t>, 2024.</w:t>
      </w:r>
    </w:p>
    <w:p>
      <w:pPr>
        <w:pStyle w:val="Normal"/>
        <w:tabs>
          <w:tab w:val="clear" w:pos="720"/>
          <w:tab w:val="left" w:pos="400" w:leader="none"/>
        </w:tabs>
        <w:spacing w:before="0" w:after="20"/>
        <w:ind w:hanging="400" w:left="400"/>
        <w:jc w:val="both"/>
        <w:rPr/>
      </w:pPr>
      <w:r>
        <w:rPr>
          <w:sz w:val="16"/>
          <w:szCs w:val="16"/>
        </w:rPr>
        <w:t>[10]</w:t>
      </w:r>
      <w:r>
        <w:rPr/>
        <w:tab/>
      </w:r>
      <w:r>
        <w:rPr>
          <w:sz w:val="16"/>
          <w:szCs w:val="16"/>
        </w:rPr>
        <w:t xml:space="preserve">R. Robinson </w:t>
      </w:r>
      <w:r>
        <w:rPr>
          <w:i/>
          <w:iCs/>
          <w:sz w:val="16"/>
          <w:szCs w:val="16"/>
        </w:rPr>
        <w:t>et al.</w:t>
      </w:r>
      <w:r>
        <w:rPr>
          <w:sz w:val="16"/>
          <w:szCs w:val="16"/>
        </w:rPr>
        <w:t xml:space="preserve">, "Automated quality control in image segmentation: Application to the UK Biobank cardiovascular magnetic resonance imaging study," </w:t>
      </w:r>
      <w:r>
        <w:rPr>
          <w:i/>
          <w:iCs/>
          <w:sz w:val="16"/>
          <w:szCs w:val="16"/>
        </w:rPr>
        <w:t>J. Cardiovasc. Magn. Reson.</w:t>
      </w:r>
      <w:r>
        <w:rPr>
          <w:sz w:val="16"/>
          <w:szCs w:val="16"/>
        </w:rPr>
        <w:t>, vol. 21, art. 18, 2019.</w:t>
      </w:r>
    </w:p>
    <w:p>
      <w:pPr>
        <w:pStyle w:val="Normal"/>
        <w:tabs>
          <w:tab w:val="clear" w:pos="720"/>
          <w:tab w:val="left" w:pos="400" w:leader="none"/>
        </w:tabs>
        <w:spacing w:before="0" w:after="20"/>
        <w:ind w:hanging="400" w:left="400"/>
        <w:jc w:val="both"/>
        <w:rPr/>
      </w:pPr>
      <w:r>
        <w:rPr>
          <w:sz w:val="16"/>
          <w:szCs w:val="16"/>
        </w:rPr>
        <w:t>[11]</w:t>
      </w:r>
      <w:r>
        <w:rPr/>
        <w:tab/>
      </w:r>
      <w:r>
        <w:rPr>
          <w:sz w:val="16"/>
          <w:szCs w:val="16"/>
        </w:rPr>
        <w:t xml:space="preserve">M. Adewole </w:t>
      </w:r>
      <w:r>
        <w:rPr>
          <w:i/>
          <w:iCs/>
          <w:sz w:val="16"/>
          <w:szCs w:val="16"/>
        </w:rPr>
        <w:t>et al.</w:t>
      </w:r>
      <w:r>
        <w:rPr>
          <w:sz w:val="16"/>
          <w:szCs w:val="16"/>
        </w:rPr>
        <w:t>, "The Brain Tumor Segmentation (BraTS) challenge 2023: Glioma segmentation in Sub-Saharan Africa patient population (BraTS-Africa)," arXiv:2305.19369, 2023.</w:t>
      </w:r>
    </w:p>
    <w:p>
      <w:pPr>
        <w:pStyle w:val="Normal"/>
        <w:tabs>
          <w:tab w:val="clear" w:pos="720"/>
          <w:tab w:val="left" w:pos="400" w:leader="none"/>
        </w:tabs>
        <w:spacing w:before="0" w:after="20"/>
        <w:ind w:hanging="400" w:left="400"/>
        <w:jc w:val="both"/>
        <w:rPr/>
      </w:pPr>
      <w:r>
        <w:rPr>
          <w:sz w:val="16"/>
          <w:szCs w:val="16"/>
        </w:rPr>
        <w:t>[12]</w:t>
      </w:r>
      <w:r>
        <w:rPr/>
        <w:tab/>
      </w:r>
      <w:r>
        <w:rPr>
          <w:sz w:val="16"/>
          <w:szCs w:val="16"/>
        </w:rPr>
        <w:t xml:space="preserve">A. F. Kazerooni </w:t>
      </w:r>
      <w:r>
        <w:rPr>
          <w:i/>
          <w:iCs/>
          <w:sz w:val="16"/>
          <w:szCs w:val="16"/>
        </w:rPr>
        <w:t>et al.</w:t>
      </w:r>
      <w:r>
        <w:rPr>
          <w:sz w:val="16"/>
          <w:szCs w:val="16"/>
        </w:rPr>
        <w:t>, "The Brain Tumor Segmentation (BraTS) challenge 2023: Focus on pediatrics (CBTN-CONNECT-DIPGR-ASNR-MICCAI BraTS-PEDs)," arXiv:2305.17033, 2023.</w:t>
      </w:r>
    </w:p>
    <w:p>
      <w:pPr>
        <w:pStyle w:val="Normal"/>
        <w:tabs>
          <w:tab w:val="clear" w:pos="720"/>
          <w:tab w:val="left" w:pos="400" w:leader="none"/>
        </w:tabs>
        <w:spacing w:before="0" w:after="20"/>
        <w:ind w:hanging="400" w:left="400"/>
        <w:jc w:val="both"/>
        <w:rPr/>
      </w:pPr>
      <w:r>
        <w:rPr>
          <w:sz w:val="16"/>
          <w:szCs w:val="16"/>
        </w:rPr>
        <w:t>[13]</w:t>
      </w:r>
      <w:r>
        <w:rPr/>
        <w:tab/>
      </w:r>
      <w:r>
        <w:rPr>
          <w:sz w:val="16"/>
          <w:szCs w:val="16"/>
        </w:rPr>
        <w:t xml:space="preserve">B. A. Nosek, C. R. Ebersole, A. C. DeHaven, and D. T. Mellor, "The preregistration revolution," </w:t>
      </w:r>
      <w:r>
        <w:rPr>
          <w:i/>
          <w:iCs/>
          <w:sz w:val="16"/>
          <w:szCs w:val="16"/>
        </w:rPr>
        <w:t>Proc. Natl. Acad. Sci. USA</w:t>
      </w:r>
      <w:r>
        <w:rPr>
          <w:sz w:val="16"/>
          <w:szCs w:val="16"/>
        </w:rPr>
        <w:t>, vol. 115, no. 11, pp. 2600–2606, 2018.</w:t>
      </w:r>
    </w:p>
    <w:p>
      <w:pPr>
        <w:pStyle w:val="Normal"/>
        <w:tabs>
          <w:tab w:val="clear" w:pos="720"/>
          <w:tab w:val="left" w:pos="400" w:leader="none"/>
        </w:tabs>
        <w:spacing w:before="0" w:after="20"/>
        <w:ind w:hanging="400" w:left="400"/>
        <w:jc w:val="both"/>
        <w:rPr/>
      </w:pPr>
      <w:r>
        <w:rPr>
          <w:sz w:val="16"/>
          <w:szCs w:val="16"/>
        </w:rPr>
        <w:t>[14]</w:t>
      </w:r>
      <w:r>
        <w:rPr/>
        <w:tab/>
      </w:r>
      <w:r>
        <w:rPr>
          <w:sz w:val="16"/>
          <w:szCs w:val="16"/>
        </w:rPr>
        <w:t>A. Yadav, "NeuroVision-X: Source code, configuration, pre-registrations and experiment log," GitHub repository, 2026. [Online]. Available: https://github.com/AmishhYadav/NeuroVision-X</w:t>
      </w:r>
    </w:p>
    <w:p>
      <w:pPr>
        <w:pStyle w:val="Normal"/>
        <w:tabs>
          <w:tab w:val="clear" w:pos="720"/>
          <w:tab w:val="left" w:pos="400" w:leader="none"/>
        </w:tabs>
        <w:spacing w:before="0" w:after="20"/>
        <w:ind w:hanging="400" w:left="400"/>
        <w:jc w:val="both"/>
        <w:rPr/>
      </w:pPr>
      <w:r>
        <w:rPr>
          <w:sz w:val="16"/>
          <w:szCs w:val="16"/>
        </w:rPr>
        <w:t>[15]</w:t>
      </w:r>
      <w:r>
        <w:rPr/>
        <w:tab/>
      </w:r>
      <w:r>
        <w:rPr>
          <w:sz w:val="16"/>
          <w:szCs w:val="16"/>
        </w:rPr>
        <w:t xml:space="preserve">S. Bakas </w:t>
      </w:r>
      <w:r>
        <w:rPr>
          <w:i/>
          <w:iCs/>
          <w:sz w:val="16"/>
          <w:szCs w:val="16"/>
        </w:rPr>
        <w:t>et al.</w:t>
      </w:r>
      <w:r>
        <w:rPr>
          <w:sz w:val="16"/>
          <w:szCs w:val="16"/>
        </w:rPr>
        <w:t xml:space="preserve">, "Advancing The Cancer Genome Atlas glioma MRI collections with expert segmentation labels and radiomic features," </w:t>
      </w:r>
      <w:r>
        <w:rPr>
          <w:i/>
          <w:iCs/>
          <w:sz w:val="16"/>
          <w:szCs w:val="16"/>
        </w:rPr>
        <w:t>Sci. Data</w:t>
      </w:r>
      <w:r>
        <w:rPr>
          <w:sz w:val="16"/>
          <w:szCs w:val="16"/>
        </w:rPr>
        <w:t>, vol. 4, art. 170117, 2017.</w:t>
      </w:r>
    </w:p>
    <w:p>
      <w:pPr>
        <w:pStyle w:val="Normal"/>
        <w:tabs>
          <w:tab w:val="clear" w:pos="720"/>
          <w:tab w:val="left" w:pos="400" w:leader="none"/>
        </w:tabs>
        <w:spacing w:before="0" w:after="20"/>
        <w:ind w:hanging="400" w:left="400"/>
        <w:jc w:val="both"/>
        <w:rPr/>
      </w:pPr>
      <w:r>
        <w:rPr>
          <w:sz w:val="16"/>
          <w:szCs w:val="16"/>
        </w:rPr>
        <w:t>[16]</w:t>
      </w:r>
      <w:r>
        <w:rPr/>
        <w:tab/>
      </w:r>
      <w:r>
        <w:rPr>
          <w:sz w:val="16"/>
          <w:szCs w:val="16"/>
        </w:rPr>
        <w:t xml:space="preserve">O. Ronneberger, P. Fischer, and T. Brox, "U-Net: Convolutional networks for biomedical image segmentation," in </w:t>
      </w:r>
      <w:r>
        <w:rPr>
          <w:i/>
          <w:iCs/>
          <w:sz w:val="16"/>
          <w:szCs w:val="16"/>
        </w:rPr>
        <w:t>Proc. MICCAI</w:t>
      </w:r>
      <w:r>
        <w:rPr>
          <w:sz w:val="16"/>
          <w:szCs w:val="16"/>
        </w:rPr>
        <w:t>, LNCS 9351, 2015, pp. 234–241.</w:t>
      </w:r>
    </w:p>
    <w:p>
      <w:pPr>
        <w:pStyle w:val="Normal"/>
        <w:tabs>
          <w:tab w:val="clear" w:pos="720"/>
          <w:tab w:val="left" w:pos="400" w:leader="none"/>
        </w:tabs>
        <w:spacing w:before="0" w:after="20"/>
        <w:ind w:hanging="400" w:left="400"/>
        <w:jc w:val="both"/>
        <w:rPr/>
      </w:pPr>
      <w:r>
        <w:rPr>
          <w:sz w:val="16"/>
          <w:szCs w:val="16"/>
        </w:rPr>
        <w:t>[17]</w:t>
      </w:r>
      <w:r>
        <w:rPr/>
        <w:tab/>
      </w:r>
      <w:r>
        <w:rPr>
          <w:sz w:val="16"/>
          <w:szCs w:val="16"/>
        </w:rPr>
        <w:t xml:space="preserve">Ö. Çiçek, A. Abdulkadir, S. S. Lienkamp, T. Brox, and O. Ronneberger, "3D U-Net: Learning dense volumetric segmentation from sparse annotation," in </w:t>
      </w:r>
      <w:r>
        <w:rPr>
          <w:i/>
          <w:iCs/>
          <w:sz w:val="16"/>
          <w:szCs w:val="16"/>
        </w:rPr>
        <w:t>Proc. MICCAI</w:t>
      </w:r>
      <w:r>
        <w:rPr>
          <w:sz w:val="16"/>
          <w:szCs w:val="16"/>
        </w:rPr>
        <w:t>, LNCS 9901, 2016, pp. 424–432.</w:t>
      </w:r>
    </w:p>
    <w:p>
      <w:pPr>
        <w:pStyle w:val="Normal"/>
        <w:tabs>
          <w:tab w:val="clear" w:pos="720"/>
          <w:tab w:val="left" w:pos="400" w:leader="none"/>
        </w:tabs>
        <w:spacing w:before="0" w:after="20"/>
        <w:ind w:hanging="400" w:left="400"/>
        <w:jc w:val="both"/>
        <w:rPr/>
      </w:pPr>
      <w:r>
        <w:rPr>
          <w:sz w:val="16"/>
          <w:szCs w:val="16"/>
        </w:rPr>
        <w:t>[18]</w:t>
        <w:tab/>
        <w:t xml:space="preserve">F. Isensee, T. Wald, C. Ulrich, M. Baumgartner, S. Roy, K. Maier-Hein, and P. F. Jäger, "nnU-Net revisited: A call for rigorous validation in 3D medical image segmentation," in </w:t>
      </w:r>
      <w:r>
        <w:rPr>
          <w:i/>
          <w:iCs/>
          <w:sz w:val="16"/>
          <w:szCs w:val="16"/>
        </w:rPr>
        <w:t>Proc. MICCAI</w:t>
      </w:r>
      <w:r>
        <w:rPr>
          <w:sz w:val="16"/>
          <w:szCs w:val="16"/>
        </w:rPr>
        <w:t>, LNCS 15009, 2024, pp. 488–498.</w:t>
      </w:r>
    </w:p>
    <w:p>
      <w:pPr>
        <w:pStyle w:val="Normal"/>
        <w:tabs>
          <w:tab w:val="clear" w:pos="720"/>
          <w:tab w:val="left" w:pos="400" w:leader="none"/>
        </w:tabs>
        <w:spacing w:before="0" w:after="20"/>
        <w:ind w:hanging="400" w:left="400"/>
        <w:jc w:val="both"/>
        <w:rPr/>
      </w:pPr>
      <w:r>
        <w:rPr>
          <w:sz w:val="16"/>
          <w:szCs w:val="16"/>
        </w:rPr>
        <w:t>[19]</w:t>
      </w:r>
      <w:r>
        <w:rPr/>
        <w:tab/>
      </w:r>
      <w:r>
        <w:rPr>
          <w:sz w:val="16"/>
          <w:szCs w:val="16"/>
        </w:rPr>
        <w:t xml:space="preserve">Z. Liu </w:t>
      </w:r>
      <w:r>
        <w:rPr>
          <w:i/>
          <w:iCs/>
          <w:sz w:val="16"/>
          <w:szCs w:val="16"/>
        </w:rPr>
        <w:t>et al.</w:t>
      </w:r>
      <w:r>
        <w:rPr>
          <w:sz w:val="16"/>
          <w:szCs w:val="16"/>
        </w:rPr>
        <w:t xml:space="preserve">, "Swin Transformer: Hierarchical vision transformer using shifted windows," in </w:t>
      </w:r>
      <w:r>
        <w:rPr>
          <w:i/>
          <w:iCs/>
          <w:sz w:val="16"/>
          <w:szCs w:val="16"/>
        </w:rPr>
        <w:t>Proc. IEEE/CVF ICCV</w:t>
      </w:r>
      <w:r>
        <w:rPr>
          <w:sz w:val="16"/>
          <w:szCs w:val="16"/>
        </w:rPr>
        <w:t>, 2021, pp. 10012–10022.</w:t>
      </w:r>
    </w:p>
    <w:p>
      <w:pPr>
        <w:pStyle w:val="Normal"/>
        <w:tabs>
          <w:tab w:val="clear" w:pos="720"/>
          <w:tab w:val="left" w:pos="400" w:leader="none"/>
        </w:tabs>
        <w:spacing w:before="0" w:after="20"/>
        <w:ind w:hanging="400" w:left="400"/>
        <w:jc w:val="both"/>
        <w:rPr/>
      </w:pPr>
      <w:r>
        <w:rPr>
          <w:sz w:val="16"/>
          <w:szCs w:val="16"/>
        </w:rPr>
        <w:t>[20]</w:t>
      </w:r>
      <w:r>
        <w:rPr/>
        <w:tab/>
      </w:r>
      <w:r>
        <w:rPr>
          <w:sz w:val="16"/>
          <w:szCs w:val="16"/>
        </w:rPr>
        <w:t xml:space="preserve">Y. Gal and Z. Ghahramani, "Dropout as a Bayesian approximation: Representing model uncertainty in deep learning," in </w:t>
      </w:r>
      <w:r>
        <w:rPr>
          <w:i/>
          <w:iCs/>
          <w:sz w:val="16"/>
          <w:szCs w:val="16"/>
        </w:rPr>
        <w:t>Proc. ICML</w:t>
      </w:r>
      <w:r>
        <w:rPr>
          <w:sz w:val="16"/>
          <w:szCs w:val="16"/>
        </w:rPr>
        <w:t>, 2016, pp. 1050–1059.</w:t>
      </w:r>
    </w:p>
    <w:p>
      <w:pPr>
        <w:pStyle w:val="Normal"/>
        <w:tabs>
          <w:tab w:val="clear" w:pos="720"/>
          <w:tab w:val="left" w:pos="400" w:leader="none"/>
        </w:tabs>
        <w:spacing w:before="0" w:after="20"/>
        <w:ind w:hanging="400" w:left="400"/>
        <w:jc w:val="both"/>
        <w:rPr/>
      </w:pPr>
      <w:r>
        <w:rPr>
          <w:sz w:val="16"/>
          <w:szCs w:val="16"/>
        </w:rPr>
        <w:t>[21]</w:t>
      </w:r>
      <w:r>
        <w:rPr/>
        <w:tab/>
      </w:r>
      <w:r>
        <w:rPr>
          <w:sz w:val="16"/>
          <w:szCs w:val="16"/>
        </w:rPr>
        <w:t xml:space="preserve">A. Kendall and Y. Gal, "What uncertainties do we need in Bayesian deep learning for computer vision?" in </w:t>
      </w:r>
      <w:r>
        <w:rPr>
          <w:i/>
          <w:iCs/>
          <w:sz w:val="16"/>
          <w:szCs w:val="16"/>
        </w:rPr>
        <w:t>Proc. NeurIPS</w:t>
      </w:r>
      <w:r>
        <w:rPr>
          <w:sz w:val="16"/>
          <w:szCs w:val="16"/>
        </w:rPr>
        <w:t>, 2017, pp. 5574–5584.</w:t>
      </w:r>
    </w:p>
    <w:p>
      <w:pPr>
        <w:pStyle w:val="Normal"/>
        <w:tabs>
          <w:tab w:val="clear" w:pos="720"/>
          <w:tab w:val="left" w:pos="400" w:leader="none"/>
        </w:tabs>
        <w:spacing w:before="0" w:after="20"/>
        <w:ind w:hanging="400" w:left="400"/>
        <w:jc w:val="both"/>
        <w:rPr/>
      </w:pPr>
      <w:r>
        <w:rPr>
          <w:sz w:val="16"/>
          <w:szCs w:val="16"/>
        </w:rPr>
        <w:t>[22]</w:t>
      </w:r>
      <w:r>
        <w:rPr/>
        <w:tab/>
      </w:r>
      <w:r>
        <w:rPr>
          <w:sz w:val="16"/>
          <w:szCs w:val="16"/>
        </w:rPr>
        <w:t xml:space="preserve">C. Guo, G. Pleiss, Y. Sun, and K. Q. Weinberger, "On calibration of modern neural networks," in </w:t>
      </w:r>
      <w:r>
        <w:rPr>
          <w:i/>
          <w:iCs/>
          <w:sz w:val="16"/>
          <w:szCs w:val="16"/>
        </w:rPr>
        <w:t>Proc. ICML</w:t>
      </w:r>
      <w:r>
        <w:rPr>
          <w:sz w:val="16"/>
          <w:szCs w:val="16"/>
        </w:rPr>
        <w:t>, 2017, pp. 1321–1330.</w:t>
      </w:r>
    </w:p>
    <w:p>
      <w:pPr>
        <w:pStyle w:val="Normal"/>
        <w:tabs>
          <w:tab w:val="clear" w:pos="720"/>
          <w:tab w:val="left" w:pos="400" w:leader="none"/>
        </w:tabs>
        <w:spacing w:before="0" w:after="20"/>
        <w:ind w:hanging="400" w:left="400"/>
        <w:jc w:val="both"/>
        <w:rPr/>
      </w:pPr>
      <w:r>
        <w:rPr>
          <w:sz w:val="16"/>
          <w:szCs w:val="16"/>
        </w:rPr>
        <w:t>[23]</w:t>
      </w:r>
      <w:r>
        <w:rPr/>
        <w:tab/>
      </w:r>
      <w:r>
        <w:rPr>
          <w:sz w:val="16"/>
          <w:szCs w:val="16"/>
        </w:rPr>
        <w:t xml:space="preserve">A. Mehrtash, W. M. Wells, C. M. Tempany, P. Abolmaesumi, and T. Kapur, "Confidence calibration and predictive uncertainty estimation for deep medical image segmentation," </w:t>
      </w:r>
      <w:r>
        <w:rPr>
          <w:i/>
          <w:iCs/>
          <w:sz w:val="16"/>
          <w:szCs w:val="16"/>
        </w:rPr>
        <w:t>IEEE Trans. Med. Imag.</w:t>
      </w:r>
      <w:r>
        <w:rPr>
          <w:sz w:val="16"/>
          <w:szCs w:val="16"/>
        </w:rPr>
        <w:t>, vol. 39, no. 12, pp. 3868–3878, Dec. 2020.</w:t>
      </w:r>
    </w:p>
    <w:p>
      <w:pPr>
        <w:pStyle w:val="Normal"/>
        <w:tabs>
          <w:tab w:val="clear" w:pos="720"/>
          <w:tab w:val="left" w:pos="400" w:leader="none"/>
        </w:tabs>
        <w:spacing w:before="0" w:after="20"/>
        <w:ind w:hanging="400" w:left="400"/>
        <w:jc w:val="both"/>
        <w:rPr/>
      </w:pPr>
      <w:r>
        <w:rPr>
          <w:sz w:val="16"/>
          <w:szCs w:val="16"/>
        </w:rPr>
        <w:t>[24]</w:t>
      </w:r>
      <w:r>
        <w:rPr/>
        <w:tab/>
      </w:r>
      <w:r>
        <w:rPr>
          <w:sz w:val="16"/>
          <w:szCs w:val="16"/>
        </w:rPr>
        <w:t xml:space="preserve">A. Jungo and M. Reyes, "Assessing reliability and challenges of uncertainty estimations for medical image segmentation," in </w:t>
      </w:r>
      <w:r>
        <w:rPr>
          <w:i/>
          <w:iCs/>
          <w:sz w:val="16"/>
          <w:szCs w:val="16"/>
        </w:rPr>
        <w:t>Proc. MICCAI</w:t>
      </w:r>
      <w:r>
        <w:rPr>
          <w:sz w:val="16"/>
          <w:szCs w:val="16"/>
        </w:rPr>
        <w:t>, LNCS 11765, 2019, pp. 48–56.</w:t>
      </w:r>
    </w:p>
    <w:p>
      <w:pPr>
        <w:pStyle w:val="Normal"/>
        <w:tabs>
          <w:tab w:val="clear" w:pos="720"/>
          <w:tab w:val="left" w:pos="400" w:leader="none"/>
        </w:tabs>
        <w:spacing w:before="0" w:after="20"/>
        <w:ind w:hanging="400" w:left="400"/>
        <w:jc w:val="both"/>
        <w:rPr/>
      </w:pPr>
      <w:r>
        <w:rPr>
          <w:sz w:val="16"/>
          <w:szCs w:val="16"/>
        </w:rPr>
        <w:t>[25]</w:t>
      </w:r>
      <w:r>
        <w:rPr/>
        <w:tab/>
      </w:r>
      <w:r>
        <w:rPr>
          <w:sz w:val="16"/>
          <w:szCs w:val="16"/>
        </w:rPr>
        <w:t xml:space="preserve">R. Mehta </w:t>
      </w:r>
      <w:r>
        <w:rPr>
          <w:i/>
          <w:iCs/>
          <w:sz w:val="16"/>
          <w:szCs w:val="16"/>
        </w:rPr>
        <w:t>et al.</w:t>
      </w:r>
      <w:r>
        <w:rPr>
          <w:sz w:val="16"/>
          <w:szCs w:val="16"/>
        </w:rPr>
        <w:t xml:space="preserve">, "QU-BraTS: MICCAI BraTS 2020 challenge on quantifying uncertainty in brain tumor segmentation — Analysis of ranking scores and benchmarking results," </w:t>
      </w:r>
      <w:r>
        <w:rPr>
          <w:i/>
          <w:iCs/>
          <w:sz w:val="16"/>
          <w:szCs w:val="16"/>
        </w:rPr>
        <w:t>J. Mach. Learn. Biomed. Imag.</w:t>
      </w:r>
      <w:r>
        <w:rPr>
          <w:sz w:val="16"/>
          <w:szCs w:val="16"/>
        </w:rPr>
        <w:t>, vol. 1, 2022.</w:t>
      </w:r>
    </w:p>
    <w:p>
      <w:pPr>
        <w:pStyle w:val="Normal"/>
        <w:tabs>
          <w:tab w:val="clear" w:pos="720"/>
          <w:tab w:val="left" w:pos="400" w:leader="none"/>
        </w:tabs>
        <w:spacing w:before="0" w:after="20"/>
        <w:ind w:hanging="400" w:left="400"/>
        <w:jc w:val="both"/>
        <w:rPr/>
      </w:pPr>
      <w:r>
        <w:rPr>
          <w:sz w:val="16"/>
          <w:szCs w:val="16"/>
        </w:rPr>
        <w:t>[26]</w:t>
        <w:tab/>
        <w:t xml:space="preserve">M. Zenk, D. Zimmerer, F. Isensee, J. Traub, T. Norajitra, P. F. Jäger, and K. Maier-Hein, "Comparative benchmarking of failure detection methods in medical image segmentation: Unveiling the role of confidence aggregation," </w:t>
      </w:r>
      <w:r>
        <w:rPr>
          <w:i/>
          <w:iCs/>
          <w:sz w:val="16"/>
          <w:szCs w:val="16"/>
        </w:rPr>
        <w:t>Med. Image Anal.</w:t>
      </w:r>
      <w:r>
        <w:rPr>
          <w:sz w:val="16"/>
          <w:szCs w:val="16"/>
        </w:rPr>
        <w:t>, vol. 101, art. 103392, 2025.</w:t>
      </w:r>
    </w:p>
    <w:p>
      <w:pPr>
        <w:pStyle w:val="Normal"/>
        <w:tabs>
          <w:tab w:val="clear" w:pos="720"/>
          <w:tab w:val="left" w:pos="400" w:leader="none"/>
        </w:tabs>
        <w:spacing w:before="0" w:after="20"/>
        <w:ind w:hanging="400" w:left="400"/>
        <w:jc w:val="both"/>
        <w:rPr/>
      </w:pPr>
      <w:r>
        <w:rPr>
          <w:sz w:val="16"/>
          <w:szCs w:val="16"/>
        </w:rPr>
        <w:t>[27]</w:t>
      </w:r>
      <w:r>
        <w:rPr/>
        <w:tab/>
      </w:r>
      <w:r>
        <w:rPr>
          <w:sz w:val="16"/>
          <w:szCs w:val="16"/>
        </w:rPr>
        <w:t xml:space="preserve">V. Vovk, A. Gammerman, and G. Shafer, </w:t>
      </w:r>
      <w:r>
        <w:rPr>
          <w:i/>
          <w:iCs/>
          <w:sz w:val="16"/>
          <w:szCs w:val="16"/>
        </w:rPr>
        <w:t>Algorithmic Learning in a Random World</w:t>
      </w:r>
      <w:r>
        <w:rPr>
          <w:sz w:val="16"/>
          <w:szCs w:val="16"/>
        </w:rPr>
        <w:t>. New York: Springer, 2005.</w:t>
      </w:r>
    </w:p>
    <w:p>
      <w:pPr>
        <w:pStyle w:val="Normal"/>
        <w:tabs>
          <w:tab w:val="clear" w:pos="720"/>
          <w:tab w:val="left" w:pos="400" w:leader="none"/>
        </w:tabs>
        <w:spacing w:before="0" w:after="20"/>
        <w:ind w:hanging="400" w:left="400"/>
        <w:jc w:val="both"/>
        <w:rPr/>
      </w:pPr>
      <w:r>
        <w:rPr>
          <w:sz w:val="16"/>
          <w:szCs w:val="16"/>
        </w:rPr>
        <w:t>[28]</w:t>
      </w:r>
      <w:r>
        <w:rPr/>
        <w:tab/>
      </w:r>
      <w:r>
        <w:rPr>
          <w:sz w:val="16"/>
          <w:szCs w:val="16"/>
        </w:rPr>
        <w:t xml:space="preserve">A. N. Angelopoulos and S. Bates, "Conformal prediction: A gentle introduction," </w:t>
      </w:r>
      <w:r>
        <w:rPr>
          <w:i/>
          <w:iCs/>
          <w:sz w:val="16"/>
          <w:szCs w:val="16"/>
        </w:rPr>
        <w:t>Found. Trends Mach. Learn.</w:t>
      </w:r>
      <w:r>
        <w:rPr>
          <w:sz w:val="16"/>
          <w:szCs w:val="16"/>
        </w:rPr>
        <w:t>, vol. 16, no. 4, pp. 494–591, 2023.</w:t>
      </w:r>
    </w:p>
    <w:p>
      <w:pPr>
        <w:pStyle w:val="Normal"/>
        <w:tabs>
          <w:tab w:val="clear" w:pos="720"/>
          <w:tab w:val="left" w:pos="400" w:leader="none"/>
        </w:tabs>
        <w:spacing w:before="0" w:after="20"/>
        <w:ind w:hanging="400" w:left="400"/>
        <w:jc w:val="both"/>
        <w:rPr/>
      </w:pPr>
      <w:r>
        <w:rPr>
          <w:sz w:val="16"/>
          <w:szCs w:val="16"/>
        </w:rPr>
        <w:t>[29]</w:t>
      </w:r>
      <w:r>
        <w:rPr/>
        <w:tab/>
      </w:r>
      <w:r>
        <w:rPr>
          <w:sz w:val="16"/>
          <w:szCs w:val="16"/>
        </w:rPr>
        <w:t xml:space="preserve">S. Bates, A. Angelopoulos, L. Lei, J. Malik, and M. I. Jordan, "Distribution-free, risk-controlling prediction sets," </w:t>
      </w:r>
      <w:r>
        <w:rPr>
          <w:i/>
          <w:iCs/>
          <w:sz w:val="16"/>
          <w:szCs w:val="16"/>
        </w:rPr>
        <w:t>J. ACM</w:t>
      </w:r>
      <w:r>
        <w:rPr>
          <w:sz w:val="16"/>
          <w:szCs w:val="16"/>
        </w:rPr>
        <w:t>, vol. 68, no. 6, pp. 1–34, 2021.</w:t>
      </w:r>
    </w:p>
    <w:p>
      <w:pPr>
        <w:pStyle w:val="Normal"/>
        <w:tabs>
          <w:tab w:val="clear" w:pos="720"/>
          <w:tab w:val="left" w:pos="400" w:leader="none"/>
        </w:tabs>
        <w:spacing w:before="0" w:after="20"/>
        <w:ind w:hanging="400" w:left="400"/>
        <w:jc w:val="both"/>
        <w:rPr/>
      </w:pPr>
      <w:r>
        <w:rPr>
          <w:sz w:val="16"/>
          <w:szCs w:val="16"/>
        </w:rPr>
        <w:t>[30]</w:t>
      </w:r>
      <w:r>
        <w:rPr/>
        <w:tab/>
      </w:r>
      <w:r>
        <w:rPr>
          <w:sz w:val="16"/>
          <w:szCs w:val="16"/>
        </w:rPr>
        <w:t xml:space="preserve">R. J. Tibshirani, R. Foygel Barber, E. J. Candès, and A. Ramdas, "Conformal prediction under covariate shift," in </w:t>
      </w:r>
      <w:r>
        <w:rPr>
          <w:i/>
          <w:iCs/>
          <w:sz w:val="16"/>
          <w:szCs w:val="16"/>
        </w:rPr>
        <w:t>Proc. NeurIPS</w:t>
      </w:r>
      <w:r>
        <w:rPr>
          <w:sz w:val="16"/>
          <w:szCs w:val="16"/>
        </w:rPr>
        <w:t>, 2019, pp. 2530–2540.</w:t>
      </w:r>
    </w:p>
    <w:p>
      <w:pPr>
        <w:pStyle w:val="Normal"/>
        <w:tabs>
          <w:tab w:val="clear" w:pos="720"/>
          <w:tab w:val="left" w:pos="400" w:leader="none"/>
        </w:tabs>
        <w:spacing w:before="0" w:after="20"/>
        <w:ind w:hanging="400" w:left="400"/>
        <w:jc w:val="both"/>
        <w:rPr/>
      </w:pPr>
      <w:r>
        <w:rPr>
          <w:sz w:val="16"/>
          <w:szCs w:val="16"/>
        </w:rPr>
        <w:t>[31]</w:t>
      </w:r>
      <w:r>
        <w:rPr/>
        <w:tab/>
      </w:r>
      <w:r>
        <w:rPr>
          <w:sz w:val="16"/>
          <w:szCs w:val="16"/>
        </w:rPr>
        <w:t xml:space="preserve">R. Foygel Barber, E. J. Candès, A. Ramdas, and R. J. Tibshirani, "Conformal prediction beyond exchangeability," </w:t>
      </w:r>
      <w:r>
        <w:rPr>
          <w:i/>
          <w:iCs/>
          <w:sz w:val="16"/>
          <w:szCs w:val="16"/>
        </w:rPr>
        <w:t>Ann. Statist.</w:t>
      </w:r>
      <w:r>
        <w:rPr>
          <w:sz w:val="16"/>
          <w:szCs w:val="16"/>
        </w:rPr>
        <w:t>, vol. 51, no. 2, pp. 816–845, 2023.</w:t>
      </w:r>
    </w:p>
    <w:p>
      <w:pPr>
        <w:pStyle w:val="Normal"/>
        <w:tabs>
          <w:tab w:val="clear" w:pos="720"/>
          <w:tab w:val="left" w:pos="400" w:leader="none"/>
        </w:tabs>
        <w:spacing w:before="0" w:after="20"/>
        <w:ind w:hanging="400" w:left="400"/>
        <w:jc w:val="both"/>
        <w:rPr/>
      </w:pPr>
      <w:r>
        <w:rPr>
          <w:sz w:val="16"/>
          <w:szCs w:val="16"/>
        </w:rPr>
        <w:t>[32]</w:t>
        <w:tab/>
        <w:t>N. F. Shahid, "When average calibration fails: Site-conditional federated conformal risk control," arXiv:2606.20115, 2026.</w:t>
      </w:r>
    </w:p>
    <w:p>
      <w:pPr>
        <w:pStyle w:val="Normal"/>
        <w:tabs>
          <w:tab w:val="clear" w:pos="720"/>
          <w:tab w:val="left" w:pos="400" w:leader="none"/>
        </w:tabs>
        <w:spacing w:before="0" w:after="20"/>
        <w:ind w:hanging="400" w:left="400"/>
        <w:jc w:val="both"/>
        <w:rPr/>
      </w:pPr>
      <w:r>
        <w:rPr>
          <w:sz w:val="16"/>
          <w:szCs w:val="16"/>
        </w:rPr>
        <w:t>[33]</w:t>
        <w:tab/>
        <w:t>S. Adhikary, N. Chabi, and A. Mastmeyer, "Bound-aware per-organ recall risk control for multi-organ CT segmentation under clinical domain shift," in Proc. MICCAI UNSURE Workshop, 2026, arXiv:2608.18193.</w:t>
      </w:r>
    </w:p>
    <w:p>
      <w:pPr>
        <w:pStyle w:val="Normal"/>
        <w:tabs>
          <w:tab w:val="clear" w:pos="720"/>
          <w:tab w:val="left" w:pos="400" w:leader="none"/>
        </w:tabs>
        <w:spacing w:before="0" w:after="20"/>
        <w:ind w:hanging="400" w:left="400"/>
        <w:jc w:val="both"/>
        <w:rPr/>
      </w:pPr>
      <w:r>
        <w:rPr>
          <w:sz w:val="16"/>
          <w:szCs w:val="16"/>
        </w:rPr>
        <w:t>[34]</w:t>
        <w:tab/>
        <w:t>J. Liu, D. Qiao, Y. Zhang, and X. Chen, "Certify or refuse: A cross-model map for selective risk control with coverage floors under covariate shift," arXiv:2608.10893, 2026.</w:t>
      </w:r>
    </w:p>
    <w:p>
      <w:pPr>
        <w:pStyle w:val="Normal"/>
        <w:tabs>
          <w:tab w:val="clear" w:pos="720"/>
          <w:tab w:val="left" w:pos="400" w:leader="none"/>
        </w:tabs>
        <w:spacing w:before="0" w:after="20"/>
        <w:ind w:hanging="400" w:left="400"/>
        <w:jc w:val="both"/>
        <w:rPr/>
      </w:pPr>
      <w:r>
        <w:rPr>
          <w:sz w:val="16"/>
          <w:szCs w:val="16"/>
        </w:rPr>
        <w:t>[35]</w:t>
      </w:r>
      <w:r>
        <w:rPr/>
        <w:tab/>
      </w:r>
      <w:r>
        <w:rPr>
          <w:sz w:val="16"/>
          <w:szCs w:val="16"/>
        </w:rPr>
        <w:t xml:space="preserve">Y. Geifman and R. El-Yaniv, "Selective classification for deep neural networks," in </w:t>
      </w:r>
      <w:r>
        <w:rPr>
          <w:i/>
          <w:iCs/>
          <w:sz w:val="16"/>
          <w:szCs w:val="16"/>
        </w:rPr>
        <w:t>Proc. NeurIPS</w:t>
      </w:r>
      <w:r>
        <w:rPr>
          <w:sz w:val="16"/>
          <w:szCs w:val="16"/>
        </w:rPr>
        <w:t>, 2017, pp. 4878–4887.</w:t>
      </w:r>
    </w:p>
    <w:p>
      <w:pPr>
        <w:pStyle w:val="Normal"/>
        <w:tabs>
          <w:tab w:val="clear" w:pos="720"/>
          <w:tab w:val="left" w:pos="400" w:leader="none"/>
        </w:tabs>
        <w:spacing w:before="0" w:after="20"/>
        <w:ind w:hanging="400" w:left="400"/>
        <w:jc w:val="both"/>
        <w:rPr/>
      </w:pPr>
      <w:r>
        <w:rPr>
          <w:sz w:val="16"/>
          <w:szCs w:val="16"/>
        </w:rPr>
        <w:t>[36]</w:t>
      </w:r>
      <w:r>
        <w:rPr/>
        <w:tab/>
      </w:r>
      <w:r>
        <w:rPr>
          <w:sz w:val="16"/>
          <w:szCs w:val="16"/>
        </w:rPr>
        <w:t xml:space="preserve">K. Lee, K. Lee, H. Lee, and J. Shin, "A simple unified framework for detecting out-of-distribution samples and adversarial attacks," in </w:t>
      </w:r>
      <w:r>
        <w:rPr>
          <w:i/>
          <w:iCs/>
          <w:sz w:val="16"/>
          <w:szCs w:val="16"/>
        </w:rPr>
        <w:t>Proc. NeurIPS</w:t>
      </w:r>
      <w:r>
        <w:rPr>
          <w:sz w:val="16"/>
          <w:szCs w:val="16"/>
        </w:rPr>
        <w:t>, 2018, pp. 7167–7177.</w:t>
      </w:r>
    </w:p>
    <w:p>
      <w:pPr>
        <w:pStyle w:val="Normal"/>
        <w:tabs>
          <w:tab w:val="clear" w:pos="720"/>
          <w:tab w:val="left" w:pos="400" w:leader="none"/>
        </w:tabs>
        <w:spacing w:before="0" w:after="20"/>
        <w:ind w:hanging="400" w:left="400"/>
        <w:jc w:val="both"/>
        <w:rPr/>
      </w:pPr>
      <w:r>
        <w:rPr>
          <w:sz w:val="16"/>
          <w:szCs w:val="16"/>
        </w:rPr>
        <w:t>[37]</w:t>
      </w:r>
      <w:r>
        <w:rPr/>
        <w:tab/>
      </w:r>
      <w:r>
        <w:rPr>
          <w:sz w:val="16"/>
          <w:szCs w:val="16"/>
        </w:rPr>
        <w:t xml:space="preserve">B. Efron and R. J. Tibshirani, </w:t>
      </w:r>
      <w:r>
        <w:rPr>
          <w:i/>
          <w:iCs/>
          <w:sz w:val="16"/>
          <w:szCs w:val="16"/>
        </w:rPr>
        <w:t>An Introduction to the Bootstrap</w:t>
      </w:r>
      <w:r>
        <w:rPr>
          <w:sz w:val="16"/>
          <w:szCs w:val="16"/>
        </w:rPr>
        <w:t>. New York: Chapman &amp; Hall, 1993.</w:t>
      </w:r>
    </w:p>
    <w:p>
      <w:pPr>
        <w:pStyle w:val="Normal"/>
        <w:tabs>
          <w:tab w:val="clear" w:pos="720"/>
          <w:tab w:val="left" w:pos="400" w:leader="none"/>
        </w:tabs>
        <w:spacing w:before="0" w:after="20"/>
        <w:ind w:hanging="400" w:left="400"/>
        <w:jc w:val="both"/>
        <w:rPr/>
      </w:pPr>
      <w:r>
        <w:rPr>
          <w:sz w:val="16"/>
          <w:szCs w:val="16"/>
        </w:rPr>
        <w:t>[38]</w:t>
      </w:r>
      <w:r>
        <w:rPr/>
        <w:tab/>
      </w:r>
      <w:r>
        <w:rPr>
          <w:sz w:val="16"/>
          <w:szCs w:val="16"/>
        </w:rPr>
        <w:t xml:space="preserve">F. Wilcoxon, "Individual comparisons by ranking methods," </w:t>
      </w:r>
      <w:r>
        <w:rPr>
          <w:i/>
          <w:iCs/>
          <w:sz w:val="16"/>
          <w:szCs w:val="16"/>
        </w:rPr>
        <w:t>Biometrics Bull.</w:t>
      </w:r>
      <w:r>
        <w:rPr>
          <w:sz w:val="16"/>
          <w:szCs w:val="16"/>
        </w:rPr>
        <w:t>, vol. 1, no. 6, pp. 80–83, 1945.</w:t>
      </w:r>
    </w:p>
    <w:p>
      <w:pPr>
        <w:pStyle w:val="Normal"/>
        <w:tabs>
          <w:tab w:val="clear" w:pos="720"/>
          <w:tab w:val="left" w:pos="400" w:leader="none"/>
        </w:tabs>
        <w:spacing w:before="0" w:after="20"/>
        <w:ind w:hanging="400" w:left="400"/>
        <w:jc w:val="both"/>
        <w:rPr/>
      </w:pPr>
      <w:r>
        <w:rPr>
          <w:sz w:val="16"/>
          <w:szCs w:val="16"/>
        </w:rPr>
        <w:t>[39]</w:t>
      </w:r>
      <w:r>
        <w:rPr/>
        <w:tab/>
      </w:r>
      <w:r>
        <w:rPr>
          <w:sz w:val="16"/>
          <w:szCs w:val="16"/>
        </w:rPr>
        <w:t xml:space="preserve">S. Holm, "A simple sequentially rejective multiple test procedure," </w:t>
      </w:r>
      <w:r>
        <w:rPr>
          <w:i/>
          <w:iCs/>
          <w:sz w:val="16"/>
          <w:szCs w:val="16"/>
        </w:rPr>
        <w:t>Scand. J. Statist.</w:t>
      </w:r>
      <w:r>
        <w:rPr>
          <w:sz w:val="16"/>
          <w:szCs w:val="16"/>
        </w:rPr>
        <w:t>, vol. 6, no. 2, pp. 65–70, 1979.</w:t>
      </w:r>
    </w:p>
    <w:p>
      <w:pPr>
        <w:pStyle w:val="Normal"/>
        <w:tabs>
          <w:tab w:val="clear" w:pos="720"/>
          <w:tab w:val="left" w:pos="400" w:leader="none"/>
        </w:tabs>
        <w:spacing w:before="0" w:after="20"/>
        <w:ind w:hanging="400" w:left="400"/>
        <w:jc w:val="both"/>
        <w:rPr/>
      </w:pPr>
      <w:r>
        <w:rPr>
          <w:sz w:val="16"/>
          <w:szCs w:val="16"/>
        </w:rPr>
        <w:t>[40]</w:t>
      </w:r>
      <w:r>
        <w:rPr/>
        <w:tab/>
      </w:r>
      <w:r>
        <w:rPr>
          <w:sz w:val="16"/>
          <w:szCs w:val="16"/>
        </w:rPr>
        <w:t xml:space="preserve">D. J. Schuirmann, "A comparison of the two one-sided tests procedure and the power approach for assessing the equivalence of average bioavailability," </w:t>
      </w:r>
      <w:r>
        <w:rPr>
          <w:i/>
          <w:iCs/>
          <w:sz w:val="16"/>
          <w:szCs w:val="16"/>
        </w:rPr>
        <w:t>J. Pharmacokinet. Biopharm.</w:t>
      </w:r>
      <w:r>
        <w:rPr>
          <w:sz w:val="16"/>
          <w:szCs w:val="16"/>
        </w:rPr>
        <w:t>, vol. 15, no. 6, pp. 657–680, 1987.</w:t>
      </w:r>
    </w:p>
    <w:p>
      <w:pPr>
        <w:pStyle w:val="Normal"/>
        <w:tabs>
          <w:tab w:val="clear" w:pos="720"/>
          <w:tab w:val="left" w:pos="400" w:leader="none"/>
        </w:tabs>
        <w:spacing w:before="0" w:after="20"/>
        <w:ind w:hanging="400" w:left="400"/>
        <w:jc w:val="both"/>
        <w:rPr/>
      </w:pPr>
      <w:r>
        <w:rPr>
          <w:sz w:val="16"/>
          <w:szCs w:val="16"/>
        </w:rPr>
        <w:t>[41]</w:t>
      </w:r>
      <w:r>
        <w:rPr/>
        <w:tab/>
      </w:r>
      <w:r>
        <w:rPr>
          <w:sz w:val="16"/>
          <w:szCs w:val="16"/>
        </w:rPr>
        <w:t xml:space="preserve">S. Bakas </w:t>
      </w:r>
      <w:r>
        <w:rPr>
          <w:i/>
          <w:iCs/>
          <w:sz w:val="16"/>
          <w:szCs w:val="16"/>
        </w:rPr>
        <w:t>et al.</w:t>
      </w:r>
      <w:r>
        <w:rPr>
          <w:sz w:val="16"/>
          <w:szCs w:val="16"/>
        </w:rPr>
        <w:t xml:space="preserve">, "The University of Pennsylvania glioblastoma (UPenn-GBM) cohort: Advanced MRI, clinical, genomics, &amp; radiomics," </w:t>
      </w:r>
      <w:r>
        <w:rPr>
          <w:i/>
          <w:iCs/>
          <w:sz w:val="16"/>
          <w:szCs w:val="16"/>
        </w:rPr>
        <w:t>Sci. Data</w:t>
      </w:r>
      <w:r>
        <w:rPr>
          <w:sz w:val="16"/>
          <w:szCs w:val="16"/>
        </w:rPr>
        <w:t>, vol. 9, art. 453, 2022.</w:t>
      </w:r>
    </w:p>
    <w:p>
      <w:pPr>
        <w:pStyle w:val="Normal"/>
        <w:tabs>
          <w:tab w:val="clear" w:pos="720"/>
          <w:tab w:val="left" w:pos="400" w:leader="none"/>
        </w:tabs>
        <w:spacing w:before="0" w:after="20"/>
        <w:ind w:hanging="400" w:left="400"/>
        <w:jc w:val="both"/>
        <w:rPr/>
      </w:pPr>
      <w:r>
        <w:rPr>
          <w:sz w:val="16"/>
          <w:szCs w:val="16"/>
        </w:rPr>
        <w:t>[42]</w:t>
      </w:r>
      <w:r>
        <w:rPr/>
        <w:tab/>
      </w:r>
      <w:r>
        <w:rPr>
          <w:sz w:val="16"/>
          <w:szCs w:val="16"/>
        </w:rPr>
        <w:t xml:space="preserve">M. J. Cardoso </w:t>
      </w:r>
      <w:r>
        <w:rPr>
          <w:i/>
          <w:iCs/>
          <w:sz w:val="16"/>
          <w:szCs w:val="16"/>
        </w:rPr>
        <w:t>et al.</w:t>
      </w:r>
      <w:r>
        <w:rPr>
          <w:sz w:val="16"/>
          <w:szCs w:val="16"/>
        </w:rPr>
        <w:t>, "MONAI: An open-source framework for deep learning in healthcare," arXiv:2211.02701, 2022.</w:t>
      </w:r>
    </w:p>
    <w:p>
      <w:pPr>
        <w:pStyle w:val="Normal"/>
        <w:tabs>
          <w:tab w:val="clear" w:pos="720"/>
          <w:tab w:val="left" w:pos="400" w:leader="none"/>
        </w:tabs>
        <w:spacing w:before="0" w:after="20"/>
        <w:ind w:hanging="400" w:left="400"/>
        <w:jc w:val="both"/>
        <w:rPr/>
      </w:pPr>
      <w:r>
        <w:rPr>
          <w:sz w:val="16"/>
          <w:szCs w:val="16"/>
        </w:rPr>
        <w:t>[43]</w:t>
      </w:r>
      <w:r>
        <w:rPr/>
        <w:tab/>
      </w:r>
      <w:r>
        <w:rPr>
          <w:sz w:val="16"/>
          <w:szCs w:val="16"/>
        </w:rPr>
        <w:t xml:space="preserve">C.-Y. Lee, S. Xie, P. Gallagher, Z. Zhang, and Z. Tu, "Deeply-supervised nets," in </w:t>
      </w:r>
      <w:r>
        <w:rPr>
          <w:i/>
          <w:iCs/>
          <w:sz w:val="16"/>
          <w:szCs w:val="16"/>
        </w:rPr>
        <w:t>Proc. AISTATS</w:t>
      </w:r>
      <w:r>
        <w:rPr>
          <w:sz w:val="16"/>
          <w:szCs w:val="16"/>
        </w:rPr>
        <w:t>, 2015, pp. 562–570.</w:t>
      </w:r>
    </w:p>
    <w:p>
      <w:pPr>
        <w:pStyle w:val="Normal"/>
        <w:tabs>
          <w:tab w:val="clear" w:pos="720"/>
          <w:tab w:val="left" w:pos="400" w:leader="none"/>
        </w:tabs>
        <w:spacing w:before="0" w:after="20"/>
        <w:ind w:hanging="400" w:left="400"/>
        <w:jc w:val="both"/>
        <w:rPr/>
      </w:pPr>
      <w:r>
        <w:rPr>
          <w:sz w:val="16"/>
          <w:szCs w:val="16"/>
        </w:rPr>
        <w:t>[44]</w:t>
      </w:r>
      <w:r>
        <w:rPr/>
        <w:tab/>
      </w:r>
      <w:r>
        <w:rPr>
          <w:sz w:val="16"/>
          <w:szCs w:val="16"/>
        </w:rPr>
        <w:t xml:space="preserve">H. Touvron, M. Cord, A. Sablayrolles, G. Synnaeve, and H. Jégou, "Going deeper with image transformers," in </w:t>
      </w:r>
      <w:r>
        <w:rPr>
          <w:i/>
          <w:iCs/>
          <w:sz w:val="16"/>
          <w:szCs w:val="16"/>
        </w:rPr>
        <w:t>Proc. IEEE/CVF ICCV</w:t>
      </w:r>
      <w:r>
        <w:rPr>
          <w:sz w:val="16"/>
          <w:szCs w:val="16"/>
        </w:rPr>
        <w:t>, 2021, pp. 32–42.</w:t>
      </w:r>
    </w:p>
    <w:p>
      <w:pPr>
        <w:pStyle w:val="Normal"/>
        <w:tabs>
          <w:tab w:val="clear" w:pos="720"/>
          <w:tab w:val="left" w:pos="400" w:leader="none"/>
        </w:tabs>
        <w:spacing w:before="0" w:after="20"/>
        <w:ind w:hanging="400" w:left="400"/>
        <w:jc w:val="both"/>
        <w:rPr/>
      </w:pPr>
      <w:r>
        <w:rPr>
          <w:sz w:val="16"/>
          <w:szCs w:val="16"/>
        </w:rPr>
        <w:t>[45]</w:t>
      </w:r>
      <w:r>
        <w:rPr/>
        <w:tab/>
      </w:r>
      <w:r>
        <w:rPr>
          <w:sz w:val="16"/>
          <w:szCs w:val="16"/>
        </w:rPr>
        <w:t xml:space="preserve">P. Micikevicius </w:t>
      </w:r>
      <w:r>
        <w:rPr>
          <w:i/>
          <w:iCs/>
          <w:sz w:val="16"/>
          <w:szCs w:val="16"/>
        </w:rPr>
        <w:t>et al.</w:t>
      </w:r>
      <w:r>
        <w:rPr>
          <w:sz w:val="16"/>
          <w:szCs w:val="16"/>
        </w:rPr>
        <w:t xml:space="preserve">, "Mixed precision training," in </w:t>
      </w:r>
      <w:r>
        <w:rPr>
          <w:i/>
          <w:iCs/>
          <w:sz w:val="16"/>
          <w:szCs w:val="16"/>
        </w:rPr>
        <w:t>Proc. ICLR</w:t>
      </w:r>
      <w:r>
        <w:rPr>
          <w:sz w:val="16"/>
          <w:szCs w:val="16"/>
        </w:rPr>
        <w:t>, 2018.</w:t>
      </w:r>
    </w:p>
    <w:p>
      <w:pPr>
        <w:pStyle w:val="Normal"/>
        <w:tabs>
          <w:tab w:val="clear" w:pos="720"/>
          <w:tab w:val="left" w:pos="400" w:leader="none"/>
        </w:tabs>
        <w:spacing w:before="0" w:after="20"/>
        <w:ind w:hanging="400" w:left="400"/>
        <w:jc w:val="both"/>
        <w:rPr/>
      </w:pPr>
      <w:r>
        <w:rPr>
          <w:sz w:val="16"/>
          <w:szCs w:val="16"/>
        </w:rPr>
        <w:t>[46]</w:t>
      </w:r>
      <w:r>
        <w:rPr/>
        <w:tab/>
      </w:r>
      <w:r>
        <w:rPr>
          <w:sz w:val="16"/>
          <w:szCs w:val="16"/>
        </w:rPr>
        <w:t xml:space="preserve">I. Loshchilov and F. Hutter, "Decoupled weight decay regularization," in </w:t>
      </w:r>
      <w:r>
        <w:rPr>
          <w:i/>
          <w:iCs/>
          <w:sz w:val="16"/>
          <w:szCs w:val="16"/>
        </w:rPr>
        <w:t>Proc. ICLR</w:t>
      </w:r>
      <w:r>
        <w:rPr>
          <w:sz w:val="16"/>
          <w:szCs w:val="16"/>
        </w:rPr>
        <w:t>, 2019.</w:t>
      </w:r>
    </w:p>
    <w:p>
      <w:pPr>
        <w:pStyle w:val="Normal"/>
        <w:tabs>
          <w:tab w:val="clear" w:pos="720"/>
          <w:tab w:val="left" w:pos="400" w:leader="none"/>
        </w:tabs>
        <w:spacing w:before="0" w:after="20"/>
        <w:ind w:hanging="400" w:left="400"/>
        <w:jc w:val="both"/>
        <w:rPr/>
      </w:pPr>
      <w:r>
        <w:rPr>
          <w:sz w:val="16"/>
          <w:szCs w:val="16"/>
        </w:rPr>
        <w:t>[47]</w:t>
      </w:r>
      <w:r>
        <w:rPr/>
        <w:tab/>
      </w:r>
      <w:r>
        <w:rPr>
          <w:sz w:val="16"/>
          <w:szCs w:val="16"/>
        </w:rPr>
        <w:t xml:space="preserve">L. Maier-Hein </w:t>
      </w:r>
      <w:r>
        <w:rPr>
          <w:i/>
          <w:iCs/>
          <w:sz w:val="16"/>
          <w:szCs w:val="16"/>
        </w:rPr>
        <w:t>et al.</w:t>
      </w:r>
      <w:r>
        <w:rPr>
          <w:sz w:val="16"/>
          <w:szCs w:val="16"/>
        </w:rPr>
        <w:t xml:space="preserve">, "Metrics reloaded: Recommendations for image analysis validation," </w:t>
      </w:r>
      <w:r>
        <w:rPr>
          <w:i/>
          <w:iCs/>
          <w:sz w:val="16"/>
          <w:szCs w:val="16"/>
        </w:rPr>
        <w:t>Nat. Methods</w:t>
      </w:r>
      <w:r>
        <w:rPr>
          <w:sz w:val="16"/>
          <w:szCs w:val="16"/>
        </w:rPr>
        <w:t>, vol. 21, pp. 195–212, 2024.</w:t>
      </w:r>
    </w:p>
    <w:p>
      <w:pPr>
        <w:pStyle w:val="Normal"/>
        <w:tabs>
          <w:tab w:val="clear" w:pos="720"/>
          <w:tab w:val="left" w:pos="400" w:leader="none"/>
        </w:tabs>
        <w:spacing w:before="0" w:after="20"/>
        <w:ind w:hanging="400" w:left="400"/>
        <w:jc w:val="both"/>
        <w:rPr/>
      </w:pPr>
      <w:r>
        <w:rPr>
          <w:sz w:val="16"/>
          <w:szCs w:val="16"/>
        </w:rPr>
        <w:t>[48]</w:t>
        <w:tab/>
        <w:t xml:space="preserve">I. Waudby-Smith and A. Ramdas, "Estimating means of bounded random variables by betting," </w:t>
      </w:r>
      <w:r>
        <w:rPr>
          <w:i/>
          <w:iCs/>
          <w:sz w:val="16"/>
          <w:szCs w:val="16"/>
        </w:rPr>
        <w:t>J. R. Stat. Soc. B</w:t>
      </w:r>
      <w:r>
        <w:rPr>
          <w:sz w:val="16"/>
          <w:szCs w:val="16"/>
        </w:rPr>
        <w:t>, vol. 86, no. 1, pp. 1–27, 2024.</w:t>
      </w:r>
    </w:p>
    <w:p>
      <w:pPr>
        <w:pStyle w:val="Normal"/>
        <w:tabs>
          <w:tab w:val="clear" w:pos="720"/>
          <w:tab w:val="left" w:pos="400" w:leader="none"/>
        </w:tabs>
        <w:spacing w:before="0" w:after="20"/>
        <w:ind w:hanging="400" w:left="400"/>
        <w:jc w:val="both"/>
        <w:rPr/>
      </w:pPr>
      <w:r>
        <w:rPr>
          <w:sz w:val="16"/>
          <w:szCs w:val="16"/>
        </w:rPr>
        <w:t>[49]</w:t>
      </w:r>
      <w:r>
        <w:rPr/>
        <w:tab/>
      </w:r>
      <w:r>
        <w:rPr>
          <w:sz w:val="16"/>
          <w:szCs w:val="16"/>
        </w:rPr>
        <w:t xml:space="preserve">X. Li, P. S. Morgan, J. Ashburner, J. Smith, and C. Rorden, "The first step for neuroimaging data analysis: DICOM to NIfTI conversion," </w:t>
      </w:r>
      <w:r>
        <w:rPr>
          <w:i/>
          <w:iCs/>
          <w:sz w:val="16"/>
          <w:szCs w:val="16"/>
        </w:rPr>
        <w:t>J. Neurosci. Methods</w:t>
      </w:r>
      <w:r>
        <w:rPr>
          <w:sz w:val="16"/>
          <w:szCs w:val="16"/>
        </w:rPr>
        <w:t>, vol. 264, pp. 47–56, 2016.</w:t>
      </w:r>
    </w:p>
    <w:p>
      <w:pPr>
        <w:pStyle w:val="Normal"/>
        <w:tabs>
          <w:tab w:val="clear" w:pos="720"/>
          <w:tab w:val="left" w:pos="400" w:leader="none"/>
        </w:tabs>
        <w:spacing w:before="0" w:after="20"/>
        <w:ind w:hanging="400" w:left="400"/>
        <w:jc w:val="both"/>
        <w:rPr/>
      </w:pPr>
      <w:r>
        <w:rPr>
          <w:sz w:val="16"/>
          <w:szCs w:val="16"/>
        </w:rPr>
        <w:t>[50]</w:t>
      </w:r>
      <w:r>
        <w:rPr/>
        <w:tab/>
      </w:r>
      <w:r>
        <w:rPr>
          <w:sz w:val="16"/>
          <w:szCs w:val="16"/>
        </w:rPr>
        <w:t xml:space="preserve">T. Rohlfing, N. M. Zahr, E. V. Sullivan, and A. Pfefferbaum, "The SRI24 multichannel atlas of normal adult human brain structure," </w:t>
      </w:r>
      <w:r>
        <w:rPr>
          <w:i/>
          <w:iCs/>
          <w:sz w:val="16"/>
          <w:szCs w:val="16"/>
        </w:rPr>
        <w:t>Hum. Brain Mapp.</w:t>
      </w:r>
      <w:r>
        <w:rPr>
          <w:sz w:val="16"/>
          <w:szCs w:val="16"/>
        </w:rPr>
        <w:t>, vol. 31, no. 5, pp. 798–819, 2010.</w:t>
      </w:r>
    </w:p>
    <w:p>
      <w:pPr>
        <w:pStyle w:val="Normal"/>
        <w:tabs>
          <w:tab w:val="clear" w:pos="720"/>
          <w:tab w:val="left" w:pos="400" w:leader="none"/>
        </w:tabs>
        <w:spacing w:before="0" w:after="20"/>
        <w:ind w:hanging="400" w:left="400"/>
        <w:jc w:val="both"/>
        <w:rPr/>
      </w:pPr>
      <w:r>
        <w:rPr>
          <w:sz w:val="16"/>
          <w:szCs w:val="16"/>
        </w:rPr>
        <w:t>[51]</w:t>
      </w:r>
      <w:r>
        <w:rPr/>
        <w:tab/>
      </w:r>
      <w:r>
        <w:rPr>
          <w:sz w:val="16"/>
          <w:szCs w:val="16"/>
        </w:rPr>
        <w:t xml:space="preserve">B. B. Avants, N. J. Tustison, G. Song, P. A. Cook, A. Klein, and J. C. Gee, "A reproducible evaluation of ANTs similarity metric performance in brain image registration," </w:t>
      </w:r>
      <w:r>
        <w:rPr>
          <w:i/>
          <w:iCs/>
          <w:sz w:val="16"/>
          <w:szCs w:val="16"/>
        </w:rPr>
        <w:t>NeuroImage</w:t>
      </w:r>
      <w:r>
        <w:rPr>
          <w:sz w:val="16"/>
          <w:szCs w:val="16"/>
        </w:rPr>
        <w:t>, vol. 54, no. 3, pp. 2033–2044, 2011.</w:t>
      </w:r>
    </w:p>
    <w:p>
      <w:pPr>
        <w:pStyle w:val="Normal"/>
        <w:tabs>
          <w:tab w:val="clear" w:pos="720"/>
          <w:tab w:val="left" w:pos="400" w:leader="none"/>
        </w:tabs>
        <w:spacing w:before="0" w:after="20"/>
        <w:ind w:hanging="400" w:left="400"/>
        <w:jc w:val="both"/>
        <w:rPr/>
      </w:pPr>
      <w:r>
        <w:rPr>
          <w:sz w:val="16"/>
          <w:szCs w:val="16"/>
        </w:rPr>
        <w:t>[52]</w:t>
      </w:r>
      <w:r>
        <w:rPr/>
        <w:tab/>
      </w:r>
      <w:r>
        <w:rPr>
          <w:sz w:val="16"/>
          <w:szCs w:val="16"/>
        </w:rPr>
        <w:t xml:space="preserve">F. Kofler </w:t>
      </w:r>
      <w:r>
        <w:rPr>
          <w:i/>
          <w:iCs/>
          <w:sz w:val="16"/>
          <w:szCs w:val="16"/>
        </w:rPr>
        <w:t>et al.</w:t>
      </w:r>
      <w:r>
        <w:rPr>
          <w:sz w:val="16"/>
          <w:szCs w:val="16"/>
        </w:rPr>
        <w:t xml:space="preserve">, "BrainLesion Suite: A flexible and user-friendly framework for modular brain lesion image analysis," arXiv:2507.09036, 2025.</w:t>
      </w:r>
      <w:r>
        <w:rPr>
          <w:i/>
          <w:iCs/>
          <w:sz w:val="16"/>
          <w:szCs w:val="16"/>
        </w:rPr>
        <w:t/>
      </w:r>
      <w:r>
        <w:rPr>
          <w:sz w:val="16"/>
          <w:szCs w:val="16"/>
        </w:rPr>
        <w:t/>
      </w:r>
    </w:p>
    <w:p>
      <w:pPr>
        <w:pStyle w:val="Normal"/>
        <w:tabs>
          <w:tab w:val="clear" w:pos="720"/>
          <w:tab w:val="left" w:pos="400" w:leader="none"/>
        </w:tabs>
        <w:spacing w:before="0" w:after="20"/>
        <w:ind w:hanging="400" w:left="400"/>
        <w:jc w:val="both"/>
        <w:rPr/>
      </w:pPr>
      <w:r>
        <w:rPr>
          <w:sz w:val="16"/>
          <w:szCs w:val="16"/>
        </w:rPr>
        <w:t>[53]</w:t>
      </w:r>
      <w:r>
        <w:rPr/>
        <w:tab/>
      </w:r>
      <w:r>
        <w:rPr>
          <w:sz w:val="16"/>
          <w:szCs w:val="16"/>
        </w:rPr>
        <w:t xml:space="preserve">F. Isensee </w:t>
      </w:r>
      <w:r>
        <w:rPr>
          <w:i/>
          <w:iCs/>
          <w:sz w:val="16"/>
          <w:szCs w:val="16"/>
        </w:rPr>
        <w:t>et al.</w:t>
      </w:r>
      <w:r>
        <w:rPr>
          <w:sz w:val="16"/>
          <w:szCs w:val="16"/>
        </w:rPr>
        <w:t xml:space="preserve">, "Automated brain extraction of multisequence MRI using artificial neural networks," </w:t>
      </w:r>
      <w:r>
        <w:rPr>
          <w:i/>
          <w:iCs/>
          <w:sz w:val="16"/>
          <w:szCs w:val="16"/>
        </w:rPr>
        <w:t>Hum. Brain Mapp.</w:t>
      </w:r>
      <w:r>
        <w:rPr>
          <w:sz w:val="16"/>
          <w:szCs w:val="16"/>
        </w:rPr>
        <w:t>, vol. 40, no. 17, pp. 4952–4964, 2019.</w:t>
      </w:r>
    </w:p>
    <w:p>
      <w:pPr>
        <w:pStyle w:val="Normal"/>
        <w:tabs>
          <w:tab w:val="clear" w:pos="720"/>
          <w:tab w:val="left" w:pos="400" w:leader="none"/>
        </w:tabs>
        <w:spacing w:before="0" w:after="20"/>
        <w:ind w:hanging="400" w:left="400"/>
        <w:jc w:val="both"/>
        <w:rPr/>
      </w:pPr>
      <w:r>
        <w:rPr>
          <w:sz w:val="16"/>
          <w:szCs w:val="16"/>
        </w:rPr>
        <w:t>[54]</w:t>
      </w:r>
      <w:r>
        <w:rPr/>
        <w:tab/>
      </w:r>
      <w:r>
        <w:rPr>
          <w:sz w:val="16"/>
          <w:szCs w:val="16"/>
        </w:rPr>
        <w:t xml:space="preserve">C. P. Bridge </w:t>
      </w:r>
      <w:r>
        <w:rPr>
          <w:i/>
          <w:iCs/>
          <w:sz w:val="16"/>
          <w:szCs w:val="16"/>
        </w:rPr>
        <w:t>et al.</w:t>
      </w:r>
      <w:r>
        <w:rPr>
          <w:sz w:val="16"/>
          <w:szCs w:val="16"/>
        </w:rPr>
        <w:t xml:space="preserve">, "Highdicom: A Python library for standardized encoding of image annotations and machine learning model outputs in pathology and radiology," </w:t>
      </w:r>
      <w:r>
        <w:rPr>
          <w:i/>
          <w:iCs/>
          <w:sz w:val="16"/>
          <w:szCs w:val="16"/>
        </w:rPr>
        <w:t>J. Digit. Imag.</w:t>
      </w:r>
      <w:r>
        <w:rPr>
          <w:sz w:val="16"/>
          <w:szCs w:val="16"/>
        </w:rPr>
        <w:t>, vol. 35, pp. 1719–1737, 2022.</w:t>
      </w:r>
    </w:p>
    <w:p>
      <w:pPr>
        <w:pStyle w:val="Normal"/>
        <w:tabs>
          <w:tab w:val="clear" w:pos="720"/>
          <w:tab w:val="left" w:pos="400" w:leader="none"/>
        </w:tabs>
        <w:spacing w:before="0" w:after="20"/>
        <w:ind w:hanging="400" w:left="400"/>
        <w:jc w:val="both"/>
        <w:rPr/>
      </w:pPr>
      <w:r>
        <w:rPr>
          <w:sz w:val="16"/>
          <w:szCs w:val="16"/>
        </w:rPr>
        <w:t>[55]</w:t>
      </w:r>
      <w:r>
        <w:rPr/>
        <w:tab/>
      </w:r>
      <w:r>
        <w:rPr>
          <w:sz w:val="16"/>
          <w:szCs w:val="16"/>
        </w:rPr>
        <w:t xml:space="preserve">N. Tzourio-Mazoyer </w:t>
      </w:r>
      <w:r>
        <w:rPr>
          <w:i/>
          <w:iCs/>
          <w:sz w:val="16"/>
          <w:szCs w:val="16"/>
        </w:rPr>
        <w:t>et al.</w:t>
      </w:r>
      <w:r>
        <w:rPr>
          <w:sz w:val="16"/>
          <w:szCs w:val="16"/>
        </w:rPr>
        <w:t xml:space="preserve">, "Automated anatomical labeling of activations in SPM using a macroscopic anatomical parcellation of the MNI MRI single-subject brain," </w:t>
      </w:r>
      <w:r>
        <w:rPr>
          <w:i/>
          <w:iCs/>
          <w:sz w:val="16"/>
          <w:szCs w:val="16"/>
        </w:rPr>
        <w:t>NeuroImage</w:t>
      </w:r>
      <w:r>
        <w:rPr>
          <w:sz w:val="16"/>
          <w:szCs w:val="16"/>
        </w:rPr>
        <w:t>, vol. 15, no. 1, pp. 273–289, 2002.</w:t>
      </w:r>
    </w:p>
    <w:p>
      <w:pPr>
        <w:pStyle w:val="Normal"/>
        <w:tabs>
          <w:tab w:val="clear" w:pos="720"/>
          <w:tab w:val="left" w:pos="400" w:leader="none"/>
        </w:tabs>
        <w:spacing w:before="0" w:after="20"/>
        <w:ind w:hanging="400" w:left="400"/>
        <w:jc w:val="both"/>
        <w:rPr/>
      </w:pPr>
      <w:r>
        <w:rPr>
          <w:sz w:val="16"/>
          <w:szCs w:val="16"/>
        </w:rPr>
        <w:t>[56]</w:t>
      </w:r>
      <w:r>
        <w:rPr/>
        <w:tab/>
      </w:r>
      <w:r>
        <w:rPr>
          <w:sz w:val="16"/>
          <w:szCs w:val="16"/>
        </w:rPr>
        <w:t xml:space="preserve">R. Sawaya </w:t>
      </w:r>
      <w:r>
        <w:rPr>
          <w:i/>
          <w:iCs/>
          <w:sz w:val="16"/>
          <w:szCs w:val="16"/>
        </w:rPr>
        <w:t>et al.</w:t>
      </w:r>
      <w:r>
        <w:rPr>
          <w:sz w:val="16"/>
          <w:szCs w:val="16"/>
        </w:rPr>
        <w:t xml:space="preserve">, "Neurosurgical outcomes in a modern series of 400 craniotomies for treatment of parenchymal tumors," </w:t>
      </w:r>
      <w:r>
        <w:rPr>
          <w:i/>
          <w:iCs/>
          <w:sz w:val="16"/>
          <w:szCs w:val="16"/>
        </w:rPr>
        <w:t>Neurosurgery</w:t>
      </w:r>
      <w:r>
        <w:rPr>
          <w:sz w:val="16"/>
          <w:szCs w:val="16"/>
        </w:rPr>
        <w:t>, vol. 42, no. 5, pp. 1044–1055, 1998.</w:t>
      </w:r>
    </w:p>
    <w:p>
      <w:pPr>
        <w:pStyle w:val="Normal"/>
        <w:tabs>
          <w:tab w:val="clear" w:pos="720"/>
          <w:tab w:val="left" w:pos="400" w:leader="none"/>
        </w:tabs>
        <w:spacing w:before="0" w:after="20"/>
        <w:ind w:hanging="400" w:left="400"/>
        <w:jc w:val="both"/>
        <w:rPr/>
      </w:pPr>
      <w:r>
        <w:rPr>
          <w:sz w:val="16"/>
          <w:szCs w:val="16"/>
        </w:rPr>
        <w:t>[57]</w:t>
      </w:r>
      <w:r>
        <w:rPr/>
        <w:tab/>
      </w:r>
      <w:r>
        <w:rPr>
          <w:sz w:val="16"/>
          <w:szCs w:val="16"/>
        </w:rPr>
        <w:t xml:space="preserve">D. N. Louis </w:t>
      </w:r>
      <w:r>
        <w:rPr>
          <w:i/>
          <w:iCs/>
          <w:sz w:val="16"/>
          <w:szCs w:val="16"/>
        </w:rPr>
        <w:t>et al.</w:t>
      </w:r>
      <w:r>
        <w:rPr>
          <w:sz w:val="16"/>
          <w:szCs w:val="16"/>
        </w:rPr>
        <w:t xml:space="preserve">, "The 2021 WHO classification of tumors of the central nervous system: A summary," </w:t>
      </w:r>
      <w:r>
        <w:rPr>
          <w:i/>
          <w:iCs/>
          <w:sz w:val="16"/>
          <w:szCs w:val="16"/>
        </w:rPr>
        <w:t>Neuro-Oncology</w:t>
      </w:r>
      <w:r>
        <w:rPr>
          <w:sz w:val="16"/>
          <w:szCs w:val="16"/>
        </w:rPr>
        <w:t>, vol. 23, no. 8, pp. 1231–1251, 2021.</w:t>
      </w:r>
    </w:p>
    <w:p>
      <w:pPr>
        <w:pStyle w:val="Normal"/>
        <w:tabs>
          <w:tab w:val="clear" w:pos="720"/>
          <w:tab w:val="left" w:pos="400" w:leader="none"/>
        </w:tabs>
        <w:spacing w:before="0" w:after="20"/>
        <w:ind w:hanging="400" w:left="400"/>
        <w:jc w:val="both"/>
        <w:rPr/>
      </w:pPr>
      <w:r>
        <w:rPr>
          <w:sz w:val="16"/>
          <w:szCs w:val="16"/>
        </w:rPr>
        <w:t>[58]</w:t>
      </w:r>
      <w:r>
        <w:rPr/>
        <w:tab/>
      </w:r>
      <w:r>
        <w:rPr>
          <w:sz w:val="16"/>
          <w:szCs w:val="16"/>
        </w:rPr>
        <w:t xml:space="preserve">R. R. Selvaraju, M. Cogswell, A. Das, R. Vedantam, D. Parikh, and D. Batra, "Grad-CAM: Visual explanations from deep networks via gradient-based localization," in </w:t>
      </w:r>
      <w:r>
        <w:rPr>
          <w:i/>
          <w:iCs/>
          <w:sz w:val="16"/>
          <w:szCs w:val="16"/>
        </w:rPr>
        <w:t>Proc. IEEE ICCV</w:t>
      </w:r>
      <w:r>
        <w:rPr>
          <w:sz w:val="16"/>
          <w:szCs w:val="16"/>
        </w:rPr>
        <w:t>, 2017, pp. 618–626.</w:t>
      </w:r>
    </w:p>
    <w:p>
      <w:pPr>
        <w:pStyle w:val="Normal"/>
        <w:tabs>
          <w:tab w:val="clear" w:pos="720"/>
          <w:tab w:val="left" w:pos="400" w:leader="none"/>
        </w:tabs>
        <w:spacing w:before="0" w:after="20"/>
        <w:ind w:hanging="400" w:left="400"/>
        <w:jc w:val="both"/>
        <w:rPr/>
      </w:pPr>
      <w:r>
        <w:rPr>
          <w:sz w:val="16"/>
          <w:szCs w:val="16"/>
        </w:rPr>
        <w:t>[59]</w:t>
      </w:r>
      <w:r>
        <w:rPr/>
        <w:tab/>
      </w:r>
      <w:r>
        <w:rPr>
          <w:sz w:val="16"/>
          <w:szCs w:val="16"/>
        </w:rPr>
        <w:t xml:space="preserve">O. Ledoit and M. Wolf, "A well-conditioned estimator for large-dimensional covariance matrices," </w:t>
      </w:r>
      <w:r>
        <w:rPr>
          <w:i/>
          <w:iCs/>
          <w:sz w:val="16"/>
          <w:szCs w:val="16"/>
        </w:rPr>
        <w:t>J. Multivariate Anal.</w:t>
      </w:r>
      <w:r>
        <w:rPr>
          <w:sz w:val="16"/>
          <w:szCs w:val="16"/>
        </w:rPr>
        <w:t>, vol. 88, no. 2, pp. 365–411, 2004.</w:t>
      </w:r>
    </w:p>
    <w:p>
      <w:pPr>
        <w:pStyle w:val="Normal"/>
        <w:tabs>
          <w:tab w:val="clear" w:pos="720"/>
          <w:tab w:val="left" w:pos="400" w:leader="none"/>
        </w:tabs>
        <w:spacing w:before="0" w:after="20"/>
        <w:ind w:hanging="400" w:left="400"/>
        <w:jc w:val="both"/>
        <w:rPr/>
      </w:pPr>
      <w:r>
        <w:rPr>
          <w:sz w:val="16"/>
          <w:szCs w:val="16"/>
        </w:rPr>
        <w:t>[60]</w:t>
      </w:r>
      <w:r>
        <w:rPr/>
        <w:tab/>
      </w:r>
      <w:r>
        <w:rPr>
          <w:sz w:val="16"/>
          <w:szCs w:val="16"/>
        </w:rPr>
        <w:t xml:space="preserve">A. Paszke </w:t>
      </w:r>
      <w:r>
        <w:rPr>
          <w:i/>
          <w:iCs/>
          <w:sz w:val="16"/>
          <w:szCs w:val="16"/>
        </w:rPr>
        <w:t>et al.</w:t>
      </w:r>
      <w:r>
        <w:rPr>
          <w:sz w:val="16"/>
          <w:szCs w:val="16"/>
        </w:rPr>
        <w:t xml:space="preserve">, "PyTorch: An imperative style, high-performance deep learning library," in </w:t>
      </w:r>
      <w:r>
        <w:rPr>
          <w:i/>
          <w:iCs/>
          <w:sz w:val="16"/>
          <w:szCs w:val="16"/>
        </w:rPr>
        <w:t>Proc. NeurIPS</w:t>
      </w:r>
      <w:r>
        <w:rPr>
          <w:sz w:val="16"/>
          <w:szCs w:val="16"/>
        </w:rPr>
        <w:t>, 2019, pp. 8024–8035.</w:t>
      </w:r>
    </w:p>
    <w:p>
      <w:pPr>
        <w:pStyle w:val="Normal"/>
        <w:tabs>
          <w:tab w:val="clear" w:pos="720"/>
          <w:tab w:val="left" w:pos="400" w:leader="none"/>
        </w:tabs>
        <w:spacing w:before="0" w:after="20"/>
        <w:ind w:hanging="400" w:left="400"/>
        <w:jc w:val="both"/>
        <w:rPr/>
      </w:pPr>
      <w:r>
        <w:rPr>
          <w:sz w:val="16"/>
          <w:szCs w:val="16"/>
        </w:rPr>
        <w:t xml:space="preserve">[61]</w:t>
      </w:r>
      <w:r>
        <w:rPr/>
        <w:tab/>
      </w:r>
      <w:r>
        <w:rPr>
          <w:sz w:val="16"/>
          <w:szCs w:val="16"/>
        </w:rPr>
        <w:t xml:space="preserve">A. F. Kazerooni </w:t>
      </w:r>
      <w:r>
        <w:rPr>
          <w:i/>
          <w:iCs/>
          <w:sz w:val="16"/>
          <w:szCs w:val="16"/>
        </w:rPr>
        <w:t xml:space="preserve">et al.</w:t>
      </w:r>
      <w:r>
        <w:rPr>
          <w:sz w:val="16"/>
          <w:szCs w:val="16"/>
        </w:rPr>
        <w:t xml:space="preserve">, "The Brain Tumor Segmentation in Pediatrics (BraTS-PEDs) challenge: Focus on pediatrics (CBTN-CONNECT-DIPGR-ASNR-MICCAI BraTS-PEDs)," arXiv:2404.15009, 2024.</w:t>
      </w:r>
    </w:p>
    <w:sectPr>
      <w:type w:val="continuous"/>
      <w:pgSz w:w="12240" w:h="15840"/>
      <w:pgMar w:left="900" w:right="900" w:gutter="0" w:header="0" w:top="1080" w:footer="708" w:bottom="1440"/>
      <w:cols w:num="2" w:space="360" w:equalWidth="true" w:sep="false"/>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19</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19</w:t>
    </w:r>
    <w:r>
      <w:rPr>
        <w:sz w:val="18"/>
        <w:szCs w:val="18"/>
      </w:rPr>
      <w:fldChar w:fldCharType="end"/>
    </w:r>
  </w:p>
</w:ftr>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IN" w:eastAsia="en-GB" w:bidi="ar-SA"/>
    </w:rPr>
  </w:style>
  <w:style w:type="paragraph" w:styleId="Heading1">
    <w:name w:val="Heading 1"/>
    <w:uiPriority w:val="9"/>
    <w:qFormat/>
    <w:pPr>
      <w:widowControl/>
      <w:suppressAutoHyphens w:val="true"/>
      <w:bidi w:val="0"/>
      <w:spacing w:before="0" w:after="0"/>
      <w:jc w:val="left"/>
      <w:outlineLvl w:val="0"/>
    </w:pPr>
    <w:rPr>
      <w:rFonts w:ascii="Times New Roman" w:hAnsi="Times New Roman" w:eastAsia="Times New Roman" w:cs="Times New Roman"/>
      <w:color w:val="2E74B5"/>
      <w:kern w:val="0"/>
      <w:sz w:val="32"/>
      <w:szCs w:val="32"/>
      <w:lang w:val="en-IN" w:eastAsia="en-GB" w:bidi="ar-SA"/>
    </w:rPr>
  </w:style>
  <w:style w:type="paragraph" w:styleId="Heading2">
    <w:name w:val="Heading 2"/>
    <w:uiPriority w:val="9"/>
    <w:semiHidden/>
    <w:unhideWhenUsed/>
    <w:qFormat/>
    <w:pPr>
      <w:widowControl/>
      <w:suppressAutoHyphens w:val="true"/>
      <w:bidi w:val="0"/>
      <w:spacing w:before="0" w:after="0"/>
      <w:jc w:val="left"/>
      <w:outlineLvl w:val="1"/>
    </w:pPr>
    <w:rPr>
      <w:rFonts w:ascii="Times New Roman" w:hAnsi="Times New Roman" w:eastAsia="Times New Roman" w:cs="Times New Roman"/>
      <w:color w:val="2E74B5"/>
      <w:kern w:val="0"/>
      <w:sz w:val="26"/>
      <w:szCs w:val="26"/>
      <w:lang w:val="en-IN" w:eastAsia="en-GB" w:bidi="ar-SA"/>
    </w:rPr>
  </w:style>
  <w:style w:type="paragraph" w:styleId="Heading3">
    <w:name w:val="Heading 3"/>
    <w:uiPriority w:val="9"/>
    <w:semiHidden/>
    <w:unhideWhenUsed/>
    <w:qFormat/>
    <w:pPr>
      <w:widowControl/>
      <w:suppressAutoHyphens w:val="true"/>
      <w:bidi w:val="0"/>
      <w:spacing w:before="0" w:after="0"/>
      <w:jc w:val="left"/>
      <w:outlineLvl w:val="2"/>
    </w:pPr>
    <w:rPr>
      <w:rFonts w:ascii="Times New Roman" w:hAnsi="Times New Roman" w:eastAsia="Times New Roman" w:cs="Times New Roman"/>
      <w:color w:val="1F4D78"/>
      <w:kern w:val="0"/>
      <w:sz w:val="24"/>
      <w:szCs w:val="24"/>
      <w:lang w:val="en-IN" w:eastAsia="en-GB"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0"/>
      <w:szCs w:val="20"/>
      <w:lang w:val="en-IN" w:eastAsia="en-GB"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0"/>
      <w:szCs w:val="20"/>
      <w:lang w:val="en-IN" w:eastAsia="en-GB"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0"/>
      <w:szCs w:val="20"/>
      <w:lang w:val="en-IN" w:eastAsia="en-GB"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auto"/>
      <w:kern w:val="0"/>
      <w:sz w:val="56"/>
      <w:szCs w:val="56"/>
      <w:lang w:val="en-IN" w:eastAsia="en-GB"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auto"/>
      <w:kern w:val="0"/>
      <w:sz w:val="20"/>
      <w:szCs w:val="20"/>
      <w:lang w:val="en-IN" w:eastAsia="en-GB"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IN" w:eastAsia="en-GB"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IN" w:eastAsia="en-GB"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IN" w:eastAsia="en-GB"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LibreOffice/24.2.7.2$Linux_X86_64 LibreOffice_project/420$Build-2</Application>
  <AppVersion>15.0000</AppVersion>
  <Pages>16</Pages>
  <Words>798</Words>
  <Characters>4276</Characters>
  <CharactersWithSpaces>5019</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2026-09-20T07:32:00Z</dcterms:created>
  <dc:creator>Amish Yadav</dc:creator>
  <dc:description/>
  <dc:language>en-US</dc:language>
  <cp:lastModifiedBy/>
  <dcterms:modified xsi:type="dcterms:W3CDTF">2026-09-28T16:10:05Z</dcterms:modified>
  <cp:revision>9</cp:revision>
  <dc:subject/>
  <dc:title>Where the Guarantee Breaks: Conformal Risk Control and Refusal Gating for Brain-Tumour Segmentation under Distribution Shift</dc:title>
</cp:coreProperties>
</file>

<file path=docProps/custom.xml><?xml version="1.0" encoding="utf-8"?>
<Properties xmlns="http://schemas.openxmlformats.org/officeDocument/2006/custom-properties" xmlns:vt="http://schemas.openxmlformats.org/officeDocument/2006/docPropsVTypes"/>
</file>