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Operation Phantom Swipe</w:t>
      </w:r>
    </w:p>
    <w:p>
      <w:pPr>
        <w:jc w:val="center"/>
      </w:pPr>
      <w:r>
        <w:rPr>
          <w:color w:val="2E74B5"/>
          <w:sz w:val="32"/>
        </w:rPr>
        <w:t>Legal-Technical Investigation Report</w:t>
      </w:r>
    </w:p>
    <w:p>
      <w:pPr>
        <w:jc w:val="center"/>
      </w:pPr>
      <w:r>
        <w:t>Cross-Border ATM &amp; Credit Card Fraud Ring</w:t>
      </w:r>
    </w:p>
    <w:p/>
    <w:p>
      <w:pPr>
        <w:jc w:val="center"/>
      </w:pPr>
      <w:r>
        <w:t>Assignment 1 — Unit 1: Foundations of Digital Forensics</w:t>
      </w:r>
    </w:p>
    <w:p>
      <w:pPr>
        <w:jc w:val="center"/>
      </w:pPr>
      <w:r>
        <w:t>Prepared by: [Your Name]</w:t>
      </w:r>
    </w:p>
    <w:p>
      <w:pPr>
        <w:jc w:val="center"/>
      </w:pPr>
      <w:r>
        <w:t>Case No.: OPS-2026-014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early-phase digital forensic investigation into “Operation Phantom Swipe,” a cross-border ATM skimming and online credit card fraud ring. The investigation combined physical device seizure (a covert ATM skimmer), mobile device analysis (a suspect's phone running a disguised fraud-support application), keyword and metadata-based evidence review, and a simulated password-recovery exercise on a locked evidence folder. This report summarizes the crimes identified and their digital footprint, justifies the evidence-handling procedures followed, discusses the specific challenges of investigating a cross-border fraud operation, and closes with recommendations for improving law-enforcement standard operating procedures (SOPs) in similar cases.</w:t>
      </w:r>
    </w:p>
    <w:p>
      <w:pPr>
        <w:pStyle w:val="Heading1"/>
      </w:pPr>
      <w:r>
        <w:t>2. Summary of Crimes and Digital Footprint</w:t>
      </w:r>
    </w:p>
    <w:p>
      <w:r>
        <w:t>The scenario presents a layered fraud operation spanning hardware and software: a physical skimming device intercepting card data at an ATM, a mobile application used to process and potentially clone that data, and coordinated communication between the suspect and a co-conspirator to move stolen data and launder proceeds through a money-mule account. Table 1 summarizes the classification of these crimes and their mapping to applicable law (full justification in 01-classification/cybercrime-taxonomy.md).</w:t>
      </w:r>
    </w:p>
    <w:p>
      <w:r>
        <w:t>Table 1: Crime-to-Law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Crime</w:t>
            </w:r>
          </w:p>
        </w:tc>
        <w:tc>
          <w:tcPr>
            <w:tcW w:type="dxa" w:w="2880"/>
          </w:tcPr>
          <w:p>
            <w:r>
              <w:t>Indian Law</w:t>
            </w:r>
          </w:p>
        </w:tc>
        <w:tc>
          <w:tcPr>
            <w:tcW w:type="dxa" w:w="2880"/>
          </w:tcPr>
          <w:p>
            <w:r>
              <w:t>International Framework</w:t>
            </w:r>
          </w:p>
        </w:tc>
      </w:tr>
      <w:tr>
        <w:tc>
          <w:tcPr>
            <w:tcW w:type="dxa" w:w="2880"/>
          </w:tcPr>
          <w:p>
            <w:r>
              <w:t>ATM Skimming</w:t>
            </w:r>
          </w:p>
        </w:tc>
        <w:tc>
          <w:tcPr>
            <w:tcW w:type="dxa" w:w="2880"/>
          </w:tcPr>
          <w:p>
            <w:r>
              <w:t>IT Act §43, §66; IPC §379, §420</w:t>
            </w:r>
          </w:p>
        </w:tc>
        <w:tc>
          <w:tcPr>
            <w:tcW w:type="dxa" w:w="2880"/>
          </w:tcPr>
          <w:p>
            <w:r>
              <w:t>Budapest Convention Art. 2, 3</w:t>
            </w:r>
          </w:p>
        </w:tc>
      </w:tr>
      <w:tr>
        <w:tc>
          <w:tcPr>
            <w:tcW w:type="dxa" w:w="2880"/>
          </w:tcPr>
          <w:p>
            <w:r>
              <w:t>Card Cloning</w:t>
            </w:r>
          </w:p>
        </w:tc>
        <w:tc>
          <w:tcPr>
            <w:tcW w:type="dxa" w:w="2880"/>
          </w:tcPr>
          <w:p>
            <w:r>
              <w:t>IT Act §66C; IPC §468, §471</w:t>
            </w:r>
          </w:p>
        </w:tc>
        <w:tc>
          <w:tcPr>
            <w:tcW w:type="dxa" w:w="2880"/>
          </w:tcPr>
          <w:p>
            <w:r>
              <w:t>Budapest Convention Art. 7</w:t>
            </w:r>
          </w:p>
        </w:tc>
      </w:tr>
      <w:tr>
        <w:tc>
          <w:tcPr>
            <w:tcW w:type="dxa" w:w="2880"/>
          </w:tcPr>
          <w:p>
            <w:r>
              <w:t>Online/CNP Fraud</w:t>
            </w:r>
          </w:p>
        </w:tc>
        <w:tc>
          <w:tcPr>
            <w:tcW w:type="dxa" w:w="2880"/>
          </w:tcPr>
          <w:p>
            <w:r>
              <w:t>IT Act §66D; IPC §420</w:t>
            </w:r>
          </w:p>
        </w:tc>
        <w:tc>
          <w:tcPr>
            <w:tcW w:type="dxa" w:w="2880"/>
          </w:tcPr>
          <w:p>
            <w:r>
              <w:t>Budapest Convention Art. 8</w:t>
            </w:r>
          </w:p>
        </w:tc>
      </w:tr>
      <w:tr>
        <w:tc>
          <w:tcPr>
            <w:tcW w:type="dxa" w:w="2880"/>
          </w:tcPr>
          <w:p>
            <w:r>
              <w:t>Organized/Cross-border</w:t>
            </w:r>
          </w:p>
        </w:tc>
        <w:tc>
          <w:tcPr>
            <w:tcW w:type="dxa" w:w="2880"/>
          </w:tcPr>
          <w:p>
            <w:r>
              <w:t>IT Act §66, §43; IPC §120B, §34</w:t>
            </w:r>
          </w:p>
        </w:tc>
        <w:tc>
          <w:tcPr>
            <w:tcW w:type="dxa" w:w="2880"/>
          </w:tcPr>
          <w:p>
            <w:r>
              <w:t>Budapest Convention Art. 25 (MLA)</w:t>
            </w:r>
          </w:p>
        </w:tc>
      </w:tr>
    </w:tbl>
    <w:p/>
    <w:p>
      <w:r>
        <w:t>The digital footprint recovered during analysis included: two simulated card track records extracted from the skimmer's flash memory; a sideloaded application disguised as a calculator utility on the suspect's phone; two communication log entries referencing a “batch” of stolen tracks and a money-mule account (BR-9921); and two GPS location records placing the suspect's phone at the ATM location both before and after the skimming window. Individually, each artefact is circumstantial; together, they form a coherent, corroborated timeline connecting the suspect to the physical installation of the skimmer, coordination with a co-conspirator, and the financial laundering pathway.</w:t>
      </w:r>
    </w:p>
    <w:p>
      <w:pPr>
        <w:pStyle w:val="Heading1"/>
      </w:pPr>
      <w:r>
        <w:t>3. Evidence Handling Justification</w:t>
      </w:r>
    </w:p>
    <w:p>
      <w:r>
        <w:t>Evidence handling followed standard digital forensic principles to preserve admissibility:</w:t>
      </w:r>
    </w:p>
    <w:p>
      <w:pPr>
        <w:pStyle w:val="ListBullet"/>
      </w:pPr>
      <w:r>
        <w:t>Write-blocking: All extraction from the skimmer's flash memory and the phone was performed through a write-blocked interface, ensuring the acquisition process could not alter source data.</w:t>
      </w:r>
    </w:p>
    <w:p>
      <w:pPr>
        <w:pStyle w:val="ListBullet"/>
      </w:pPr>
      <w:r>
        <w:t>Hashing for integrity: SHA-256 hashes were computed for all six acquired files immediately after extraction (02-evidence-collection/evidence-hashes.sha256) and re-verified before analysis, so that any modification, however small, would be detectable.</w:t>
      </w:r>
    </w:p>
    <w:p>
      <w:pPr>
        <w:pStyle w:val="ListBullet"/>
      </w:pPr>
      <w:r>
        <w:t>Chain of custody: A formal chain-of-custody form documents every seizure, transfer, and access event for both evidence items, with tamper-evident seal numbers logged at each stage.</w:t>
      </w:r>
    </w:p>
    <w:p>
      <w:pPr>
        <w:pStyle w:val="ListBullet"/>
      </w:pPr>
      <w:r>
        <w:t>Isolation of live devices: The suspect's phone was placed in a Faraday bag immediately upon seizure to prevent remote wipe or evidence tampering over a live network connection.</w:t>
      </w:r>
    </w:p>
    <w:p>
      <w:pPr>
        <w:pStyle w:val="ListBullet"/>
      </w:pPr>
      <w:r>
        <w:t>Working on copies only: All keyword search, metadata extraction, and artefact review was performed against verified forensic copies — never the sealed original media.</w:t>
      </w:r>
    </w:p>
    <w:p>
      <w:r>
        <w:t>These measures collectively address the two central evidentiary concerns in any digital forensic proceeding: authenticity (is this really the data recovered from the seized device?) and integrity (has the data been altered since acquisition?).</w:t>
      </w:r>
    </w:p>
    <w:p>
      <w:pPr>
        <w:pStyle w:val="Heading1"/>
      </w:pPr>
      <w:r>
        <w:t>4. Challenges in Cross-Border Investigation and Cooperation</w:t>
      </w:r>
    </w:p>
    <w:p>
      <w:r>
        <w:t>Because the fraud ring's digital footprint spans jurisdictions — skimmed data captured domestically, potentially exfiltrated or monetized through offshore accounts, and a co-conspirator possibly operating from another country — several structural challenges arise:</w:t>
      </w:r>
    </w:p>
    <w:p>
      <w:pPr>
        <w:pStyle w:val="ListBullet"/>
      </w:pPr>
      <w:r>
        <w:t>Jurisdictional authority: Indian law enforcement's search and seizure powers under the IT Act and CrPC/BNSS do not extend automatically to servers, accounts, or suspects located abroad, requiring formal international cooperation mechanisms.</w:t>
      </w:r>
    </w:p>
    <w:p>
      <w:pPr>
        <w:pStyle w:val="ListBullet"/>
      </w:pPr>
      <w:r>
        <w:t>Mutual Legal Assistance Treaties (MLATs): Obtaining evidence held by foreign service providers or banks typically requires an MLAT request, which can take months — a significant mismatch against the speed at which digital evidence can be deleted or overwritten.</w:t>
      </w:r>
    </w:p>
    <w:p>
      <w:pPr>
        <w:pStyle w:val="ListBullet"/>
      </w:pPr>
      <w:r>
        <w:t>Non-signatory status: India is not a signatory to the Budapest Convention, which streamlines cooperation among member states; this limits the fast-track cooperation channels available compared to signatory-to-signatory cases.</w:t>
      </w:r>
    </w:p>
    <w:p>
      <w:pPr>
        <w:pStyle w:val="ListBullet"/>
      </w:pPr>
      <w:r>
        <w:t>Data localization and privacy law conflicts: Differing data protection regimes (e.g., GDPR in the EU vs. India's DPDP Act) can complicate or delay requests for subscriber or transaction data from foreign platforms.</w:t>
      </w:r>
    </w:p>
    <w:p>
      <w:pPr>
        <w:pStyle w:val="ListBullet"/>
      </w:pPr>
      <w:r>
        <w:t>Attribution difficulty: VPNs, offshore hosting, and the use of a money-mule account (rather than the principal's own account) are specifically designed to frustrate attribution back to the actual beneficiaries of the fraud.</w:t>
      </w:r>
    </w:p>
    <w:p>
      <w:pPr>
        <w:pStyle w:val="ListBullet"/>
      </w:pPr>
      <w:r>
        <w:t>Evidence format and standards mismatch: Forensic evidence collected under one jurisdiction's procedural standards may face admissibility challenges if presented in another jurisdiction's courts without matching certification/authentication requirements.</w:t>
      </w:r>
    </w:p>
    <w:p>
      <w:pPr>
        <w:pStyle w:val="Heading1"/>
      </w:pPr>
      <w:r>
        <w:t>5. Recommendations for Law Enforcement SOP Improvements</w:t>
      </w:r>
    </w:p>
    <w:p>
      <w:pPr>
        <w:pStyle w:val="ListBullet"/>
      </w:pPr>
      <w:r>
        <w:t>Establish a fast-track digital-evidence preservation request (a “quick-freeze” mechanism) that can be issued to foreign providers ahead of a full MLAT request, to prevent data deletion during the months-long MLAT process.</w:t>
      </w:r>
    </w:p>
    <w:p>
      <w:pPr>
        <w:pStyle w:val="ListBullet"/>
      </w:pPr>
      <w:r>
        <w:t>Build standing points of contact with major payment networks and banks for real-time flagging of skimming-pattern transactions, enabling earlier detection before a ring can escalate to cross-border cash-out.</w:t>
      </w:r>
    </w:p>
    <w:p>
      <w:pPr>
        <w:pStyle w:val="ListBullet"/>
      </w:pPr>
      <w:r>
        <w:t>Mandate hash-verification checkpoints at every custody transfer (not just at acquisition), with automated logging, to strengthen the evidentiary chain for cases likely to involve multi-agency or multi-country handoffs.</w:t>
      </w:r>
    </w:p>
    <w:p>
      <w:pPr>
        <w:pStyle w:val="ListBullet"/>
      </w:pPr>
      <w:r>
        <w:t>Adopt a standardized cross-border evidence packaging format (metadata + hash manifest + custody log bundled together) so that evidence collected domestically is readily admissible or at least readily verifiable when shared with foreign counterparts.</w:t>
      </w:r>
    </w:p>
    <w:p>
      <w:pPr>
        <w:pStyle w:val="ListBullet"/>
      </w:pPr>
      <w:r>
        <w:t>Invest in weak-password-aware forensic tooling (dictionary and rule-based cracking, as demonstrated in Section 4 of the technical deliverables) as a standard first step before resorting to lengthy brute-force or compelled-decryption processes, reserving compelled decryption for cases where technical recovery fails.</w:t>
      </w:r>
    </w:p>
    <w:p>
      <w:pPr>
        <w:pStyle w:val="ListBullet"/>
      </w:pPr>
      <w:r>
        <w:t>Formalize training on money-mule account identification and rapid asset-freeze procedures, since mule accounts are often the fastest-closing window for recovering or halting the flow of fraudulent proceeds.</w:t>
      </w:r>
    </w:p>
    <w:p>
      <w:pPr>
        <w:pStyle w:val="Heading1"/>
      </w:pPr>
      <w:r>
        <w:t>6. Conclusion</w:t>
      </w:r>
    </w:p>
    <w:p>
      <w:r>
        <w:t>The Operation Phantom Swipe simulation demonstrates how a combination of physical device forensics, mobile artefact analysis, and disciplined evidence handling can reconstruct a coherent fraud timeline even from a small number of artefacts. The greatest practical obstacles are not technical but procedural and jurisdictional — the speed mismatch between how quickly digital evidence can vanish and how slowly cross-border legal cooperation currently moves. Closing that gap through faster preservation mechanisms and standardized evidence handling is the single highest-leverage SOP improvement identified in this investigation.</w:t>
      </w:r>
    </w:p>
    <w:p>
      <w:pPr>
        <w:pStyle w:val="Heading1"/>
      </w:pPr>
      <w:r>
        <w:t>Appendix: Deliverables Cross-Reference</w:t>
      </w:r>
    </w:p>
    <w:p>
      <w:pPr>
        <w:pStyle w:val="ListBullet"/>
      </w:pPr>
      <w:r>
        <w:t>Cybercrime taxonomy &amp; legal mapping: 01-classification/cybercrime-taxonomy.md</w:t>
      </w:r>
    </w:p>
    <w:p>
      <w:pPr>
        <w:pStyle w:val="ListBullet"/>
      </w:pPr>
      <w:r>
        <w:t>Chain of custody &amp; acquisition log: 02-evidence-collection/</w:t>
      </w:r>
    </w:p>
    <w:p>
      <w:pPr>
        <w:pStyle w:val="ListBullet"/>
      </w:pPr>
      <w:r>
        <w:t>Evidence hashes (SHA-256, 6 files): 02-evidence-collection/evidence-hashes.sha256</w:t>
      </w:r>
    </w:p>
    <w:p>
      <w:pPr>
        <w:pStyle w:val="ListBullet"/>
      </w:pPr>
      <w:r>
        <w:t>Search strategy, evidence log, extracted artefacts: 03-media-analysis/</w:t>
      </w:r>
    </w:p>
    <w:p>
      <w:pPr>
        <w:pStyle w:val="ListBullet"/>
      </w:pPr>
      <w:r>
        <w:t>Cryptography simulation &amp; ethics discussion: 04-cryptography/</w:t>
      </w:r>
    </w:p>
    <w:p>
      <w:pPr>
        <w:pStyle w:val="ListBullet"/>
      </w:pPr>
      <w:r>
        <w:t>Tools (hash generator, string search, metadata extractor, password cracker): tools/ and 04-cryptography/crack_password.py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