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72"/>
        </w:rPr>
        <w:t>OPERATION HYDRA</w:t>
      </w:r>
    </w:p>
    <w:p/>
    <w:p/>
    <w:p/>
    <w:p/>
    <w:p/>
    <w:p/>
    <w:p>
      <w:pPr>
        <w:jc w:val="center"/>
      </w:pPr>
      <w:r>
        <w:rPr>
          <w:b/>
          <w:color w:val="44546A"/>
          <w:sz w:val="40"/>
        </w:rPr>
        <w:t>Legal, Ethical &amp; Impact Report</w:t>
      </w:r>
    </w:p>
    <w:p>
      <w:pPr>
        <w:jc w:val="center"/>
      </w:pPr>
      <w:r>
        <w:rPr>
          <w:i/>
          <w:color w:val="44546A"/>
          <w:sz w:val="24"/>
        </w:rPr>
        <w:t>Unraveling a Multi-Vector Cyber Crime Involving Phishing, Spoofing &amp; Financial Fraud</w:t>
      </w:r>
    </w:p>
    <w:p/>
    <w:p/>
    <w:p/>
    <w:p/>
    <w:p>
      <w:pPr>
        <w:jc w:val="center"/>
      </w:pPr>
      <w:r>
        <w:rPr>
          <w:sz w:val="24"/>
        </w:rPr>
        <w:t>Assignment 2 — Unit 2: Types of Cyber Crimes</w:t>
      </w:r>
    </w:p>
    <w:p>
      <w:pPr>
        <w:jc w:val="center"/>
      </w:pPr>
      <w:r>
        <w:rPr>
          <w:color w:val="2E74B5"/>
          <w:sz w:val="20"/>
        </w:rPr>
        <w:t>Repository: github.com/&lt;your-username&gt;/operation-hydra-forensics</w:t>
      </w:r>
    </w:p>
    <w:p>
      <w:r>
        <w:br w:type="page"/>
      </w:r>
    </w:p>
    <w:p>
      <w:pPr>
        <w:pStyle w:val="Heading1"/>
      </w:pPr>
      <w:r>
        <w:t>1. Executive Summary</w:t>
      </w:r>
    </w:p>
    <w:p>
      <w:r>
        <w:t>This report presents the legal, ethical, and stakeholder-impact analysis for “Operation Hydra,” a simulated multi-vector cyber crime campaign combining domain spoofing, phishing, malware-based credential theft, and financial fraud. The technical investigation — phishing header analysis, SPF/DKIM/DMARC evaluation, malware payload structure analysis, and financial fraud tracing — is documented in full in the accompanying repository. This document synthesizes those findings into a legal-technical brief: it maps each identified crime to applicable statutes, evaluates harm across five stakeholder groups, surfaces ethical tensions that arise during real investigations of this kind, and closes with policy and awareness recommendations.</w:t>
      </w:r>
    </w:p>
    <w:p>
      <w:r>
        <w:t>All technical artifacts referenced in this report — phishing samples, malware structure, transaction logs, and WHOIS records — are simulated for coursework purposes and do not reference real victims, real malicious infrastructure, or functional malicious code.</w:t>
      </w:r>
    </w:p>
    <w:p>
      <w:pPr>
        <w:pStyle w:val="Heading1"/>
      </w:pPr>
      <w:r>
        <w:t>2. Cybercrime Breakdown &amp; Legal Remedies</w:t>
      </w:r>
    </w:p>
    <w:p>
      <w:r>
        <w:t>Operation Hydra was decomposed into six distinct offenses along a single attack chain: domain spoofing enabling phishing, phishing enabling malware delivery, malware enabling credential/OTP theft, and stolen credentials enabling financial fraud that was then laundered through mule accounts and a simulated crypto off-ramp. Each stage constitutes a separate, prosecutable offense under Indian and international law, summarized below.</w:t>
      </w:r>
    </w:p>
    <w:p>
      <w:pPr>
        <w:pStyle w:val="Heading2"/>
      </w:pPr>
      <w:r>
        <w:t>2.1 Crime-to-Statute Mapping</w:t>
      </w:r>
    </w:p>
    <w:tbl>
      <w:tblPr>
        <w:tblStyle w:val="LightGrid-Accent1"/>
        <w:tblW w:type="auto" w:w="0"/>
        <w:jc w:val="center"/>
        <w:tblLook w:firstColumn="1" w:firstRow="1" w:lastColumn="0" w:lastRow="0" w:noHBand="0" w:noVBand="1" w:val="04A0"/>
      </w:tblPr>
      <w:tblGrid>
        <w:gridCol w:w="2880"/>
        <w:gridCol w:w="1872"/>
        <w:gridCol w:w="2304"/>
        <w:gridCol w:w="2736"/>
      </w:tblGrid>
      <w:tr>
        <w:tc>
          <w:tcPr>
            <w:tcW w:type="dxa" w:w="2160"/>
            <w:shd w:fill="1F3864"/>
          </w:tcPr>
          <w:p>
            <w:r>
              <w:rPr>
                <w:b/>
                <w:color w:val="FFFFFF"/>
              </w:rPr>
              <w:t>Crime</w:t>
            </w:r>
          </w:p>
        </w:tc>
        <w:tc>
          <w:tcPr>
            <w:tcW w:type="dxa" w:w="2160"/>
            <w:shd w:fill="1F3864"/>
          </w:tcPr>
          <w:p>
            <w:r>
              <w:rPr>
                <w:b/>
                <w:color w:val="FFFFFF"/>
              </w:rPr>
              <w:t>IT Act, 2000</w:t>
            </w:r>
          </w:p>
        </w:tc>
        <w:tc>
          <w:tcPr>
            <w:tcW w:type="dxa" w:w="2160"/>
            <w:shd w:fill="1F3864"/>
          </w:tcPr>
          <w:p>
            <w:r>
              <w:rPr>
                <w:b/>
                <w:color w:val="FFFFFF"/>
              </w:rPr>
              <w:t>IPC, 1860 / BNS, 2023</w:t>
            </w:r>
          </w:p>
        </w:tc>
        <w:tc>
          <w:tcPr>
            <w:tcW w:type="dxa" w:w="2160"/>
            <w:shd w:fill="1F3864"/>
          </w:tcPr>
          <w:p>
            <w:r>
              <w:rPr>
                <w:b/>
                <w:color w:val="FFFFFF"/>
              </w:rPr>
              <w:t>Global Equivalent</w:t>
            </w:r>
          </w:p>
        </w:tc>
      </w:tr>
      <w:tr>
        <w:tc>
          <w:tcPr>
            <w:tcW w:type="dxa" w:w="2880"/>
          </w:tcPr>
          <w:p>
            <w:r>
              <w:t>Email/Domain Spoofing</w:t>
            </w:r>
          </w:p>
        </w:tc>
        <w:tc>
          <w:tcPr>
            <w:tcW w:type="dxa" w:w="1872"/>
          </w:tcPr>
          <w:p>
            <w:r>
              <w:t>§66C, §66D</w:t>
            </w:r>
          </w:p>
        </w:tc>
        <w:tc>
          <w:tcPr>
            <w:tcW w:type="dxa" w:w="2304"/>
          </w:tcPr>
          <w:p>
            <w:r>
              <w:t>§463, §468, §471</w:t>
            </w:r>
          </w:p>
        </w:tc>
        <w:tc>
          <w:tcPr>
            <w:tcW w:type="dxa" w:w="2736"/>
          </w:tcPr>
          <w:p>
            <w:r>
              <w:t>Budapest Art. 7; CFAA §1030</w:t>
            </w:r>
          </w:p>
        </w:tc>
      </w:tr>
      <w:tr>
        <w:tc>
          <w:tcPr>
            <w:tcW w:type="dxa" w:w="2880"/>
          </w:tcPr>
          <w:p>
            <w:r>
              <w:t>Phishing</w:t>
            </w:r>
          </w:p>
        </w:tc>
        <w:tc>
          <w:tcPr>
            <w:tcW w:type="dxa" w:w="1872"/>
          </w:tcPr>
          <w:p>
            <w:r>
              <w:t>§66D</w:t>
            </w:r>
          </w:p>
        </w:tc>
        <w:tc>
          <w:tcPr>
            <w:tcW w:type="dxa" w:w="2304"/>
          </w:tcPr>
          <w:p>
            <w:r>
              <w:t>§420</w:t>
            </w:r>
          </w:p>
        </w:tc>
        <w:tc>
          <w:tcPr>
            <w:tcW w:type="dxa" w:w="2736"/>
          </w:tcPr>
          <w:p>
            <w:r>
              <w:t>Budapest Art. 8</w:t>
            </w:r>
          </w:p>
        </w:tc>
      </w:tr>
      <w:tr>
        <w:tc>
          <w:tcPr>
            <w:tcW w:type="dxa" w:w="2880"/>
          </w:tcPr>
          <w:p>
            <w:r>
              <w:t>Malware Distribution / Unauthorized Access</w:t>
            </w:r>
          </w:p>
        </w:tc>
        <w:tc>
          <w:tcPr>
            <w:tcW w:type="dxa" w:w="1872"/>
          </w:tcPr>
          <w:p>
            <w:r>
              <w:t>§43, §66</w:t>
            </w:r>
          </w:p>
        </w:tc>
        <w:tc>
          <w:tcPr>
            <w:tcW w:type="dxa" w:w="2304"/>
          </w:tcPr>
          <w:p>
            <w:r>
              <w:t>—</w:t>
            </w:r>
          </w:p>
        </w:tc>
        <w:tc>
          <w:tcPr>
            <w:tcW w:type="dxa" w:w="2736"/>
          </w:tcPr>
          <w:p>
            <w:r>
              <w:t>CFAA §1030; Budapest Art. 2, 6</w:t>
            </w:r>
          </w:p>
        </w:tc>
      </w:tr>
      <w:tr>
        <w:tc>
          <w:tcPr>
            <w:tcW w:type="dxa" w:w="2880"/>
          </w:tcPr>
          <w:p>
            <w:r>
              <w:t>Identity / Data Theft</w:t>
            </w:r>
          </w:p>
        </w:tc>
        <w:tc>
          <w:tcPr>
            <w:tcW w:type="dxa" w:w="1872"/>
          </w:tcPr>
          <w:p>
            <w:r>
              <w:t>§66C, §72</w:t>
            </w:r>
          </w:p>
        </w:tc>
        <w:tc>
          <w:tcPr>
            <w:tcW w:type="dxa" w:w="2304"/>
          </w:tcPr>
          <w:p>
            <w:r>
              <w:t>—</w:t>
            </w:r>
          </w:p>
        </w:tc>
        <w:tc>
          <w:tcPr>
            <w:tcW w:type="dxa" w:w="2736"/>
          </w:tcPr>
          <w:p>
            <w:r>
              <w:t>GDPR Art. 32/33; Budapest Art. 2</w:t>
            </w:r>
          </w:p>
        </w:tc>
      </w:tr>
      <w:tr>
        <w:tc>
          <w:tcPr>
            <w:tcW w:type="dxa" w:w="2880"/>
          </w:tcPr>
          <w:p>
            <w:r>
              <w:t>Financial / Payment Fraud</w:t>
            </w:r>
          </w:p>
        </w:tc>
        <w:tc>
          <w:tcPr>
            <w:tcW w:type="dxa" w:w="1872"/>
          </w:tcPr>
          <w:p>
            <w:r>
              <w:t>§66D</w:t>
            </w:r>
          </w:p>
        </w:tc>
        <w:tc>
          <w:tcPr>
            <w:tcW w:type="dxa" w:w="2304"/>
          </w:tcPr>
          <w:p>
            <w:r>
              <w:t>§420</w:t>
            </w:r>
          </w:p>
        </w:tc>
        <w:tc>
          <w:tcPr>
            <w:tcW w:type="dxa" w:w="2736"/>
          </w:tcPr>
          <w:p>
            <w:r>
              <w:t>Budapest Art. 8; CFAA §1030</w:t>
            </w:r>
          </w:p>
        </w:tc>
      </w:tr>
      <w:tr>
        <w:tc>
          <w:tcPr>
            <w:tcW w:type="dxa" w:w="2880"/>
          </w:tcPr>
          <w:p>
            <w:r>
              <w:t>Money Laundering</w:t>
            </w:r>
          </w:p>
        </w:tc>
        <w:tc>
          <w:tcPr>
            <w:tcW w:type="dxa" w:w="1872"/>
          </w:tcPr>
          <w:p>
            <w:r>
              <w:t>§66, §43 (instrumental)</w:t>
            </w:r>
          </w:p>
        </w:tc>
        <w:tc>
          <w:tcPr>
            <w:tcW w:type="dxa" w:w="2304"/>
          </w:tcPr>
          <w:p>
            <w:r>
              <w:t>§120B</w:t>
            </w:r>
          </w:p>
        </w:tc>
        <w:tc>
          <w:tcPr>
            <w:tcW w:type="dxa" w:w="2736"/>
          </w:tcPr>
          <w:p>
            <w:r>
              <w:t>Budapest Art. 25 (MLA); FATF standards</w:t>
            </w:r>
          </w:p>
        </w:tc>
      </w:tr>
    </w:tbl>
    <w:p/>
    <w:p>
      <w:r>
        <w:t>The full kill-chain narrative and section-by-section statutory justification are documented in 01-classification/cybercrime-mapping.md. Two remedies deserve emphasis here. First, IT Act §43A creates civil liability for a body corporate that fails to maintain reasonable security practices and thereby causes wrongful loss — relevant if the impersonated bank's own systems contributed to the campaign's plausibility. Second, IPC §120B (criminal conspiracy) is the charge most likely to bring in secondary participants such as mule-account holders and money launderers who may never have touched the phishing infrastructure directly.</w:t>
      </w:r>
    </w:p>
    <w:p>
      <w:pPr>
        <w:pStyle w:val="Heading2"/>
      </w:pPr>
      <w:r>
        <w:t>2.2 Cross-Border Enforcement Gap</w:t>
      </w:r>
    </w:p>
    <w:p>
      <w:r>
        <w:t>A recurring practical problem in cases like Hydra is jurisdiction. The simulated header analysis placed originating infrastructure outside India (WHOIS registrant countries of Panama and China in the simulated records), which is realistic: real phishing infrastructure is routinely hosted or registered abroad specifically to complicate Indian law enforcement's ability to compel disclosure or extradite. The Budapest Convention on Cybercrime provides a mutual legal assistance framework for signatory states, but India is not a signatory, which narrows the available cross-border cooperation channels to bilateral treaties and informal law-enforcement-to-law-enforcement requests — both slower than an evidence trail that goes cold within days.</w:t>
      </w:r>
    </w:p>
    <w:p>
      <w:pPr>
        <w:pStyle w:val="Heading1"/>
      </w:pPr>
      <w:r>
        <w:t>3. Impact on Stakeholders</w:t>
      </w:r>
    </w:p>
    <w:p>
      <w:r>
        <w:t>A single campaign like Hydra generates harm across several distinct groups, each experiencing a different kind of loss and requiring a different remedy.</w:t>
      </w:r>
    </w:p>
    <w:p>
      <w:pPr>
        <w:pStyle w:val="Heading2"/>
      </w:pPr>
      <w:r>
        <w:t>3.1 Direct Victims (Account Holders)</w:t>
      </w:r>
    </w:p>
    <w:p>
      <w:pPr>
        <w:pStyle w:val="ListBullet"/>
      </w:pPr>
      <w:r>
        <w:t>Financial: direct monetary loss (₹138,000+ traced in the simulated fraud scenario), plus the burden of proving the transaction was unauthorized to recover funds under RBI's limited-liability circular.</w:t>
      </w:r>
    </w:p>
    <w:p>
      <w:pPr>
        <w:pStyle w:val="ListBullet"/>
      </w:pPr>
      <w:r>
        <w:t>Emotional: victims of OTP-harvesting and account-takeover fraud commonly report acute anxiety and a lasting loss of trust in digital banking, independent of whether funds are eventually recovered.</w:t>
      </w:r>
    </w:p>
    <w:p>
      <w:pPr>
        <w:pStyle w:val="ListBullet"/>
      </w:pPr>
      <w:r>
        <w:t>Time and administrative cost: filing police complaints, bank disputes, and credit monitoring after identity theft imposes a burden disproportionate to the amount stolen in many cases.</w:t>
      </w:r>
    </w:p>
    <w:p>
      <w:pPr>
        <w:pStyle w:val="Heading2"/>
      </w:pPr>
      <w:r>
        <w:t>3.2 Impersonated Institutions (Bank / UPI Provider)</w:t>
      </w:r>
    </w:p>
    <w:p>
      <w:pPr>
        <w:pStyle w:val="ListBullet"/>
      </w:pPr>
      <w:r>
        <w:t>Reputational: repeated impersonation erodes customer trust in the brand even though the institution's own systems were not breached.</w:t>
      </w:r>
    </w:p>
    <w:p>
      <w:pPr>
        <w:pStyle w:val="ListBullet"/>
      </w:pPr>
      <w:r>
        <w:t>Financial: reimbursement obligations under RBI customer-liability rules, plus the cost of takedown requests, SPF/DKIM/DMARC hardening, and customer communication campaigns.</w:t>
      </w:r>
    </w:p>
    <w:p>
      <w:pPr>
        <w:pStyle w:val="ListBullet"/>
      </w:pPr>
      <w:r>
        <w:t>Regulatory: obligation to report the incident and, if any EU data subjects were affected, GDPR breach-notification duties within 72 hours.</w:t>
      </w:r>
    </w:p>
    <w:p>
      <w:pPr>
        <w:pStyle w:val="Heading2"/>
      </w:pPr>
      <w:r>
        <w:t>3.3 Unwitting Participants (Mule Account Holders)</w:t>
      </w:r>
    </w:p>
    <w:p>
      <w:r>
        <w:t>Individuals who allow their accounts to be used to receive and forward stolen funds — sometimes knowingly for a fee, sometimes as victims of a separate job-offer scam — occupy an ambiguous position. They face account freezes, potential criminal liability under §120B or as accessories, and reputational harm, even where their own culpability is unclear. This ambiguity is itself an impact worth naming: the fraud-tracing analysis in Section 4 of the technical repository identified a single mule account receiving funds from two separate victims, which is the kind of pattern investigators use to distinguish a knowing participant from an unwitting one.</w:t>
      </w:r>
    </w:p>
    <w:p>
      <w:pPr>
        <w:pStyle w:val="Heading2"/>
      </w:pPr>
      <w:r>
        <w:t>3.4 Payment and Telecom Infrastructure Providers</w:t>
      </w:r>
    </w:p>
    <w:p>
      <w:pPr>
        <w:pStyle w:val="ListBullet"/>
      </w:pPr>
      <w:r>
        <w:t>UPI switch operators and payment gateways bear compliance and monitoring costs to detect structuring patterns like the sub-₹50,000 transfers observed in the simulated trace.</w:t>
      </w:r>
    </w:p>
    <w:p>
      <w:pPr>
        <w:pStyle w:val="ListBullet"/>
      </w:pPr>
      <w:r>
        <w:t>Telecom/SMS providers face pressure to filter OTP-relay abuse without introducing false positives that block legitimate one-time passwords.</w:t>
      </w:r>
    </w:p>
    <w:p>
      <w:pPr>
        <w:pStyle w:val="Heading2"/>
      </w:pPr>
      <w:r>
        <w:t>3.5 Broader Public and Regulators</w:t>
      </w:r>
    </w:p>
    <w:p>
      <w:r>
        <w:t>Each successful campaign of this kind lowers aggregate trust in digital payment systems, which is a policy concern for regulators pursuing financial inclusion goals, and it consumes limited law-enforcement and CERT-In investigative capacity that would otherwise go to other cases.</w:t>
      </w:r>
    </w:p>
    <w:p>
      <w:pPr>
        <w:pStyle w:val="Heading1"/>
      </w:pPr>
      <w:r>
        <w:t>4. Ethical Dilemmas</w:t>
      </w:r>
    </w:p>
    <w:p>
      <w:r>
        <w:t>Investigating and prosecuting campaigns like Hydra raises tensions that don't have clean answers even when the legal position is clear.</w:t>
      </w:r>
    </w:p>
    <w:p>
      <w:pPr>
        <w:pStyle w:val="Heading2"/>
      </w:pPr>
      <w:r>
        <w:t>4.1 Crypto Tracing vs. Financial Privacy</w:t>
      </w:r>
    </w:p>
    <w:p>
      <w:r>
        <w:t>Tracing funds onto a blockchain off-ramp, as modeled in the fraud-tracing simulation, requires either voluntary exchange cooperation or compelled disclosure — both of which sit in tension with the pseudonymity that legitimate cryptocurrency users also rely on. A subpoena broad enough to identify a laundering wallet's real-world owner can also expose unrelated transaction history for that individual, and blockchain analytics firms that provide this tracing capability to law enforcement operate with limited public oversight of their methods and error rates. The ethical question is not whether tracing should happen, but how narrowly it can be scoped and how errors (false attribution) are corrected.</w:t>
      </w:r>
    </w:p>
    <w:p>
      <w:pPr>
        <w:pStyle w:val="Heading2"/>
      </w:pPr>
      <w:r>
        <w:t>4.2 Deceptive Honeypots and Entrapment</w:t>
      </w:r>
    </w:p>
    <w:p>
      <w:r>
        <w:t>A common investigative technique against phishing infrastructure is a honeypot: a fake “victim” account or credential set designed to lure the attacker into revealing more about their infrastructure or intent. This is broadly defensible when it passively observes an attacker who initiated contact, but the ethical and legal line blurs if investigators actively encourage an attacker toward conduct they would not otherwise have committed — the entrapment concern familiar from physical-world sting operations. A second, less-discussed dilemma is that honeypot infrastructure convincing enough to fool a sophisticated attacker is often equally convincing to a real, uninvolved user who stumbles onto it, which creates a duty of care investigators must design around.</w:t>
      </w:r>
    </w:p>
    <w:p>
      <w:pPr>
        <w:pStyle w:val="Heading2"/>
      </w:pPr>
      <w:r>
        <w:t>4.3 Responsible Disclosure vs. Public Warning</w:t>
      </w:r>
    </w:p>
    <w:p>
      <w:r>
        <w:t>Once investigators identify active phishing domains and C2 infrastructure, there is a tension between disclosing details publicly (warning potential victims immediately) and keeping them confidential (preserving the investigation's ability to monitor the infrastructure and identify further victims or the operator before it is taken down). Neither choice is free of cost; the ethical weighting depends on the immediacy of ongoing harm to the public versus the investigative value of continued monitoring.</w:t>
      </w:r>
    </w:p>
    <w:p>
      <w:pPr>
        <w:pStyle w:val="Heading2"/>
      </w:pPr>
      <w:r>
        <w:t>4.4 Liability Attribution Under Uncertainty</w:t>
      </w:r>
    </w:p>
    <w:p>
      <w:r>
        <w:t>Distinguishing a knowing money mule from a scam victim recruited under a fake job offer often cannot be done with certainty at the time accounts are frozen. Treating all mule accounts as equally culpable risks punishing people who were themselves defrauded; treating none as culpable risks giving genuine launderers a standing defense. This is less a technical problem than a due-process design problem: what evidentiary threshold should trigger criminal referral versus civil account freeze pending investigation.</w:t>
      </w:r>
    </w:p>
    <w:p>
      <w:pPr>
        <w:pStyle w:val="Heading1"/>
      </w:pPr>
      <w:r>
        <w:t>5. Public Awareness &amp; Policy Recommendations</w:t>
      </w:r>
    </w:p>
    <w:p>
      <w:pPr>
        <w:pStyle w:val="Heading2"/>
      </w:pPr>
      <w:r>
        <w:t>5.1 Technical / Regulatory</w:t>
      </w:r>
    </w:p>
    <w:p>
      <w:pPr>
        <w:pStyle w:val="ListBullet"/>
      </w:pPr>
      <w:r>
        <w:t>Mandate DMARC enforcement at p=reject (not p=none) for regulated financial institutions and their approved communication domains, closing the gap identified in Sample 2's analysis.</w:t>
      </w:r>
    </w:p>
    <w:p>
      <w:pPr>
        <w:pStyle w:val="ListBullet"/>
      </w:pPr>
      <w:r>
        <w:t>Require payment switches to flag structuring patterns — multiple transfers just under a reporting threshold to the same or related payees within a short window — as a standard real-time rule, not a post-hoc audit finding.</w:t>
      </w:r>
    </w:p>
    <w:p>
      <w:pPr>
        <w:pStyle w:val="ListBullet"/>
      </w:pPr>
      <w:r>
        <w:t>Extend mandatory attachment-type filtering (blocking double-extension executables such as *.pdf.exe) at the gateway level for institutions handling financial transactions.</w:t>
      </w:r>
    </w:p>
    <w:p>
      <w:pPr>
        <w:pStyle w:val="Heading2"/>
      </w:pPr>
      <w:r>
        <w:t>5.2 Public Awareness</w:t>
      </w:r>
    </w:p>
    <w:p>
      <w:pPr>
        <w:pStyle w:val="ListBullet"/>
      </w:pPr>
      <w:r>
        <w:t>Campaigns should specifically target OTP-harvesting patterns rather than generic “don't click suspicious links” messaging — the technical analysis in this report found OTP-harvesting to be the highest-impact vector because it defeats two-factor authentication directly.</w:t>
      </w:r>
    </w:p>
    <w:p>
      <w:pPr>
        <w:pStyle w:val="ListBullet"/>
      </w:pPr>
      <w:r>
        <w:t>Bank and UPI provider communications should consistently state a policy of never requesting OTP confirmation via inbound link, so any message that does so is self-evidently fraudulent regardless of how convincing its branding is.</w:t>
      </w:r>
    </w:p>
    <w:p>
      <w:pPr>
        <w:pStyle w:val="Heading2"/>
      </w:pPr>
      <w:r>
        <w:t>5.3 Institutional / Legal</w:t>
      </w:r>
    </w:p>
    <w:p>
      <w:pPr>
        <w:pStyle w:val="ListBullet"/>
      </w:pPr>
      <w:r>
        <w:t>Streamline the mule-account evidentiary process described in Section 4.4, distinguishing an interim civil freeze (low evidentiary bar, reversible) from a criminal referral (higher bar), so unwitting participants are not treated identically to knowing launderers by default.</w:t>
      </w:r>
    </w:p>
    <w:p>
      <w:pPr>
        <w:pStyle w:val="ListBullet"/>
      </w:pPr>
      <w:r>
        <w:t>Pursue expanded bilateral mutual-legal-assistance arrangements given India's non-membership in the Budapest Convention, to reduce the cross-border evidence-gathering delay identified in Section 2.2.</w:t>
      </w:r>
    </w:p>
    <w:p>
      <w:pPr>
        <w:pStyle w:val="Heading1"/>
      </w:pPr>
      <w:r>
        <w:t>6. Conclusion</w:t>
      </w:r>
    </w:p>
    <w:p>
      <w:r>
        <w:t>Operation Hydra illustrates how a single campaign chains together offenses that are individually well-covered by existing law — spoofing, phishing, unauthorized access, fraud, and laundering all map cleanly to specific IT Act, IPC, and international provisions — but whose investigation and remediation nonetheless surface hard, unresolved tensions: how narrowly to trace crypto off-ramps, how far honeypot deception can ethically go, when to warn the public versus keep monitoring quietly, and how to fairly sort victims from culpable participants among mule-account holders. Closing the technical gaps identified here (DMARC enforcement, structuring detection, attachment filtering) would blunt this specific attack pattern, but the ethical and jurisdictional questions in Sections 4 and 2.2 will recur under the next campaign's specific technical details even if this one is fully remediated.</w:t>
      </w:r>
    </w:p>
    <w:p>
      <w:pPr>
        <w:pStyle w:val="Heading1"/>
      </w:pPr>
      <w:r>
        <w:t>References</w:t>
      </w:r>
    </w:p>
    <w:p>
      <w:r>
        <w:t>Information Technology Act, 2000 (as amended 2008).</w:t>
      </w:r>
    </w:p>
    <w:p>
      <w:r>
        <w:t>Indian Penal Code, 1860; Bharatiya Nyaya Sanhita, 2023.</w:t>
      </w:r>
    </w:p>
    <w:p>
      <w:r>
        <w:t>Council of Europe, Convention on Cybercrime (Budapest Convention), 2001.</w:t>
      </w:r>
    </w:p>
    <w:p>
      <w:r>
        <w:t>Computer Fraud and Abuse Act, 18 U.S.C. §1030.</w:t>
      </w:r>
    </w:p>
    <w:p>
      <w:r>
        <w:t>General Data Protection Regulation (EU) 2016/679, Art. 32–33.</w:t>
      </w:r>
    </w:p>
    <w:p>
      <w:r>
        <w:t>Reserve Bank of India, Customer Protection — Limiting Liability of Customers in Unauthorised Electronic Banking Transactions, Circular, 2017.</w:t>
      </w:r>
    </w:p>
    <w:p>
      <w:r>
        <w:t>Full technical analysis, tooling, and simulated evidence: github.com/&lt;your-username&gt;/operation-hydra-forensics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r>
      <w:t xml:space="preserve"> /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4546A"/>
        <w:sz w:val="16"/>
      </w:rPr>
      <w:t>Operation Hydra — Legal, Ethical &amp; Impact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4546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