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888888"/>
          <w:sz w:val="24"/>
        </w:rPr>
        <w:t>YUVA INTERN — VIRTUAL INTERNSHIP PROGRAM</w:t>
        <w:br/>
      </w:r>
      <w:r>
        <w:rPr>
          <w:rFonts w:ascii="Calibri" w:hAnsi="Calibri"/>
          <w:b/>
          <w:color w:val="1F4E79"/>
          <w:sz w:val="44"/>
        </w:rPr>
        <w:t>Task 3: Statistical Analysis and Predictive Modeling using R</w:t>
        <w:br/>
      </w:r>
      <w:r>
        <w:rPr>
          <w:rFonts w:ascii="Calibri" w:hAnsi="Calibri"/>
          <w:color w:val="555555"/>
          <w:sz w:val="25"/>
        </w:rPr>
        <w:t>Comprehensive Technical Documentation on Parametric &amp; Non-Parametric Hypothesis Testing, Binary Logistic Regression, Random Forest Benchmarking, Model Diagnostics, and Optimal Decision Cutoff Tuning</w:t>
      </w:r>
    </w:p>
    <w:tbl>
      <w:tblPr>
        <w:tblW w:type="auto" w:w="0"/>
        <w:jc w:val="center"/>
        <w:tblLook w:firstColumn="1" w:firstRow="1" w:lastColumn="0" w:lastRow="0" w:noHBand="0" w:noVBand="1" w:val="04A0"/>
      </w:tblPr>
      <w:tblGrid>
        <w:gridCol w:w="4680"/>
        <w:gridCol w:w="4680"/>
      </w:tblGrid>
      <w:tr>
        <w:tc>
          <w:tcPr>
            <w:tcW w:type="dxa" w:w="2880"/>
            <w:shd w:val="clear" w:color="auto" w:fill="1F4E79"/>
            <w:tcMar>
              <w:top w:w="120" w:type="dxa"/>
              <w:bottom w:w="120" w:type="dxa"/>
              <w:left w:w="120" w:type="dxa"/>
              <w:right w:w="120" w:type="dxa"/>
            </w:tcMar>
          </w:tcPr>
          <w:p>
            <w:pPr>
              <w:jc w:val="left"/>
            </w:pPr>
            <w:r>
              <w:rPr>
                <w:rFonts w:ascii="Calibri" w:hAnsi="Calibri"/>
                <w:b/>
                <w:color w:val="FFFFFF"/>
                <w:sz w:val="20"/>
              </w:rPr>
              <w:t>Attribute</w:t>
            </w:r>
          </w:p>
        </w:tc>
        <w:tc>
          <w:tcPr>
            <w:tcW w:type="dxa" w:w="6480"/>
            <w:shd w:val="clear" w:color="auto" w:fill="1F4E79"/>
            <w:tcMar>
              <w:top w:w="120" w:type="dxa"/>
              <w:bottom w:w="120" w:type="dxa"/>
              <w:left w:w="120" w:type="dxa"/>
              <w:right w:w="120" w:type="dxa"/>
            </w:tcMar>
          </w:tcPr>
          <w:p>
            <w:pPr>
              <w:jc w:val="left"/>
            </w:pPr>
            <w:r>
              <w:rPr>
                <w:rFonts w:ascii="Calibri" w:hAnsi="Calibri"/>
                <w:b/>
                <w:color w:val="FFFFFF"/>
                <w:sz w:val="20"/>
              </w:rPr>
              <w:t>Internship Project Specification</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Internship Track</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Virtual R Data Analyst Intern</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Host Organization</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Yuva Intern (Skill Development &amp; Virtual Internship Program)</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Candidate</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Data Analyst Intern</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Submission Scope</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Task 3: Inferential Hypothesis Testing, Supervised Classification, Model Diagnostics &amp; Optimization</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Estimated Effort</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30 – 35 Hours of Dedicated Statistical Modeling &amp; Algorithmic Evaluation</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Programming Environment</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R (v4.3+), caret, pROC, car, randomForest, statsmodels, scikit-learn</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Report Submission Format</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Microsoft Word (.docx) — Rigorous Technical Milestone Report</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Date of Submission</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October 2026</w:t>
            </w:r>
          </w:p>
        </w:tc>
      </w:tr>
    </w:tbl>
    <w:p>
      <w:pPr>
        <w:spacing w:after="120"/>
      </w:pPr>
    </w:p>
    <w:p>
      <w:r>
        <w:br w:type="page"/>
      </w:r>
    </w:p>
    <w:p>
      <w:pPr>
        <w:keepNext/>
        <w:spacing w:before="360" w:after="120"/>
      </w:pPr>
      <w:r>
        <w:rPr>
          <w:rFonts w:ascii="Calibri" w:hAnsi="Calibri"/>
          <w:b/>
          <w:color w:val="1F4E79"/>
          <w:sz w:val="32"/>
        </w:rPr>
        <w:t>1. Executive Summary &amp; Project Objectives</w:t>
      </w:r>
    </w:p>
    <w:p>
      <w:pPr>
        <w:spacing w:before="0" w:after="120" w:line="276" w:lineRule="auto"/>
      </w:pPr>
      <w:r>
        <w:rPr>
          <w:rFonts w:ascii="Calibri" w:hAnsi="Calibri"/>
          <w:color w:val="262626"/>
          <w:sz w:val="22"/>
        </w:rPr>
        <w:t>The third milestone of the Virtual R Data Analyst Internship with Yuva Intern shifts the focus from descriptive exploration and data visualization to inferential statistical analysis and supervised predictive modeling. In corporate settings, identifying that customers are leaving is only the first step; data teams must establish whether observed patterns are statistically significant, build algorithms that predict customer attrition before it occurs, and optimize decision thresholds to maximize business ROI.</w:t>
      </w:r>
    </w:p>
    <w:p>
      <w:pPr>
        <w:spacing w:before="0" w:after="120" w:line="276" w:lineRule="auto"/>
      </w:pPr>
      <w:r>
        <w:rPr>
          <w:rFonts w:ascii="Calibri" w:hAnsi="Calibri"/>
          <w:color w:val="262626"/>
          <w:sz w:val="22"/>
        </w:rPr>
        <w:t>Building upon the cleaned and preprocessed IBM Telco Customer Churn dataset (7,043 observations across 21 variables), this project executes a complete end-to-end inferential modeling workflow spanning approximately 34 hours of focused work. Key milestones achieved include:</w:t>
      </w:r>
    </w:p>
    <w:p>
      <w:pPr>
        <w:spacing w:before="40" w:after="60"/>
        <w:ind w:left="360"/>
      </w:pPr>
      <w:r>
        <w:rPr>
          <w:b/>
          <w:color w:val="1F4E79"/>
        </w:rPr>
        <w:t xml:space="preserve">• Parametric &amp; Non-Parametric Hypothesis Testing: </w:t>
      </w:r>
      <w:r>
        <w:t>Formulated and evaluated formal statistical hypotheses. Applied two-sample Welch's t-tests alongside Mann-Whitney U rank-sum tests to confirm that churned subscribers pay significantly higher monthly rates ($74.44 vs $61.27, p &lt; 0.001) and maintain significantly lower tenure (17.98 vs 37.57 months, p &lt; 0.001). Executed Pearson's Chi-Square tests of independence, establishing Contract length as the most powerful categorical association (Chi2 = 1,184.60, Cramer's V = 0.410).</w:t>
      </w:r>
    </w:p>
    <w:p>
      <w:pPr>
        <w:spacing w:before="40" w:after="60"/>
        <w:ind w:left="360"/>
      </w:pPr>
      <w:r>
        <w:rPr>
          <w:b/>
          <w:color w:val="1F4E79"/>
        </w:rPr>
        <w:t xml:space="preserve">• Predictive Classification Architecture: </w:t>
      </w:r>
      <w:r>
        <w:t>Implemented an 80/20 stratified train/test split with 5-fold cross-validation. Built a multivariate binary Logistic Regression model achieving a cross-validated AUC of 0.8459, matching the non-linear Random Forest benchmark (AUC = 0.8450).</w:t>
      </w:r>
    </w:p>
    <w:p>
      <w:pPr>
        <w:spacing w:before="40" w:after="60"/>
        <w:ind w:left="360"/>
      </w:pPr>
      <w:r>
        <w:rPr>
          <w:b/>
          <w:color w:val="1F4E79"/>
        </w:rPr>
        <w:t xml:space="preserve">• Diagnostic &amp; Multicollinearity Auditing: </w:t>
      </w:r>
      <w:r>
        <w:t>Evaluated goodness-of-fit via McFadden's Pseudo R-squared (0.2873, indicating strong explanatory power) and diagnosed severe multicollinearity (VIF &gt; 100) between individual service add-ons and overall monthly recurring charges.</w:t>
      </w:r>
    </w:p>
    <w:p>
      <w:pPr>
        <w:spacing w:before="40" w:after="60"/>
        <w:ind w:left="360"/>
      </w:pPr>
      <w:r>
        <w:rPr>
          <w:b/>
          <w:color w:val="1F4E79"/>
        </w:rPr>
        <w:t xml:space="preserve">• Decision Cutoff Optimization for Retention ROI: </w:t>
      </w:r>
      <w:r>
        <w:t>Recognized that False Negatives (unidentified churners who cancel service) carry severe financial penalties compared to False Positives. Using Youden's J statistic, I optimized the classification threshold from the standard 0.50 down to 0.26. This increased churn detection recall from 55.35% to 79.95%, reducing missed churners from 167 down to 75 (a 55.1% reduction in False Negatives).</w:t>
      </w:r>
    </w:p>
    <w:tbl>
      <w:tblPr>
        <w:tblW w:type="auto" w:w="0"/>
        <w:jc w:val="center"/>
        <w:tblLook w:firstColumn="1" w:firstRow="1" w:lastColumn="0" w:lastRow="0" w:noHBand="0" w:noVBand="1" w:val="04A0"/>
      </w:tblPr>
      <w:tblGrid>
        <w:gridCol w:w="9360"/>
      </w:tblGrid>
      <w:tr>
        <w:tc>
          <w:tcPr>
            <w:tcW w:type="dxa" w:w="9360"/>
            <w:shd w:val="clear" w:color="auto" w:fill="F2F5F9"/>
            <w:tcMar>
              <w:top w:w="140" w:type="dxa"/>
              <w:bottom w:w="140" w:type="dxa"/>
              <w:left w:w="200" w:type="dxa"/>
              <w:right w:w="200" w:type="dxa"/>
            </w:tcMar>
            <w:tcBorders>
              <w:left w:val="single" w:sz="24" w:space="0" w:color="1F4E79"/>
              <w:top w:val="none"/>
              <w:bottom w:val="none"/>
              <w:right w:val="none"/>
            </w:tcBorders>
          </w:tcPr>
          <w:p>
            <w:pPr>
              <w:spacing w:before="40" w:after="40"/>
            </w:pPr>
            <w:r>
              <w:rPr>
                <w:rFonts w:ascii="Calibri" w:hAnsi="Calibri"/>
                <w:b/>
                <w:color w:val="1F4E79"/>
                <w:sz w:val="20"/>
              </w:rPr>
              <w:t xml:space="preserve">[METHODOLOGICAL RIGOR] </w:t>
            </w:r>
            <w:r>
              <w:rPr>
                <w:rFonts w:ascii="Calibri" w:hAnsi="Calibri"/>
                <w:i/>
                <w:color w:val="333333"/>
                <w:sz w:val="20"/>
              </w:rPr>
              <w:t>Every model evaluation metric in this report reflects out-of-sample performance on an unseen 20% test holdout (N = 1,409) and 5-fold cross-validation, guaranteeing zero optimistic bias or data leakage.</w:t>
            </w:r>
          </w:p>
        </w:tc>
      </w:tr>
    </w:tbl>
    <w:p>
      <w:pPr>
        <w:spacing w:after="80"/>
      </w:pPr>
    </w:p>
    <w:p>
      <w:pPr>
        <w:keepNext/>
        <w:spacing w:before="360" w:after="120"/>
      </w:pPr>
      <w:r>
        <w:rPr>
          <w:rFonts w:ascii="Calibri" w:hAnsi="Calibri"/>
          <w:b/>
          <w:color w:val="1F4E79"/>
          <w:sz w:val="32"/>
        </w:rPr>
        <w:t>2. Dataset Identification &amp; Modeling Suitability Rationale</w:t>
      </w:r>
    </w:p>
    <w:p>
      <w:pPr>
        <w:spacing w:before="0" w:after="120" w:line="276" w:lineRule="auto"/>
      </w:pPr>
      <w:r>
        <w:rPr>
          <w:rFonts w:ascii="Calibri" w:hAnsi="Calibri"/>
          <w:color w:val="262626"/>
          <w:sz w:val="22"/>
        </w:rPr>
        <w:t>The IBM Telco Customer Churn dataset provides an ideal operational foundation for statistical hypothesis testing and supervised classification modeling for several specific reasons:</w:t>
      </w:r>
    </w:p>
    <w:p>
      <w:pPr>
        <w:spacing w:before="40" w:after="60"/>
        <w:ind w:left="360"/>
      </w:pPr>
      <w:r>
        <w:rPr>
          <w:b/>
          <w:color w:val="1F4E79"/>
        </w:rPr>
        <w:t xml:space="preserve">• Well-Defined Binary Target Event: </w:t>
      </w:r>
      <w:r>
        <w:t>The response variable Churn clearly categorizes whether a subscriber cancelled service within the past month (Yes = 1, No = 0), establishing an unambiguous objective for binary logistic regression.</w:t>
      </w:r>
    </w:p>
    <w:p>
      <w:pPr>
        <w:spacing w:before="40" w:after="60"/>
        <w:ind w:left="360"/>
      </w:pPr>
      <w:r>
        <w:rPr>
          <w:b/>
          <w:color w:val="1F4E79"/>
        </w:rPr>
        <w:t xml:space="preserve">• Balanced Complexity &amp; Real-World Imbalance: </w:t>
      </w:r>
      <w:r>
        <w:t>With 1,869 churned customers (26.54%) and 5,174 retained customers (73.46%), the dataset presents moderate class imbalance typical of industrial customer bases. This makes it ideal for demonstrating why accuracy alone is misleading and why sensitivity, ROC-AUC, and threshold tuning are necessary.</w:t>
      </w:r>
    </w:p>
    <w:p>
      <w:pPr>
        <w:spacing w:before="40" w:after="60"/>
        <w:ind w:left="360"/>
      </w:pPr>
      <w:r>
        <w:rPr>
          <w:b/>
          <w:color w:val="1F4E79"/>
        </w:rPr>
        <w:t xml:space="preserve">• Mix of Continuous &amp; Multi-Level Nominal Predictors: </w:t>
      </w:r>
      <w:r>
        <w:t>Contains a rich blend of continuous time-to-event features (tenure), continuous billing variables (MonthlyCharges, TotalCharges), and multi-level categorical factors (broadband types, contract lengths, billing channels). This allows us to demonstrate both two-sample group difference tests and multi-way contingency tests.</w:t>
      </w:r>
    </w:p>
    <w:p>
      <w:pPr>
        <w:spacing w:before="40" w:after="60"/>
        <w:ind w:left="360"/>
      </w:pPr>
      <w:r>
        <w:rPr>
          <w:b/>
          <w:color w:val="1F4E79"/>
        </w:rPr>
        <w:t xml:space="preserve">• Continuous Analytical Trajectory Across Internship: </w:t>
      </w:r>
      <w:r>
        <w:t>Continuing with the dataset refined in Tasks 1 and 2 creates a cohesive, professional narrative that mirrors a real corporate data science engagement.</w:t>
      </w:r>
    </w:p>
    <w:p>
      <w:pPr>
        <w:keepNext/>
        <w:spacing w:before="360" w:after="120"/>
      </w:pPr>
      <w:r>
        <w:rPr>
          <w:rFonts w:ascii="Calibri" w:hAnsi="Calibri"/>
          <w:b/>
          <w:color w:val="1F4E79"/>
          <w:sz w:val="32"/>
        </w:rPr>
        <w:t>3. Inferential Hypothesis Testing Suite</w:t>
      </w:r>
    </w:p>
    <w:p>
      <w:pPr>
        <w:spacing w:before="0" w:after="120" w:line="276" w:lineRule="auto"/>
      </w:pPr>
      <w:r>
        <w:rPr>
          <w:rFonts w:ascii="Calibri" w:hAnsi="Calibri"/>
          <w:color w:val="262626"/>
          <w:sz w:val="22"/>
        </w:rPr>
        <w:t>Prior to fitting multivariate predictive algorithms, I conducted formal hypothesis tests to determine whether observed differences in customer cohorts were statistically significant or merely sampling noise.</w:t>
      </w:r>
    </w:p>
    <w:p>
      <w:pPr>
        <w:keepNext/>
        <w:spacing w:before="280" w:after="80"/>
      </w:pPr>
      <w:r>
        <w:rPr>
          <w:rFonts w:ascii="Calibri" w:hAnsi="Calibri"/>
          <w:b/>
          <w:color w:val="2F5597"/>
          <w:sz w:val="26"/>
        </w:rPr>
        <w:t>3.1 Hypothesis 1: Monthly Charges Difference Across Churn Status</w:t>
      </w:r>
    </w:p>
    <w:p>
      <w:pPr>
        <w:spacing w:before="0" w:after="120" w:line="276" w:lineRule="auto"/>
      </w:pPr>
      <w:r>
        <w:rPr>
          <w:rFonts w:ascii="Calibri" w:hAnsi="Calibri"/>
          <w:color w:val="262626"/>
          <w:sz w:val="22"/>
        </w:rPr>
        <w:t>Research Question: Do customers who churn pay higher monthly rates on average than retained customers?</w:t>
      </w:r>
    </w:p>
    <w:p>
      <w:pPr>
        <w:spacing w:before="0" w:after="120" w:line="276" w:lineRule="auto"/>
      </w:pPr>
      <w:r>
        <w:rPr>
          <w:rFonts w:ascii="Calibri" w:hAnsi="Calibri"/>
          <w:color w:val="262626"/>
          <w:sz w:val="22"/>
        </w:rPr>
        <w:t>Statistical Hypotheses:</w:t>
      </w:r>
    </w:p>
    <w:p>
      <w:pPr>
        <w:spacing w:before="0" w:after="120" w:line="276" w:lineRule="auto"/>
      </w:pPr>
      <w:r>
        <w:rPr>
          <w:rFonts w:ascii="Calibri" w:hAnsi="Calibri"/>
          <w:color w:val="262626"/>
          <w:sz w:val="22"/>
        </w:rPr>
        <w:t xml:space="preserve">  • Null Hypothesis (H0): μ(Churned) = μ(Retained) — Mean monthly recurring charges are identical across groups.</w:t>
      </w:r>
    </w:p>
    <w:p>
      <w:pPr>
        <w:spacing w:before="0" w:after="120" w:line="276" w:lineRule="auto"/>
      </w:pPr>
      <w:r>
        <w:rPr>
          <w:rFonts w:ascii="Calibri" w:hAnsi="Calibri"/>
          <w:color w:val="262626"/>
          <w:sz w:val="22"/>
        </w:rPr>
        <w:t xml:space="preserve">  • Alternative Hypothesis (H1): μ(Churned) &gt; μ(Retained) — Churned subscribers pay significantly higher monthly rates.</w:t>
      </w:r>
    </w:p>
    <w:p>
      <w:pPr>
        <w:spacing w:before="0" w:after="120" w:line="276" w:lineRule="auto"/>
      </w:pPr>
      <w:r>
        <w:rPr>
          <w:rFonts w:ascii="Calibri" w:hAnsi="Calibri"/>
          <w:color w:val="262626"/>
          <w:sz w:val="22"/>
        </w:rPr>
        <w:t>Normality and Variance Check: Because continuous billing distributions exhibit bimodality, I evaluated both Welch's two-sample t-test (which relaxes the equal variance assumption) and the non-parametric Mann-Whitney U test (Wilcoxon rank-sum test).</w:t>
      </w:r>
    </w:p>
    <w:p>
      <w:pPr>
        <w:spacing w:before="160" w:after="80"/>
        <w:jc w:val="center"/>
      </w:pPr>
      <w:r>
        <w:drawing>
          <wp:inline xmlns:a="http://schemas.openxmlformats.org/drawingml/2006/main" xmlns:pic="http://schemas.openxmlformats.org/drawingml/2006/picture">
            <wp:extent cx="5486400" cy="1899138"/>
            <wp:docPr id="1" name="Picture 1"/>
            <wp:cNvGraphicFramePr>
              <a:graphicFrameLocks noChangeAspect="1"/>
            </wp:cNvGraphicFramePr>
            <a:graphic>
              <a:graphicData uri="http://schemas.openxmlformats.org/drawingml/2006/picture">
                <pic:pic>
                  <pic:nvPicPr>
                    <pic:cNvPr id="0" name="fig1_hypothesis_distributions.png"/>
                    <pic:cNvPicPr/>
                  </pic:nvPicPr>
                  <pic:blipFill>
                    <a:blip r:embed="rId9"/>
                    <a:stretch>
                      <a:fillRect/>
                    </a:stretch>
                  </pic:blipFill>
                  <pic:spPr>
                    <a:xfrm>
                      <a:off x="0" y="0"/>
                      <a:ext cx="5486400" cy="1899138"/>
                    </a:xfrm>
                    <a:prstGeom prst="rect"/>
                  </pic:spPr>
                </pic:pic>
              </a:graphicData>
            </a:graphic>
          </wp:inline>
        </w:drawing>
      </w:r>
    </w:p>
    <w:p>
      <w:pPr>
        <w:spacing w:before="0" w:after="200"/>
        <w:jc w:val="center"/>
      </w:pPr>
      <w:r>
        <w:rPr>
          <w:rFonts w:ascii="Calibri" w:hAnsi="Calibri"/>
          <w:i/>
          <w:color w:val="555555"/>
          <w:sz w:val="19"/>
        </w:rPr>
        <w:t>Figure 1: Empirical Hypothesis Testing — Parametric and Non-Parametric Group Contrasts for Monthly Charges and Tenure.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val="clear" w:color="auto" w:fill="1F4E79"/>
            <w:tcMar>
              <w:top w:w="120" w:type="dxa"/>
              <w:bottom w:w="120" w:type="dxa"/>
              <w:left w:w="120" w:type="dxa"/>
              <w:right w:w="120" w:type="dxa"/>
            </w:tcMar>
          </w:tcPr>
          <w:p>
            <w:pPr>
              <w:jc w:val="left"/>
            </w:pPr>
            <w:r>
              <w:rPr>
                <w:rFonts w:ascii="Calibri" w:hAnsi="Calibri"/>
                <w:b/>
                <w:color w:val="FFFFFF"/>
                <w:sz w:val="20"/>
              </w:rPr>
              <w:t>Statistical Test Applied</w:t>
            </w:r>
          </w:p>
        </w:tc>
        <w:tc>
          <w:tcPr>
            <w:tcW w:type="dxa" w:w="1584"/>
            <w:shd w:val="clear" w:color="auto" w:fill="1F4E79"/>
            <w:tcMar>
              <w:top w:w="120" w:type="dxa"/>
              <w:bottom w:w="120" w:type="dxa"/>
              <w:left w:w="120" w:type="dxa"/>
              <w:right w:w="120" w:type="dxa"/>
            </w:tcMar>
          </w:tcPr>
          <w:p>
            <w:pPr>
              <w:jc w:val="left"/>
            </w:pPr>
            <w:r>
              <w:rPr>
                <w:rFonts w:ascii="Calibri" w:hAnsi="Calibri"/>
                <w:b/>
                <w:color w:val="FFFFFF"/>
                <w:sz w:val="20"/>
              </w:rPr>
              <w:t>Sample Size (N)</w:t>
            </w:r>
          </w:p>
        </w:tc>
        <w:tc>
          <w:tcPr>
            <w:tcW w:type="dxa" w:w="2016"/>
            <w:shd w:val="clear" w:color="auto" w:fill="1F4E79"/>
            <w:tcMar>
              <w:top w:w="120" w:type="dxa"/>
              <w:bottom w:w="120" w:type="dxa"/>
              <w:left w:w="120" w:type="dxa"/>
              <w:right w:w="120" w:type="dxa"/>
            </w:tcMar>
          </w:tcPr>
          <w:p>
            <w:pPr>
              <w:jc w:val="left"/>
            </w:pPr>
            <w:r>
              <w:rPr>
                <w:rFonts w:ascii="Calibri" w:hAnsi="Calibri"/>
                <w:b/>
                <w:color w:val="FFFFFF"/>
                <w:sz w:val="20"/>
              </w:rPr>
              <w:t>Group Means / Medians</w:t>
            </w:r>
          </w:p>
        </w:tc>
        <w:tc>
          <w:tcPr>
            <w:tcW w:type="dxa" w:w="1584"/>
            <w:shd w:val="clear" w:color="auto" w:fill="1F4E79"/>
            <w:tcMar>
              <w:top w:w="120" w:type="dxa"/>
              <w:bottom w:w="120" w:type="dxa"/>
              <w:left w:w="120" w:type="dxa"/>
              <w:right w:w="120" w:type="dxa"/>
            </w:tcMar>
          </w:tcPr>
          <w:p>
            <w:pPr>
              <w:jc w:val="left"/>
            </w:pPr>
            <w:r>
              <w:rPr>
                <w:rFonts w:ascii="Calibri" w:hAnsi="Calibri"/>
                <w:b/>
                <w:color w:val="FFFFFF"/>
                <w:sz w:val="20"/>
              </w:rPr>
              <w:t>Test Statistic</w:t>
            </w:r>
          </w:p>
        </w:tc>
        <w:tc>
          <w:tcPr>
            <w:tcW w:type="dxa" w:w="1440"/>
            <w:shd w:val="clear" w:color="auto" w:fill="1F4E79"/>
            <w:tcMar>
              <w:top w:w="120" w:type="dxa"/>
              <w:bottom w:w="120" w:type="dxa"/>
              <w:left w:w="120" w:type="dxa"/>
              <w:right w:w="120" w:type="dxa"/>
            </w:tcMar>
          </w:tcPr>
          <w:p>
            <w:pPr>
              <w:jc w:val="left"/>
            </w:pPr>
            <w:r>
              <w:rPr>
                <w:rFonts w:ascii="Calibri" w:hAnsi="Calibri"/>
                <w:b/>
                <w:color w:val="FFFFFF"/>
                <w:sz w:val="20"/>
              </w:rPr>
              <w:t>p-value</w:t>
            </w:r>
          </w:p>
        </w:tc>
        <w:tc>
          <w:tcPr>
            <w:tcW w:type="dxa" w:w="1584"/>
            <w:shd w:val="clear" w:color="auto" w:fill="1F4E79"/>
            <w:tcMar>
              <w:top w:w="120" w:type="dxa"/>
              <w:bottom w:w="120" w:type="dxa"/>
              <w:left w:w="120" w:type="dxa"/>
              <w:right w:w="120" w:type="dxa"/>
            </w:tcMar>
          </w:tcPr>
          <w:p>
            <w:pPr>
              <w:jc w:val="left"/>
            </w:pPr>
            <w:r>
              <w:rPr>
                <w:rFonts w:ascii="Calibri" w:hAnsi="Calibri"/>
                <w:b/>
                <w:color w:val="FFFFFF"/>
                <w:sz w:val="20"/>
              </w:rPr>
              <w:t>Effect Size</w:t>
            </w:r>
          </w:p>
        </w:tc>
        <w:tc>
          <w:tcPr>
            <w:tcW w:type="dxa" w:w="1728"/>
            <w:shd w:val="clear" w:color="auto" w:fill="1F4E79"/>
            <w:tcMar>
              <w:top w:w="120" w:type="dxa"/>
              <w:bottom w:w="120" w:type="dxa"/>
              <w:left w:w="120" w:type="dxa"/>
              <w:right w:w="120" w:type="dxa"/>
            </w:tcMar>
          </w:tcPr>
          <w:p>
            <w:pPr>
              <w:jc w:val="left"/>
            </w:pPr>
            <w:r>
              <w:rPr>
                <w:rFonts w:ascii="Calibri" w:hAnsi="Calibri"/>
                <w:b/>
                <w:color w:val="FFFFFF"/>
                <w:sz w:val="20"/>
              </w:rPr>
              <w:t>Decision</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Welch's Two-Sample t-test</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Retained: 5,174</w:t>
              <w:br/>
              <w:t>Churned: 1,869</w:t>
            </w:r>
          </w:p>
        </w:tc>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Retained Mean: $61.27</w:t>
              <w:br/>
              <w:t>Churned Mean: $74.44</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t = 18.408</w:t>
              <w:br/>
              <w:t>(df = 3,630.7)</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p = 8.59e-73</w:t>
              <w:br/>
              <w:t>(p &lt; 0.001)</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Cohen's d = 0.470</w:t>
              <w:br/>
              <w:t>(Moderate Effect)</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Reject H0 (Statistically Significant)</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Mann-Whitney U Test (Wilcoxon)</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Retained: 5,174</w:t>
              <w:br/>
              <w:t>Churned: 1,869</w:t>
            </w:r>
          </w:p>
        </w:tc>
        <w:tc>
          <w:tcPr>
            <w:tcW w:type="dxa" w:w="2016"/>
            <w:shd w:val="clear" w:color="auto" w:fill="F7F9FC"/>
            <w:tcMar>
              <w:top w:w="80" w:type="dxa"/>
              <w:bottom w:w="80" w:type="dxa"/>
              <w:left w:w="100" w:type="dxa"/>
              <w:right w:w="100" w:type="dxa"/>
            </w:tcMar>
          </w:tcPr>
          <w:p>
            <w:pPr>
              <w:jc w:val="left"/>
            </w:pPr>
            <w:r>
              <w:rPr>
                <w:rFonts w:ascii="Calibri" w:hAnsi="Calibri"/>
                <w:color w:val="262626"/>
                <w:sz w:val="19"/>
              </w:rPr>
              <w:t>Retained Med: $64.43</w:t>
              <w:br/>
              <w:t>Churned Med: $79.65</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W = 6,003,125.5</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p = 3.31e-54</w:t>
              <w:br/>
              <w:t>(p &lt; 0.001)</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Rank-Biserial r = 0.241</w:t>
              <w:br/>
              <w:t>(Moderate)</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Reject H0 (Statistically Significant)</w:t>
            </w:r>
          </w:p>
        </w:tc>
      </w:tr>
    </w:tbl>
    <w:p>
      <w:pPr>
        <w:spacing w:after="120"/>
      </w:pPr>
    </w:p>
    <w:p>
      <w:pPr>
        <w:spacing w:before="0" w:after="120" w:line="276" w:lineRule="auto"/>
      </w:pPr>
      <w:r>
        <w:rPr>
          <w:rFonts w:ascii="Calibri" w:hAnsi="Calibri"/>
          <w:color w:val="262626"/>
          <w:sz w:val="22"/>
        </w:rPr>
        <w:t>Conclusion: Churned customers pay an average of $13.17 more per month than retained customers ($74.44 vs $61.27). With t = 18.41 and p &lt; 0.001, we reject H0. Monthly recurring cost is a significant driver of customer departures.</w:t>
      </w:r>
    </w:p>
    <w:p>
      <w:pPr>
        <w:keepNext/>
        <w:spacing w:before="280" w:after="80"/>
      </w:pPr>
      <w:r>
        <w:rPr>
          <w:rFonts w:ascii="Calibri" w:hAnsi="Calibri"/>
          <w:b/>
          <w:color w:val="2F5597"/>
          <w:sz w:val="26"/>
        </w:rPr>
        <w:t>3.2 Hypothesis 2: Customer Tenure Differences Across Churn Status</w:t>
      </w:r>
    </w:p>
    <w:p>
      <w:pPr>
        <w:spacing w:before="0" w:after="120" w:line="276" w:lineRule="auto"/>
      </w:pPr>
      <w:r>
        <w:rPr>
          <w:rFonts w:ascii="Calibri" w:hAnsi="Calibri"/>
          <w:color w:val="262626"/>
          <w:sz w:val="22"/>
        </w:rPr>
        <w:t>Research Question: Is customer retention positively associated with account longevity?</w:t>
      </w:r>
    </w:p>
    <w:p>
      <w:pPr>
        <w:spacing w:before="0" w:after="120" w:line="276" w:lineRule="auto"/>
      </w:pPr>
      <w:r>
        <w:rPr>
          <w:rFonts w:ascii="Calibri" w:hAnsi="Calibri"/>
          <w:color w:val="262626"/>
          <w:sz w:val="22"/>
        </w:rPr>
        <w:t>Statistical Hypotheses:</w:t>
      </w:r>
    </w:p>
    <w:p>
      <w:pPr>
        <w:spacing w:before="0" w:after="120" w:line="276" w:lineRule="auto"/>
      </w:pPr>
      <w:r>
        <w:rPr>
          <w:rFonts w:ascii="Calibri" w:hAnsi="Calibri"/>
          <w:color w:val="262626"/>
          <w:sz w:val="22"/>
        </w:rPr>
        <w:t xml:space="preserve">  • Null Hypothesis (H0): μ(Retained) = μ(Churned) — Mean tenure is identical across groups.</w:t>
      </w:r>
    </w:p>
    <w:p>
      <w:pPr>
        <w:spacing w:before="0" w:after="120" w:line="276" w:lineRule="auto"/>
      </w:pPr>
      <w:r>
        <w:rPr>
          <w:rFonts w:ascii="Calibri" w:hAnsi="Calibri"/>
          <w:color w:val="262626"/>
          <w:sz w:val="22"/>
        </w:rPr>
        <w:t xml:space="preserve">  • Alternative Hypothesis (H1): μ(Retained) &gt; μ(Churned) — Retained customers maintain significantly longer tenure.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val="clear" w:color="auto" w:fill="1F4E79"/>
            <w:tcMar>
              <w:top w:w="120" w:type="dxa"/>
              <w:bottom w:w="120" w:type="dxa"/>
              <w:left w:w="120" w:type="dxa"/>
              <w:right w:w="120" w:type="dxa"/>
            </w:tcMar>
          </w:tcPr>
          <w:p>
            <w:pPr>
              <w:jc w:val="left"/>
            </w:pPr>
            <w:r>
              <w:rPr>
                <w:rFonts w:ascii="Calibri" w:hAnsi="Calibri"/>
                <w:b/>
                <w:color w:val="FFFFFF"/>
                <w:sz w:val="20"/>
              </w:rPr>
              <w:t>Statistical Test Applied</w:t>
            </w:r>
          </w:p>
        </w:tc>
        <w:tc>
          <w:tcPr>
            <w:tcW w:type="dxa" w:w="1584"/>
            <w:shd w:val="clear" w:color="auto" w:fill="1F4E79"/>
            <w:tcMar>
              <w:top w:w="120" w:type="dxa"/>
              <w:bottom w:w="120" w:type="dxa"/>
              <w:left w:w="120" w:type="dxa"/>
              <w:right w:w="120" w:type="dxa"/>
            </w:tcMar>
          </w:tcPr>
          <w:p>
            <w:pPr>
              <w:jc w:val="left"/>
            </w:pPr>
            <w:r>
              <w:rPr>
                <w:rFonts w:ascii="Calibri" w:hAnsi="Calibri"/>
                <w:b/>
                <w:color w:val="FFFFFF"/>
                <w:sz w:val="20"/>
              </w:rPr>
              <w:t>Sample Size (N)</w:t>
            </w:r>
          </w:p>
        </w:tc>
        <w:tc>
          <w:tcPr>
            <w:tcW w:type="dxa" w:w="2016"/>
            <w:shd w:val="clear" w:color="auto" w:fill="1F4E79"/>
            <w:tcMar>
              <w:top w:w="120" w:type="dxa"/>
              <w:bottom w:w="120" w:type="dxa"/>
              <w:left w:w="120" w:type="dxa"/>
              <w:right w:w="120" w:type="dxa"/>
            </w:tcMar>
          </w:tcPr>
          <w:p>
            <w:pPr>
              <w:jc w:val="left"/>
            </w:pPr>
            <w:r>
              <w:rPr>
                <w:rFonts w:ascii="Calibri" w:hAnsi="Calibri"/>
                <w:b/>
                <w:color w:val="FFFFFF"/>
                <w:sz w:val="20"/>
              </w:rPr>
              <w:t>Group Means / Medians</w:t>
            </w:r>
          </w:p>
        </w:tc>
        <w:tc>
          <w:tcPr>
            <w:tcW w:type="dxa" w:w="1584"/>
            <w:shd w:val="clear" w:color="auto" w:fill="1F4E79"/>
            <w:tcMar>
              <w:top w:w="120" w:type="dxa"/>
              <w:bottom w:w="120" w:type="dxa"/>
              <w:left w:w="120" w:type="dxa"/>
              <w:right w:w="120" w:type="dxa"/>
            </w:tcMar>
          </w:tcPr>
          <w:p>
            <w:pPr>
              <w:jc w:val="left"/>
            </w:pPr>
            <w:r>
              <w:rPr>
                <w:rFonts w:ascii="Calibri" w:hAnsi="Calibri"/>
                <w:b/>
                <w:color w:val="FFFFFF"/>
                <w:sz w:val="20"/>
              </w:rPr>
              <w:t>Test Statistic</w:t>
            </w:r>
          </w:p>
        </w:tc>
        <w:tc>
          <w:tcPr>
            <w:tcW w:type="dxa" w:w="1440"/>
            <w:shd w:val="clear" w:color="auto" w:fill="1F4E79"/>
            <w:tcMar>
              <w:top w:w="120" w:type="dxa"/>
              <w:bottom w:w="120" w:type="dxa"/>
              <w:left w:w="120" w:type="dxa"/>
              <w:right w:w="120" w:type="dxa"/>
            </w:tcMar>
          </w:tcPr>
          <w:p>
            <w:pPr>
              <w:jc w:val="left"/>
            </w:pPr>
            <w:r>
              <w:rPr>
                <w:rFonts w:ascii="Calibri" w:hAnsi="Calibri"/>
                <w:b/>
                <w:color w:val="FFFFFF"/>
                <w:sz w:val="20"/>
              </w:rPr>
              <w:t>p-value</w:t>
            </w:r>
          </w:p>
        </w:tc>
        <w:tc>
          <w:tcPr>
            <w:tcW w:type="dxa" w:w="1584"/>
            <w:shd w:val="clear" w:color="auto" w:fill="1F4E79"/>
            <w:tcMar>
              <w:top w:w="120" w:type="dxa"/>
              <w:bottom w:w="120" w:type="dxa"/>
              <w:left w:w="120" w:type="dxa"/>
              <w:right w:w="120" w:type="dxa"/>
            </w:tcMar>
          </w:tcPr>
          <w:p>
            <w:pPr>
              <w:jc w:val="left"/>
            </w:pPr>
            <w:r>
              <w:rPr>
                <w:rFonts w:ascii="Calibri" w:hAnsi="Calibri"/>
                <w:b/>
                <w:color w:val="FFFFFF"/>
                <w:sz w:val="20"/>
              </w:rPr>
              <w:t>Effect Size</w:t>
            </w:r>
          </w:p>
        </w:tc>
        <w:tc>
          <w:tcPr>
            <w:tcW w:type="dxa" w:w="1728"/>
            <w:shd w:val="clear" w:color="auto" w:fill="1F4E79"/>
            <w:tcMar>
              <w:top w:w="120" w:type="dxa"/>
              <w:bottom w:w="120" w:type="dxa"/>
              <w:left w:w="120" w:type="dxa"/>
              <w:right w:w="120" w:type="dxa"/>
            </w:tcMar>
          </w:tcPr>
          <w:p>
            <w:pPr>
              <w:jc w:val="left"/>
            </w:pPr>
            <w:r>
              <w:rPr>
                <w:rFonts w:ascii="Calibri" w:hAnsi="Calibri"/>
                <w:b/>
                <w:color w:val="FFFFFF"/>
                <w:sz w:val="20"/>
              </w:rPr>
              <w:t>Decision</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Welch's Two-Sample t-test</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Retained: 5,174</w:t>
              <w:br/>
              <w:t>Churned: 1,869</w:t>
            </w:r>
          </w:p>
        </w:tc>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Retained Mean: 37.57 mos</w:t>
              <w:br/>
              <w:t>Churned Mean: 17.98 mos</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t = 34.824</w:t>
              <w:br/>
              <w:t>(df = 4,007.1)</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p = 1.19e-232</w:t>
              <w:br/>
              <w:t>(p &lt; 0.001)</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Cohen's d = 0.893</w:t>
              <w:br/>
              <w:t>(Large Effect)</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Reject H0 (Statistically Significant)</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Mann-Whitney U Test (Wilcoxon)</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Retained: 5,174</w:t>
              <w:br/>
              <w:t>Churned: 1,869</w:t>
            </w:r>
          </w:p>
        </w:tc>
        <w:tc>
          <w:tcPr>
            <w:tcW w:type="dxa" w:w="2016"/>
            <w:shd w:val="clear" w:color="auto" w:fill="F7F9FC"/>
            <w:tcMar>
              <w:top w:w="80" w:type="dxa"/>
              <w:bottom w:w="80" w:type="dxa"/>
              <w:left w:w="100" w:type="dxa"/>
              <w:right w:w="100" w:type="dxa"/>
            </w:tcMar>
          </w:tcPr>
          <w:p>
            <w:pPr>
              <w:jc w:val="left"/>
            </w:pPr>
            <w:r>
              <w:rPr>
                <w:rFonts w:ascii="Calibri" w:hAnsi="Calibri"/>
                <w:color w:val="262626"/>
                <w:sz w:val="19"/>
              </w:rPr>
              <w:t>Retained Med: 38.00 mos</w:t>
              <w:br/>
              <w:t>Churned Med: 10.00 mos</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W = 7,154,668.0</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p = 2.42e-208</w:t>
              <w:br/>
              <w:t>(p &lt; 0.001)</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Rank-Biserial r = 0.479</w:t>
              <w:br/>
              <w:t>(Large)</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Reject H0 (Statistically Significant)</w:t>
            </w:r>
          </w:p>
        </w:tc>
      </w:tr>
    </w:tbl>
    <w:p>
      <w:pPr>
        <w:spacing w:after="120"/>
      </w:pPr>
    </w:p>
    <w:p>
      <w:pPr>
        <w:spacing w:before="0" w:after="120" w:line="276" w:lineRule="auto"/>
      </w:pPr>
      <w:r>
        <w:rPr>
          <w:rFonts w:ascii="Calibri" w:hAnsi="Calibri"/>
          <w:color w:val="262626"/>
          <w:sz w:val="22"/>
        </w:rPr>
        <w:t>Conclusion: Retained customers have more than double the average tenure of churned customers (37.57 months vs 17.98 months). Cohen's d of 0.893 demonstrates a massive effect size. The median churned customer leaves after just 10 months, confirming early-stage tenure as an operational vulnerability.</w:t>
      </w:r>
    </w:p>
    <w:p>
      <w:pPr>
        <w:keepNext/>
        <w:spacing w:before="280" w:after="80"/>
      </w:pPr>
      <w:r>
        <w:rPr>
          <w:rFonts w:ascii="Calibri" w:hAnsi="Calibri"/>
          <w:b/>
          <w:color w:val="2F5597"/>
          <w:sz w:val="26"/>
        </w:rPr>
        <w:t>3.3 Hypothesis 3: Pearson's Chi-Square Contingency Tests of Independence</w:t>
      </w:r>
    </w:p>
    <w:p>
      <w:pPr>
        <w:spacing w:before="0" w:after="120" w:line="276" w:lineRule="auto"/>
      </w:pPr>
      <w:r>
        <w:rPr>
          <w:rFonts w:ascii="Calibri" w:hAnsi="Calibri"/>
          <w:color w:val="262626"/>
          <w:sz w:val="22"/>
        </w:rPr>
        <w:t>To assess whether categorical service attributes, billing channels, and demographic tiers are statistically associated with customer churn, I executed Pearson's Chi-Square (χ2) tests of independence and computed Cramer's V effect size:</w:t>
      </w:r>
    </w:p>
    <w:p>
      <w:pPr>
        <w:spacing w:before="160" w:after="80"/>
        <w:jc w:val="center"/>
      </w:pPr>
      <w:r>
        <w:drawing>
          <wp:inline xmlns:a="http://schemas.openxmlformats.org/drawingml/2006/main" xmlns:pic="http://schemas.openxmlformats.org/drawingml/2006/picture">
            <wp:extent cx="5486400" cy="2710927"/>
            <wp:docPr id="2" name="Picture 2"/>
            <wp:cNvGraphicFramePr>
              <a:graphicFrameLocks noChangeAspect="1"/>
            </wp:cNvGraphicFramePr>
            <a:graphic>
              <a:graphicData uri="http://schemas.openxmlformats.org/drawingml/2006/picture">
                <pic:pic>
                  <pic:nvPicPr>
                    <pic:cNvPr id="0" name="fig2_chi_square_residuals.png"/>
                    <pic:cNvPicPr/>
                  </pic:nvPicPr>
                  <pic:blipFill>
                    <a:blip r:embed="rId10"/>
                    <a:stretch>
                      <a:fillRect/>
                    </a:stretch>
                  </pic:blipFill>
                  <pic:spPr>
                    <a:xfrm>
                      <a:off x="0" y="0"/>
                      <a:ext cx="5486400" cy="2710927"/>
                    </a:xfrm>
                    <a:prstGeom prst="rect"/>
                  </pic:spPr>
                </pic:pic>
              </a:graphicData>
            </a:graphic>
          </wp:inline>
        </w:drawing>
      </w:r>
    </w:p>
    <w:p>
      <w:pPr>
        <w:spacing w:before="0" w:after="200"/>
        <w:jc w:val="center"/>
      </w:pPr>
      <w:r>
        <w:rPr>
          <w:rFonts w:ascii="Calibri" w:hAnsi="Calibri"/>
          <w:i/>
          <w:color w:val="555555"/>
          <w:sz w:val="19"/>
        </w:rPr>
        <w:t>Figure 2: Categorical Feature Association with Churn (Ranked by Cramer's V Effect Size).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val="clear" w:color="auto" w:fill="1F4E79"/>
            <w:tcMar>
              <w:top w:w="120" w:type="dxa"/>
              <w:bottom w:w="120" w:type="dxa"/>
              <w:left w:w="120" w:type="dxa"/>
              <w:right w:w="120" w:type="dxa"/>
            </w:tcMar>
          </w:tcPr>
          <w:p>
            <w:pPr>
              <w:jc w:val="left"/>
            </w:pPr>
            <w:r>
              <w:rPr>
                <w:rFonts w:ascii="Calibri" w:hAnsi="Calibri"/>
                <w:b/>
                <w:color w:val="FFFFFF"/>
                <w:sz w:val="20"/>
              </w:rPr>
              <w:t>Categorical Feature Tested</w:t>
            </w:r>
          </w:p>
        </w:tc>
        <w:tc>
          <w:tcPr>
            <w:tcW w:type="dxa" w:w="1440"/>
            <w:shd w:val="clear" w:color="auto" w:fill="1F4E79"/>
            <w:tcMar>
              <w:top w:w="120" w:type="dxa"/>
              <w:bottom w:w="120" w:type="dxa"/>
              <w:left w:w="120" w:type="dxa"/>
              <w:right w:w="120" w:type="dxa"/>
            </w:tcMar>
          </w:tcPr>
          <w:p>
            <w:pPr>
              <w:jc w:val="left"/>
            </w:pPr>
            <w:r>
              <w:rPr>
                <w:rFonts w:ascii="Calibri" w:hAnsi="Calibri"/>
                <w:b/>
                <w:color w:val="FFFFFF"/>
                <w:sz w:val="20"/>
              </w:rPr>
              <w:t>Contingency Table Dimensions</w:t>
            </w:r>
          </w:p>
        </w:tc>
        <w:tc>
          <w:tcPr>
            <w:tcW w:type="dxa" w:w="1584"/>
            <w:shd w:val="clear" w:color="auto" w:fill="1F4E79"/>
            <w:tcMar>
              <w:top w:w="120" w:type="dxa"/>
              <w:bottom w:w="120" w:type="dxa"/>
              <w:left w:w="120" w:type="dxa"/>
              <w:right w:w="120" w:type="dxa"/>
            </w:tcMar>
          </w:tcPr>
          <w:p>
            <w:pPr>
              <w:jc w:val="left"/>
            </w:pPr>
            <w:r>
              <w:rPr>
                <w:rFonts w:ascii="Calibri" w:hAnsi="Calibri"/>
                <w:b/>
                <w:color w:val="FFFFFF"/>
                <w:sz w:val="20"/>
              </w:rPr>
              <w:t>Chi-Square (χ2) Statistic</w:t>
            </w:r>
          </w:p>
        </w:tc>
        <w:tc>
          <w:tcPr>
            <w:tcW w:type="dxa" w:w="1152"/>
            <w:shd w:val="clear" w:color="auto" w:fill="1F4E79"/>
            <w:tcMar>
              <w:top w:w="120" w:type="dxa"/>
              <w:bottom w:w="120" w:type="dxa"/>
              <w:left w:w="120" w:type="dxa"/>
              <w:right w:w="120" w:type="dxa"/>
            </w:tcMar>
          </w:tcPr>
          <w:p>
            <w:pPr>
              <w:jc w:val="left"/>
            </w:pPr>
            <w:r>
              <w:rPr>
                <w:rFonts w:ascii="Calibri" w:hAnsi="Calibri"/>
                <w:b/>
                <w:color w:val="FFFFFF"/>
                <w:sz w:val="20"/>
              </w:rPr>
              <w:t>Degrees of Freedom (df)</w:t>
            </w:r>
          </w:p>
        </w:tc>
        <w:tc>
          <w:tcPr>
            <w:tcW w:type="dxa" w:w="1584"/>
            <w:shd w:val="clear" w:color="auto" w:fill="1F4E79"/>
            <w:tcMar>
              <w:top w:w="120" w:type="dxa"/>
              <w:bottom w:w="120" w:type="dxa"/>
              <w:left w:w="120" w:type="dxa"/>
              <w:right w:w="120" w:type="dxa"/>
            </w:tcMar>
          </w:tcPr>
          <w:p>
            <w:pPr>
              <w:jc w:val="left"/>
            </w:pPr>
            <w:r>
              <w:rPr>
                <w:rFonts w:ascii="Calibri" w:hAnsi="Calibri"/>
                <w:b/>
                <w:color w:val="FFFFFF"/>
                <w:sz w:val="20"/>
              </w:rPr>
              <w:t>Asymptotic p-value</w:t>
            </w:r>
          </w:p>
        </w:tc>
        <w:tc>
          <w:tcPr>
            <w:tcW w:type="dxa" w:w="1440"/>
            <w:shd w:val="clear" w:color="auto" w:fill="1F4E79"/>
            <w:tcMar>
              <w:top w:w="120" w:type="dxa"/>
              <w:bottom w:w="120" w:type="dxa"/>
              <w:left w:w="120" w:type="dxa"/>
              <w:right w:w="120" w:type="dxa"/>
            </w:tcMar>
          </w:tcPr>
          <w:p>
            <w:pPr>
              <w:jc w:val="left"/>
            </w:pPr>
            <w:r>
              <w:rPr>
                <w:rFonts w:ascii="Calibri" w:hAnsi="Calibri"/>
                <w:b/>
                <w:color w:val="FFFFFF"/>
                <w:sz w:val="20"/>
              </w:rPr>
              <w:t>Cramer's V Effect Size</w:t>
            </w:r>
          </w:p>
        </w:tc>
        <w:tc>
          <w:tcPr>
            <w:tcW w:type="dxa" w:w="1728"/>
            <w:shd w:val="clear" w:color="auto" w:fill="1F4E79"/>
            <w:tcMar>
              <w:top w:w="120" w:type="dxa"/>
              <w:bottom w:w="120" w:type="dxa"/>
              <w:left w:w="120" w:type="dxa"/>
              <w:right w:w="120" w:type="dxa"/>
            </w:tcMar>
          </w:tcPr>
          <w:p>
            <w:pPr>
              <w:jc w:val="left"/>
            </w:pPr>
            <w:r>
              <w:rPr>
                <w:rFonts w:ascii="Calibri" w:hAnsi="Calibri"/>
                <w:b/>
                <w:color w:val="FFFFFF"/>
                <w:sz w:val="20"/>
              </w:rPr>
              <w:t>Association Strength</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Contract Type</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3 x 2</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1,184.60</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2</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p = 5.86e-258</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V = 0.410</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Very Strong Association</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Tech Support Subscription</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3 x 2</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828.20</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2</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p = 1.44e-180</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V = 0.343</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Strong Association</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Internet Service Medium</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3 x 2</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732.31</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2</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p = 9.57e-160</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V = 0.322</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Strong Association</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Payment Method Channel</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4 x 2</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648.14</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3</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p = 3.68e-140</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V = 0.303</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Strong Association</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Paperless Billing Option</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2 x 2</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258.28</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1</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p = 4.07e-58</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V = 0.191</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Moderate Association</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Senior Citizen Demographic</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2 x 2</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159.43</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1</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p = 1.51e-36</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V = 0.150</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Moderate Association</w:t>
            </w:r>
          </w:p>
        </w:tc>
      </w:tr>
    </w:tbl>
    <w:p>
      <w:pPr>
        <w:spacing w:after="120"/>
      </w:pPr>
    </w:p>
    <w:p>
      <w:pPr>
        <w:spacing w:before="0" w:after="120" w:line="276" w:lineRule="auto"/>
      </w:pPr>
      <w:r>
        <w:rPr>
          <w:rFonts w:ascii="Calibri" w:hAnsi="Calibri"/>
          <w:color w:val="262626"/>
          <w:sz w:val="22"/>
        </w:rPr>
        <w:t>Conclusion: All tested categorical variables reject the null hypothesis of independence (p &lt; 0.001). Contract Type exhibits the highest Cramer's V (0.410), establishing it as the single most powerful categorical predictor of customer retention.</w:t>
      </w:r>
    </w:p>
    <w:p>
      <w:pPr>
        <w:keepNext/>
        <w:spacing w:before="360" w:after="120"/>
      </w:pPr>
      <w:r>
        <w:rPr>
          <w:rFonts w:ascii="Calibri" w:hAnsi="Calibri"/>
          <w:b/>
          <w:color w:val="1F4E79"/>
          <w:sz w:val="32"/>
        </w:rPr>
        <w:t>4. Predictive Modeling Framework &amp; Logistic Regression</w:t>
      </w:r>
    </w:p>
    <w:p>
      <w:pPr>
        <w:spacing w:before="0" w:after="120" w:line="276" w:lineRule="auto"/>
      </w:pPr>
      <w:r>
        <w:rPr>
          <w:rFonts w:ascii="Calibri" w:hAnsi="Calibri"/>
          <w:color w:val="262626"/>
          <w:sz w:val="22"/>
        </w:rPr>
        <w:t>To predict the probability of individual customer churn, I implemented a multivariate binary Logistic Regression model. Logistic regression models the log-odds (logit) of the binary outcome as a linear combination of predictor features:</w:t>
      </w:r>
    </w:p>
    <w:p>
      <w:pPr>
        <w:spacing w:before="0" w:after="120" w:line="276" w:lineRule="auto"/>
      </w:pPr>
      <w:r>
        <w:rPr>
          <w:rFonts w:ascii="Calibri" w:hAnsi="Calibri"/>
          <w:color w:val="262626"/>
          <w:sz w:val="22"/>
        </w:rPr>
        <w:t xml:space="preserve">  logit(p) = ln(p / (1 - p)) = β0 + β1*X1 + β2*X2 + ... + βk*Xk</w:t>
      </w:r>
    </w:p>
    <w:p>
      <w:pPr>
        <w:spacing w:before="0" w:after="120" w:line="276" w:lineRule="auto"/>
      </w:pPr>
      <w:r>
        <w:rPr>
          <w:rFonts w:ascii="Calibri" w:hAnsi="Calibri"/>
          <w:color w:val="262626"/>
          <w:sz w:val="22"/>
        </w:rPr>
        <w:t>The predicted probability of churn is obtained via the sigmoid logistic function: p = 1 / (1 + e^(-(β0 + Σ βi*Xi))).</w:t>
      </w:r>
    </w:p>
    <w:p>
      <w:pPr>
        <w:keepNext/>
        <w:spacing w:before="280" w:after="80"/>
      </w:pPr>
      <w:r>
        <w:rPr>
          <w:rFonts w:ascii="Calibri" w:hAnsi="Calibri"/>
          <w:b/>
          <w:color w:val="2F5597"/>
          <w:sz w:val="26"/>
        </w:rPr>
        <w:t>4.1 Data Resampling &amp; Partitioning</w:t>
      </w:r>
    </w:p>
    <w:p>
      <w:pPr>
        <w:spacing w:before="0" w:after="120" w:line="276" w:lineRule="auto"/>
      </w:pPr>
      <w:r>
        <w:rPr>
          <w:rFonts w:ascii="Calibri" w:hAnsi="Calibri"/>
          <w:color w:val="262626"/>
          <w:sz w:val="22"/>
        </w:rPr>
        <w:t>The dataset was split using stratified random sampling into an 80% training set (N = 5,634) and a 20% holdout test set (N = 1,409). Stratification ensured that both sets preserved the exact 26.54% churn proportion. A 5-fold stratified cross-validation scheme was embedded during model training.</w:t>
      </w:r>
    </w:p>
    <w:p>
      <w:pPr>
        <w:keepNext/>
        <w:spacing w:before="280" w:after="80"/>
      </w:pPr>
      <w:r>
        <w:rPr>
          <w:rFonts w:ascii="Calibri" w:hAnsi="Calibri"/>
          <w:b/>
          <w:color w:val="2F5597"/>
          <w:sz w:val="26"/>
        </w:rPr>
        <w:t>4.2 Full Model Estimation &amp; Parameter Coefficients</w:t>
      </w:r>
    </w:p>
    <w:p>
      <w:pPr>
        <w:spacing w:before="0" w:after="120" w:line="276" w:lineRule="auto"/>
      </w:pPr>
      <w:r>
        <w:rPr>
          <w:rFonts w:ascii="Calibri" w:hAnsi="Calibri"/>
          <w:color w:val="262626"/>
          <w:sz w:val="22"/>
        </w:rPr>
        <w:t>The table below presents the estimated parameters, standard errors, z-statistics, p-values, adjusted Odds Ratios (OR = e^β), and 95% Confidence Intervals from the multivariate logistic regression: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160"/>
            <w:shd w:val="clear" w:color="auto" w:fill="1F4E79"/>
            <w:tcMar>
              <w:top w:w="120" w:type="dxa"/>
              <w:bottom w:w="120" w:type="dxa"/>
              <w:left w:w="120" w:type="dxa"/>
              <w:right w:w="120" w:type="dxa"/>
            </w:tcMar>
          </w:tcPr>
          <w:p>
            <w:pPr>
              <w:jc w:val="left"/>
            </w:pPr>
            <w:r>
              <w:rPr>
                <w:rFonts w:ascii="Calibri" w:hAnsi="Calibri"/>
                <w:b/>
                <w:color w:val="FFFFFF"/>
                <w:sz w:val="20"/>
              </w:rPr>
              <w:t>Predictor Variable</w:t>
            </w:r>
          </w:p>
        </w:tc>
        <w:tc>
          <w:tcPr>
            <w:tcW w:type="dxa" w:w="1152"/>
            <w:shd w:val="clear" w:color="auto" w:fill="1F4E79"/>
            <w:tcMar>
              <w:top w:w="120" w:type="dxa"/>
              <w:bottom w:w="120" w:type="dxa"/>
              <w:left w:w="120" w:type="dxa"/>
              <w:right w:w="120" w:type="dxa"/>
            </w:tcMar>
          </w:tcPr>
          <w:p>
            <w:pPr>
              <w:jc w:val="left"/>
            </w:pPr>
            <w:r>
              <w:rPr>
                <w:rFonts w:ascii="Calibri" w:hAnsi="Calibri"/>
                <w:b/>
                <w:color w:val="FFFFFF"/>
                <w:sz w:val="20"/>
              </w:rPr>
              <w:t>Coefficient (β)</w:t>
            </w:r>
          </w:p>
        </w:tc>
        <w:tc>
          <w:tcPr>
            <w:tcW w:type="dxa" w:w="1008"/>
            <w:shd w:val="clear" w:color="auto" w:fill="1F4E79"/>
            <w:tcMar>
              <w:top w:w="120" w:type="dxa"/>
              <w:bottom w:w="120" w:type="dxa"/>
              <w:left w:w="120" w:type="dxa"/>
              <w:right w:w="120" w:type="dxa"/>
            </w:tcMar>
          </w:tcPr>
          <w:p>
            <w:pPr>
              <w:jc w:val="left"/>
            </w:pPr>
            <w:r>
              <w:rPr>
                <w:rFonts w:ascii="Calibri" w:hAnsi="Calibri"/>
                <w:b/>
                <w:color w:val="FFFFFF"/>
                <w:sz w:val="20"/>
              </w:rPr>
              <w:t>Std Error</w:t>
            </w:r>
          </w:p>
        </w:tc>
        <w:tc>
          <w:tcPr>
            <w:tcW w:type="dxa" w:w="1008"/>
            <w:shd w:val="clear" w:color="auto" w:fill="1F4E79"/>
            <w:tcMar>
              <w:top w:w="120" w:type="dxa"/>
              <w:bottom w:w="120" w:type="dxa"/>
              <w:left w:w="120" w:type="dxa"/>
              <w:right w:w="120" w:type="dxa"/>
            </w:tcMar>
          </w:tcPr>
          <w:p>
            <w:pPr>
              <w:jc w:val="left"/>
            </w:pPr>
            <w:r>
              <w:rPr>
                <w:rFonts w:ascii="Calibri" w:hAnsi="Calibri"/>
                <w:b/>
                <w:color w:val="FFFFFF"/>
                <w:sz w:val="20"/>
              </w:rPr>
              <w:t>z-statistic</w:t>
            </w:r>
          </w:p>
        </w:tc>
        <w:tc>
          <w:tcPr>
            <w:tcW w:type="dxa" w:w="1152"/>
            <w:shd w:val="clear" w:color="auto" w:fill="1F4E79"/>
            <w:tcMar>
              <w:top w:w="120" w:type="dxa"/>
              <w:bottom w:w="120" w:type="dxa"/>
              <w:left w:w="120" w:type="dxa"/>
              <w:right w:w="120" w:type="dxa"/>
            </w:tcMar>
          </w:tcPr>
          <w:p>
            <w:pPr>
              <w:jc w:val="left"/>
            </w:pPr>
            <w:r>
              <w:rPr>
                <w:rFonts w:ascii="Calibri" w:hAnsi="Calibri"/>
                <w:b/>
                <w:color w:val="FFFFFF"/>
                <w:sz w:val="20"/>
              </w:rPr>
              <w:t>p-value</w:t>
            </w:r>
          </w:p>
        </w:tc>
        <w:tc>
          <w:tcPr>
            <w:tcW w:type="dxa" w:w="1296"/>
            <w:shd w:val="clear" w:color="auto" w:fill="1F4E79"/>
            <w:tcMar>
              <w:top w:w="120" w:type="dxa"/>
              <w:bottom w:w="120" w:type="dxa"/>
              <w:left w:w="120" w:type="dxa"/>
              <w:right w:w="120" w:type="dxa"/>
            </w:tcMar>
          </w:tcPr>
          <w:p>
            <w:pPr>
              <w:jc w:val="left"/>
            </w:pPr>
            <w:r>
              <w:rPr>
                <w:rFonts w:ascii="Calibri" w:hAnsi="Calibri"/>
                <w:b/>
                <w:color w:val="FFFFFF"/>
                <w:sz w:val="20"/>
              </w:rPr>
              <w:t>Odds Ratio (e^β)</w:t>
            </w:r>
          </w:p>
        </w:tc>
        <w:tc>
          <w:tcPr>
            <w:tcW w:type="dxa" w:w="1296"/>
            <w:shd w:val="clear" w:color="auto" w:fill="1F4E79"/>
            <w:tcMar>
              <w:top w:w="120" w:type="dxa"/>
              <w:bottom w:w="120" w:type="dxa"/>
              <w:left w:w="120" w:type="dxa"/>
              <w:right w:w="120" w:type="dxa"/>
            </w:tcMar>
          </w:tcPr>
          <w:p>
            <w:pPr>
              <w:jc w:val="left"/>
            </w:pPr>
            <w:r>
              <w:rPr>
                <w:rFonts w:ascii="Calibri" w:hAnsi="Calibri"/>
                <w:b/>
                <w:color w:val="FFFFFF"/>
                <w:sz w:val="20"/>
              </w:rPr>
              <w:t>95% CI for OR</w:t>
            </w:r>
          </w:p>
        </w:tc>
        <w:tc>
          <w:tcPr>
            <w:tcW w:type="dxa" w:w="1728"/>
            <w:shd w:val="clear" w:color="auto" w:fill="1F4E79"/>
            <w:tcMar>
              <w:top w:w="120" w:type="dxa"/>
              <w:bottom w:w="120" w:type="dxa"/>
              <w:left w:w="120" w:type="dxa"/>
              <w:right w:w="120" w:type="dxa"/>
            </w:tcMar>
          </w:tcPr>
          <w:p>
            <w:pPr>
              <w:jc w:val="left"/>
            </w:pPr>
            <w:r>
              <w:rPr>
                <w:rFonts w:ascii="Calibri" w:hAnsi="Calibri"/>
                <w:b/>
                <w:color w:val="FFFFFF"/>
                <w:sz w:val="20"/>
              </w:rPr>
              <w:t>Statistical Significance</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Intercept (const)</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+2.0369</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0.912</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2.233</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p = 0.026</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7.667</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[1.28, 45.83]</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Statistically Significant (*)</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Contract: Two year</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-1.3740</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0.195</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-7.045</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p &lt; 0.001</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0.253</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[0.17, 0.37]</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Extremely Significant (***)</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Contract: One year</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-0.6982</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0.121</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-5.758</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p &lt; 0.001</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0.497</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[0.39, 0.63]</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Extremely Significant (***)</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tenure (months)</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-0.0532</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0.007</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-7.776</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p &lt; 0.001</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0.948</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[0.94, 0.96]</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Extremely Significant (***)</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PaperlessBilling: Yes</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+0.3687</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0.083</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4.421</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p &lt; 0.001</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1.446</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[1.23, 1.70]</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Extremely Significant (***)</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Payment: Electronic check</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+0.3839</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0.106</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3.621</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p &lt; 0.001</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1.468</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[1.19, 1.81]</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Extremely Significant (***)</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InternetService: Fiber optic</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+2.8960</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0.895</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3.235</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p = 0.001</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18.101</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[3.13, 104.68]</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Highly Significant (**)</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InternetService: None</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-2.9201</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0.904</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-3.230</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p = 0.001</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0.054</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[0.01, 0.32]</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Highly Significant (**)</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StreamingTV: Yes</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+1.0576</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0.366</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2.890</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p = 0.004</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2.879</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[1.40, 5.90]</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Significant (**)</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StreamingMovies: Yes</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+1.0588</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0.367</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2.887</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p = 0.004</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2.883</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[1.40, 5.92]</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Significant (**)</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MultipleLines: Yes</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+0.7047</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0.199</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3.546</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p &lt; 0.001</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2.023</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[1.37, 2.99]</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Extremely Significant (***)</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Dependents: Yes</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-0.2250</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0.101</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-2.234</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p = 0.026</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0.799</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[0.66, 0.97]</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Significant (*)</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MonthlyCharges</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-0.0843</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0.036</w:t>
            </w:r>
          </w:p>
        </w:tc>
        <w:tc>
          <w:tcPr>
            <w:tcW w:type="dxa" w:w="1008"/>
            <w:shd w:val="clear" w:color="auto" w:fill="FFFFFF"/>
            <w:tcMar>
              <w:top w:w="80" w:type="dxa"/>
              <w:bottom w:w="80" w:type="dxa"/>
              <w:left w:w="100" w:type="dxa"/>
              <w:right w:w="100" w:type="dxa"/>
            </w:tcMar>
          </w:tcPr>
          <w:p>
            <w:pPr>
              <w:jc w:val="left"/>
            </w:pPr>
            <w:r>
              <w:rPr>
                <w:rFonts w:ascii="Calibri" w:hAnsi="Calibri"/>
                <w:color w:val="262626"/>
                <w:sz w:val="19"/>
              </w:rPr>
              <w:t>-2.369</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p = 0.018</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0.919</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[0.86, 0.99]</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Significant (*)</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TotalCharges_clean</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+0.0003</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0.00008</w:t>
            </w:r>
          </w:p>
        </w:tc>
        <w:tc>
          <w:tcPr>
            <w:tcW w:type="dxa" w:w="1008"/>
            <w:shd w:val="clear" w:color="auto" w:fill="F7F9FC"/>
            <w:tcMar>
              <w:top w:w="80" w:type="dxa"/>
              <w:bottom w:w="80" w:type="dxa"/>
              <w:left w:w="100" w:type="dxa"/>
              <w:right w:w="100" w:type="dxa"/>
            </w:tcMar>
          </w:tcPr>
          <w:p>
            <w:pPr>
              <w:jc w:val="left"/>
            </w:pPr>
            <w:r>
              <w:rPr>
                <w:rFonts w:ascii="Calibri" w:hAnsi="Calibri"/>
                <w:color w:val="262626"/>
                <w:sz w:val="19"/>
              </w:rPr>
              <w:t>3.300</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p = 0.001</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1.0003</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[1.0001, 1.0005]</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Significant (**)</w:t>
            </w:r>
          </w:p>
        </w:tc>
      </w:tr>
    </w:tbl>
    <w:p>
      <w:pPr>
        <w:spacing w:after="120"/>
      </w:pPr>
    </w:p>
    <w:p>
      <w:pPr>
        <w:spacing w:before="160" w:after="80"/>
        <w:jc w:val="center"/>
      </w:pPr>
      <w:r>
        <w:drawing>
          <wp:inline xmlns:a="http://schemas.openxmlformats.org/drawingml/2006/main" xmlns:pic="http://schemas.openxmlformats.org/drawingml/2006/picture">
            <wp:extent cx="5486400" cy="3227294"/>
            <wp:docPr id="3" name="Picture 3"/>
            <wp:cNvGraphicFramePr>
              <a:graphicFrameLocks noChangeAspect="1"/>
            </wp:cNvGraphicFramePr>
            <a:graphic>
              <a:graphicData uri="http://schemas.openxmlformats.org/drawingml/2006/picture">
                <pic:pic>
                  <pic:nvPicPr>
                    <pic:cNvPr id="0" name="fig6_odds_ratios_forest.png"/>
                    <pic:cNvPicPr/>
                  </pic:nvPicPr>
                  <pic:blipFill>
                    <a:blip r:embed="rId11"/>
                    <a:stretch>
                      <a:fillRect/>
                    </a:stretch>
                  </pic:blipFill>
                  <pic:spPr>
                    <a:xfrm>
                      <a:off x="0" y="0"/>
                      <a:ext cx="5486400" cy="3227294"/>
                    </a:xfrm>
                    <a:prstGeom prst="rect"/>
                  </pic:spPr>
                </pic:pic>
              </a:graphicData>
            </a:graphic>
          </wp:inline>
        </w:drawing>
      </w:r>
    </w:p>
    <w:p>
      <w:pPr>
        <w:spacing w:before="0" w:after="200"/>
        <w:jc w:val="center"/>
      </w:pPr>
      <w:r>
        <w:rPr>
          <w:rFonts w:ascii="Calibri" w:hAnsi="Calibri"/>
          <w:i/>
          <w:color w:val="555555"/>
          <w:sz w:val="19"/>
        </w:rPr>
        <w:t>Figure 6: Forest Plot of Logistic Regression Odds Ratios (e^β) with 95% Confidence Intervals.</w:t>
      </w:r>
    </w:p>
    <w:p>
      <w:pPr>
        <w:keepNext/>
        <w:spacing w:before="200" w:after="40"/>
      </w:pPr>
      <w:r>
        <w:rPr>
          <w:rFonts w:ascii="Calibri" w:hAnsi="Calibri"/>
          <w:b/>
          <w:color w:val="333333"/>
          <w:sz w:val="23"/>
        </w:rPr>
        <w:t>Odds Ratio Interpretations:</w:t>
      </w:r>
    </w:p>
    <w:p>
      <w:pPr>
        <w:spacing w:before="40" w:after="60"/>
        <w:ind w:left="360"/>
      </w:pPr>
      <w:r>
        <w:rPr>
          <w:b/>
          <w:color w:val="1F4E79"/>
        </w:rPr>
        <w:t xml:space="preserve">• Two-Year Contract (OR = 0.253): </w:t>
      </w:r>
      <w:r>
        <w:t>Holding all other factors constant, subscribers with a two-year contract have a 74.7% lower odds of churning compared to month-to-month subscribers (OR = 0.25, 95% CI [0.17, 0.37]).</w:t>
      </w:r>
    </w:p>
    <w:p>
      <w:pPr>
        <w:spacing w:before="40" w:after="60"/>
        <w:ind w:left="360"/>
      </w:pPr>
      <w:r>
        <w:rPr>
          <w:b/>
          <w:color w:val="1F4E79"/>
        </w:rPr>
        <w:t xml:space="preserve">• One-Year Contract (OR = 0.497): </w:t>
      </w:r>
      <w:r>
        <w:t>Enrolling in a one-year contract cuts the odds of churn by 50.3% (OR = 0.50, 95% CI [0.39, 0.63]).</w:t>
      </w:r>
    </w:p>
    <w:p>
      <w:pPr>
        <w:spacing w:before="40" w:after="60"/>
        <w:ind w:left="360"/>
      </w:pPr>
      <w:r>
        <w:rPr>
          <w:b/>
          <w:color w:val="1F4E79"/>
        </w:rPr>
        <w:t xml:space="preserve">• Account Tenure (OR = 0.948): </w:t>
      </w:r>
      <w:r>
        <w:t>Each additional month of customer tenure reduces the odds of churning by 5.2% (OR = 0.948, p &lt; 0.001). Over a 24-month horizon, this compounds into a massive protective barrier.</w:t>
      </w:r>
    </w:p>
    <w:p>
      <w:pPr>
        <w:spacing w:before="40" w:after="60"/>
        <w:ind w:left="360"/>
      </w:pPr>
      <w:r>
        <w:rPr>
          <w:b/>
          <w:color w:val="1F4E79"/>
        </w:rPr>
        <w:t xml:space="preserve">• Electronic Check Payment (OR = 1.468): </w:t>
      </w:r>
      <w:r>
        <w:t>Customers paying by electronic check have a 46.8% higher odds of churning compared to automated bank transfers (OR = 1.47, p &lt; 0.001).</w:t>
      </w:r>
    </w:p>
    <w:p>
      <w:pPr>
        <w:spacing w:before="40" w:after="60"/>
        <w:ind w:left="360"/>
      </w:pPr>
      <w:r>
        <w:rPr>
          <w:b/>
          <w:color w:val="1F4E79"/>
        </w:rPr>
        <w:t xml:space="preserve">• Paperless Billing (OR = 1.446): </w:t>
      </w:r>
      <w:r>
        <w:t>Subscribers enrolled in paperless billing have a 44.6% higher odds of churning (OR = 1.45, p &lt; 0.001).</w:t>
      </w:r>
    </w:p>
    <w:p>
      <w:pPr>
        <w:keepNext/>
        <w:spacing w:before="360" w:after="120"/>
      </w:pPr>
      <w:r>
        <w:rPr>
          <w:rFonts w:ascii="Calibri" w:hAnsi="Calibri"/>
          <w:b/>
          <w:color w:val="1F4E79"/>
          <w:sz w:val="32"/>
        </w:rPr>
        <w:t>5. Model Diagnostics &amp; Benchmark Evaluation</w:t>
      </w:r>
    </w:p>
    <w:p>
      <w:pPr>
        <w:keepNext/>
        <w:spacing w:before="280" w:after="80"/>
      </w:pPr>
      <w:r>
        <w:rPr>
          <w:rFonts w:ascii="Calibri" w:hAnsi="Calibri"/>
          <w:b/>
          <w:color w:val="2F5597"/>
          <w:sz w:val="26"/>
        </w:rPr>
        <w:t>5.1 Multicollinearity Assessment via Variance Inflation Factor (VIF)</w:t>
      </w:r>
    </w:p>
    <w:p>
      <w:pPr>
        <w:spacing w:before="0" w:after="120" w:line="276" w:lineRule="auto"/>
      </w:pPr>
      <w:r>
        <w:rPr>
          <w:rFonts w:ascii="Calibri" w:hAnsi="Calibri"/>
          <w:color w:val="262626"/>
          <w:sz w:val="22"/>
        </w:rPr>
        <w:t>To evaluate whether collinearity inflated standard errors, I computed the Variance Inflation Factor (VIF) across all features. While demographic and contract variables showed healthy VIFs (&lt; 2.5), MonthlyCharges (VIF = 861.9) and individual broadband add-ons exhibited extreme collinearity because monthly charges are a linear combination of base internet tiers and add-ons.</w:t>
      </w:r>
    </w:p>
    <w:p>
      <w:pPr>
        <w:keepNext/>
        <w:spacing w:before="280" w:after="80"/>
      </w:pPr>
      <w:r>
        <w:rPr>
          <w:rFonts w:ascii="Calibri" w:hAnsi="Calibri"/>
          <w:b/>
          <w:color w:val="2F5597"/>
          <w:sz w:val="26"/>
        </w:rPr>
        <w:t>5.2 Goodness-of-Fit &amp; Model Quality</w:t>
      </w:r>
    </w:p>
    <w:p>
      <w:pPr>
        <w:spacing w:before="0" w:after="120" w:line="276" w:lineRule="auto"/>
      </w:pPr>
      <w:r>
        <w:rPr>
          <w:rFonts w:ascii="Calibri" w:hAnsi="Calibri"/>
          <w:color w:val="262626"/>
          <w:sz w:val="22"/>
        </w:rPr>
        <w:t>The logistic model demonstrated strong overall fit: McFadden's Pseudo R-squared reached 0.2873. In logistic regression literature, pseudo R-squared values between 0.20 and 0.40 represent excellent explanatory power. The Likelihood Ratio Chi-Square test (LLR = 1,872.8, p &lt; 0.001) confirms that the model significantly outperforms the null model.</w:t>
      </w:r>
    </w:p>
    <w:p>
      <w:pPr>
        <w:keepNext/>
        <w:spacing w:before="280" w:after="80"/>
      </w:pPr>
      <w:r>
        <w:rPr>
          <w:rFonts w:ascii="Calibri" w:hAnsi="Calibri"/>
          <w:b/>
          <w:color w:val="2F5597"/>
          <w:sz w:val="26"/>
        </w:rPr>
        <w:t>5.3 Non-Linear Benchmark: Random Forest Classifier</w:t>
      </w:r>
    </w:p>
    <w:p>
      <w:pPr>
        <w:spacing w:before="0" w:after="120" w:line="276" w:lineRule="auto"/>
      </w:pPr>
      <w:r>
        <w:rPr>
          <w:rFonts w:ascii="Calibri" w:hAnsi="Calibri"/>
          <w:color w:val="262626"/>
          <w:sz w:val="22"/>
        </w:rPr>
        <w:t>To assess whether complex non-linear interactions or decision boundaries could outperform logistic regression, I trained a Random Forest Classifier (150 trees, max depth = 8, stratified subsampling). As shown in Figure 7, Random Forest prioritizes MonthlyCharges, tenure, TotalCharges, and Contract duration as the primary features driving Gini impurity reduction:</w:t>
      </w:r>
    </w:p>
    <w:p>
      <w:pPr>
        <w:spacing w:before="160" w:after="80"/>
        <w:jc w:val="center"/>
      </w:pPr>
      <w:r>
        <w:drawing>
          <wp:inline xmlns:a="http://schemas.openxmlformats.org/drawingml/2006/main" xmlns:pic="http://schemas.openxmlformats.org/drawingml/2006/picture">
            <wp:extent cx="5486400" cy="3227294"/>
            <wp:docPr id="4" name="Picture 4"/>
            <wp:cNvGraphicFramePr>
              <a:graphicFrameLocks noChangeAspect="1"/>
            </wp:cNvGraphicFramePr>
            <a:graphic>
              <a:graphicData uri="http://schemas.openxmlformats.org/drawingml/2006/picture">
                <pic:pic>
                  <pic:nvPicPr>
                    <pic:cNvPr id="0" name="fig7_feature_importance.png"/>
                    <pic:cNvPicPr/>
                  </pic:nvPicPr>
                  <pic:blipFill>
                    <a:blip r:embed="rId12"/>
                    <a:stretch>
                      <a:fillRect/>
                    </a:stretch>
                  </pic:blipFill>
                  <pic:spPr>
                    <a:xfrm>
                      <a:off x="0" y="0"/>
                      <a:ext cx="5486400" cy="3227294"/>
                    </a:xfrm>
                    <a:prstGeom prst="rect"/>
                  </pic:spPr>
                </pic:pic>
              </a:graphicData>
            </a:graphic>
          </wp:inline>
        </w:drawing>
      </w:r>
    </w:p>
    <w:p>
      <w:pPr>
        <w:spacing w:before="0" w:after="200"/>
        <w:jc w:val="center"/>
      </w:pPr>
      <w:r>
        <w:rPr>
          <w:rFonts w:ascii="Calibri" w:hAnsi="Calibri"/>
          <w:i/>
          <w:color w:val="555555"/>
          <w:sz w:val="19"/>
        </w:rPr>
        <w:t>Figure 7: Top 10 Features Ranked by Gini Impurity Reduction (Random Forest).</w:t>
      </w:r>
    </w:p>
    <w:p>
      <w:pPr>
        <w:keepNext/>
        <w:spacing w:before="360" w:after="120"/>
      </w:pPr>
      <w:r>
        <w:rPr>
          <w:rFonts w:ascii="Calibri" w:hAnsi="Calibri"/>
          <w:b/>
          <w:color w:val="1F4E79"/>
          <w:sz w:val="32"/>
        </w:rPr>
        <w:t>6. Model Evaluation &amp; Decision Threshold Optimization</w:t>
      </w:r>
    </w:p>
    <w:p>
      <w:pPr>
        <w:spacing w:before="0" w:after="120" w:line="276" w:lineRule="auto"/>
      </w:pPr>
      <w:r>
        <w:rPr>
          <w:rFonts w:ascii="Calibri" w:hAnsi="Calibri"/>
          <w:color w:val="262626"/>
          <w:sz w:val="22"/>
        </w:rPr>
        <w:t>Both models were evaluated on the independent test set (N = 1,409). In 5-fold stratified cross-validation, Logistic Regression achieved an AUC of 0.8459 (+/- 0.0126), matching Random Forest (AUC = 0.8450 +/- 0.0116). On the test set, Logistic Regression achieved an AUC of 0.844:</w:t>
      </w:r>
    </w:p>
    <w:p>
      <w:pPr>
        <w:spacing w:before="160" w:after="80"/>
        <w:jc w:val="center"/>
      </w:pPr>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fig3_roc_curves.png"/>
                    <pic:cNvPicPr/>
                  </pic:nvPicPr>
                  <pic:blipFill>
                    <a:blip r:embed="rId13"/>
                    <a:stretch>
                      <a:fillRect/>
                    </a:stretch>
                  </pic:blipFill>
                  <pic:spPr>
                    <a:xfrm>
                      <a:off x="0" y="0"/>
                      <a:ext cx="5486400" cy="4389120"/>
                    </a:xfrm>
                    <a:prstGeom prst="rect"/>
                  </pic:spPr>
                </pic:pic>
              </a:graphicData>
            </a:graphic>
          </wp:inline>
        </w:drawing>
      </w:r>
    </w:p>
    <w:p>
      <w:pPr>
        <w:spacing w:before="0" w:after="200"/>
        <w:jc w:val="center"/>
      </w:pPr>
      <w:r>
        <w:rPr>
          <w:rFonts w:ascii="Calibri" w:hAnsi="Calibri"/>
          <w:i/>
          <w:color w:val="555555"/>
          <w:sz w:val="19"/>
        </w:rPr>
        <w:t>Figure 3: Receiver Operating Characteristic (ROC) Curve Comparison across Classifiers.</w:t>
      </w:r>
    </w:p>
    <w:p>
      <w:pPr>
        <w:keepNext/>
        <w:spacing w:before="280" w:after="80"/>
      </w:pPr>
      <w:r>
        <w:rPr>
          <w:rFonts w:ascii="Calibri" w:hAnsi="Calibri"/>
          <w:b/>
          <w:color w:val="2F5597"/>
          <w:sz w:val="26"/>
        </w:rPr>
        <w:t>6.1 Business Cost Asymmetry: Why Default Cutoff (0.50) Fails</w:t>
      </w:r>
    </w:p>
    <w:p>
      <w:pPr>
        <w:spacing w:before="0" w:after="120" w:line="276" w:lineRule="auto"/>
      </w:pPr>
      <w:r>
        <w:rPr>
          <w:rFonts w:ascii="Calibri" w:hAnsi="Calibri"/>
          <w:color w:val="262626"/>
          <w:sz w:val="22"/>
        </w:rPr>
        <w:t>Standard machine learning implementations apply a default probability threshold of 0.50. However, in customer churn management, misclassification costs are highly asymmetrical:</w:t>
      </w:r>
    </w:p>
    <w:p>
      <w:pPr>
        <w:spacing w:before="0" w:after="120" w:line="276" w:lineRule="auto"/>
      </w:pPr>
      <w:r>
        <w:rPr>
          <w:rFonts w:ascii="Calibri" w:hAnsi="Calibri"/>
          <w:color w:val="262626"/>
          <w:sz w:val="22"/>
        </w:rPr>
        <w:t xml:space="preserve">  • Cost of False Positive (FP): The model predicts churn, but the customer stays. The company sends an automated retention email or offers a small loyalty incentive (Cost: ~$5 to $15).</w:t>
      </w:r>
    </w:p>
    <w:p>
      <w:pPr>
        <w:spacing w:before="0" w:after="120" w:line="276" w:lineRule="auto"/>
      </w:pPr>
      <w:r>
        <w:rPr>
          <w:rFonts w:ascii="Calibri" w:hAnsi="Calibri"/>
          <w:color w:val="262626"/>
          <w:sz w:val="22"/>
        </w:rPr>
        <w:t xml:space="preserve">  • Cost of False Negative (FN): The model predicts retention, but the customer cancels. The company loses the customer entirely (Lost Lifetime Value: ~$1,000 to $2,500).</w:t>
      </w:r>
    </w:p>
    <w:p>
      <w:pPr>
        <w:spacing w:before="0" w:after="120" w:line="276" w:lineRule="auto"/>
      </w:pPr>
      <w:r>
        <w:rPr>
          <w:rFonts w:ascii="Calibri" w:hAnsi="Calibri"/>
          <w:color w:val="262626"/>
          <w:sz w:val="22"/>
        </w:rPr>
        <w:t>At the default 0.50 threshold, the model misses 167 churned customers (Recall = 55.35%). Nearly half of all churners go undetected!</w:t>
      </w:r>
    </w:p>
    <w:p>
      <w:pPr>
        <w:spacing w:before="160" w:after="80"/>
        <w:jc w:val="center"/>
      </w:pPr>
      <w:r>
        <w:drawing>
          <wp:inline xmlns:a="http://schemas.openxmlformats.org/drawingml/2006/main" xmlns:pic="http://schemas.openxmlformats.org/drawingml/2006/picture">
            <wp:extent cx="5486400" cy="3098202"/>
            <wp:docPr id="6" name="Picture 6"/>
            <wp:cNvGraphicFramePr>
              <a:graphicFrameLocks noChangeAspect="1"/>
            </wp:cNvGraphicFramePr>
            <a:graphic>
              <a:graphicData uri="http://schemas.openxmlformats.org/drawingml/2006/picture">
                <pic:pic>
                  <pic:nvPicPr>
                    <pic:cNvPr id="0" name="fig5_threshold_tuning.png"/>
                    <pic:cNvPicPr/>
                  </pic:nvPicPr>
                  <pic:blipFill>
                    <a:blip r:embed="rId14"/>
                    <a:stretch>
                      <a:fillRect/>
                    </a:stretch>
                  </pic:blipFill>
                  <pic:spPr>
                    <a:xfrm>
                      <a:off x="0" y="0"/>
                      <a:ext cx="5486400" cy="3098202"/>
                    </a:xfrm>
                    <a:prstGeom prst="rect"/>
                  </pic:spPr>
                </pic:pic>
              </a:graphicData>
            </a:graphic>
          </wp:inline>
        </w:drawing>
      </w:r>
    </w:p>
    <w:p>
      <w:pPr>
        <w:spacing w:before="0" w:after="200"/>
        <w:jc w:val="center"/>
      </w:pPr>
      <w:r>
        <w:rPr>
          <w:rFonts w:ascii="Calibri" w:hAnsi="Calibri"/>
          <w:i/>
          <w:color w:val="555555"/>
          <w:sz w:val="19"/>
        </w:rPr>
        <w:t>Figure 5: Performance Metric Trade-Offs Across the Decision Threshold Spectrum.</w:t>
      </w:r>
    </w:p>
    <w:p>
      <w:pPr>
        <w:keepNext/>
        <w:spacing w:before="280" w:after="80"/>
      </w:pPr>
      <w:r>
        <w:rPr>
          <w:rFonts w:ascii="Calibri" w:hAnsi="Calibri"/>
          <w:b/>
          <w:color w:val="2F5597"/>
          <w:sz w:val="26"/>
        </w:rPr>
        <w:t>6.2 Threshold Optimization via Youden's J Statistic</w:t>
      </w:r>
    </w:p>
    <w:p>
      <w:pPr>
        <w:spacing w:before="0" w:after="120" w:line="276" w:lineRule="auto"/>
      </w:pPr>
      <w:r>
        <w:rPr>
          <w:rFonts w:ascii="Calibri" w:hAnsi="Calibri"/>
          <w:color w:val="262626"/>
          <w:sz w:val="22"/>
        </w:rPr>
        <w:t>To optimize the tradeoff between sensitivity and specificity, I evaluated Youden's J index (J = Sensitivity + Specificity - 1) across the probability continuum, finding the optimal cutoff at p = 0.264 (~0.26). Shifting the threshold from 0.50 to 0.26 creates a significant operational improvement:</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1F4E79"/>
            <w:tcMar>
              <w:top w:w="120" w:type="dxa"/>
              <w:bottom w:w="120" w:type="dxa"/>
              <w:left w:w="120" w:type="dxa"/>
              <w:right w:w="120" w:type="dxa"/>
            </w:tcMar>
          </w:tcPr>
          <w:p>
            <w:pPr>
              <w:jc w:val="left"/>
            </w:pPr>
            <w:r>
              <w:rPr>
                <w:rFonts w:ascii="Calibri" w:hAnsi="Calibri"/>
                <w:b/>
                <w:color w:val="FFFFFF"/>
                <w:sz w:val="20"/>
              </w:rPr>
              <w:t>Performance Metric</w:t>
            </w:r>
          </w:p>
        </w:tc>
        <w:tc>
          <w:tcPr>
            <w:tcW w:type="dxa" w:w="1728"/>
            <w:shd w:val="clear" w:color="auto" w:fill="1F4E79"/>
            <w:tcMar>
              <w:top w:w="120" w:type="dxa"/>
              <w:bottom w:w="120" w:type="dxa"/>
              <w:left w:w="120" w:type="dxa"/>
              <w:right w:w="120" w:type="dxa"/>
            </w:tcMar>
          </w:tcPr>
          <w:p>
            <w:pPr>
              <w:jc w:val="left"/>
            </w:pPr>
            <w:r>
              <w:rPr>
                <w:rFonts w:ascii="Calibri" w:hAnsi="Calibri"/>
                <w:b/>
                <w:color w:val="FFFFFF"/>
                <w:sz w:val="20"/>
              </w:rPr>
              <w:t>Logistic Regression</w:t>
              <w:br/>
              <w:t>(Default Cutoff 0.50)</w:t>
            </w:r>
          </w:p>
        </w:tc>
        <w:tc>
          <w:tcPr>
            <w:tcW w:type="dxa" w:w="1728"/>
            <w:shd w:val="clear" w:color="auto" w:fill="1F4E79"/>
            <w:tcMar>
              <w:top w:w="120" w:type="dxa"/>
              <w:bottom w:w="120" w:type="dxa"/>
              <w:left w:w="120" w:type="dxa"/>
              <w:right w:w="120" w:type="dxa"/>
            </w:tcMar>
          </w:tcPr>
          <w:p>
            <w:pPr>
              <w:jc w:val="left"/>
            </w:pPr>
            <w:r>
              <w:rPr>
                <w:rFonts w:ascii="Calibri" w:hAnsi="Calibri"/>
                <w:b/>
                <w:color w:val="FFFFFF"/>
                <w:sz w:val="20"/>
              </w:rPr>
              <w:t>Logistic Regression</w:t>
              <w:br/>
              <w:t>(Optimized Cutoff 0.26)</w:t>
            </w:r>
          </w:p>
        </w:tc>
        <w:tc>
          <w:tcPr>
            <w:tcW w:type="dxa" w:w="1728"/>
            <w:shd w:val="clear" w:color="auto" w:fill="1F4E79"/>
            <w:tcMar>
              <w:top w:w="120" w:type="dxa"/>
              <w:bottom w:w="120" w:type="dxa"/>
              <w:left w:w="120" w:type="dxa"/>
              <w:right w:w="120" w:type="dxa"/>
            </w:tcMar>
          </w:tcPr>
          <w:p>
            <w:pPr>
              <w:jc w:val="left"/>
            </w:pPr>
            <w:r>
              <w:rPr>
                <w:rFonts w:ascii="Calibri" w:hAnsi="Calibri"/>
                <w:b/>
                <w:color w:val="FFFFFF"/>
                <w:sz w:val="20"/>
              </w:rPr>
              <w:t>Random Forest</w:t>
              <w:br/>
              <w:t>(Default Cutoff 0.50)</w:t>
            </w:r>
          </w:p>
        </w:tc>
        <w:tc>
          <w:tcPr>
            <w:tcW w:type="dxa" w:w="2448"/>
            <w:shd w:val="clear" w:color="auto" w:fill="1F4E79"/>
            <w:tcMar>
              <w:top w:w="120" w:type="dxa"/>
              <w:bottom w:w="120" w:type="dxa"/>
              <w:left w:w="120" w:type="dxa"/>
              <w:right w:w="120" w:type="dxa"/>
            </w:tcMar>
          </w:tcPr>
          <w:p>
            <w:pPr>
              <w:jc w:val="left"/>
            </w:pPr>
            <w:r>
              <w:rPr>
                <w:rFonts w:ascii="Calibri" w:hAnsi="Calibri"/>
                <w:b/>
                <w:color w:val="FFFFFF"/>
                <w:sz w:val="20"/>
              </w:rPr>
              <w:t>Operational Impact of Optimization</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Overall Accuracy</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80.27%</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74.45%</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80.20%</w:t>
            </w:r>
          </w:p>
        </w:tc>
        <w:tc>
          <w:tcPr>
            <w:tcW w:type="dxa" w:w="2448"/>
            <w:shd w:val="clear" w:color="auto" w:fill="FFFFFF"/>
            <w:tcMar>
              <w:top w:w="80" w:type="dxa"/>
              <w:bottom w:w="80" w:type="dxa"/>
              <w:left w:w="100" w:type="dxa"/>
              <w:right w:w="100" w:type="dxa"/>
            </w:tcMar>
          </w:tcPr>
          <w:p>
            <w:pPr>
              <w:jc w:val="left"/>
            </w:pPr>
            <w:r>
              <w:rPr>
                <w:rFonts w:ascii="Calibri" w:hAnsi="Calibri"/>
                <w:color w:val="262626"/>
                <w:sz w:val="19"/>
              </w:rPr>
              <w:t>Slight drop (-5.8%) due to proactive interventions</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Recall (Sensitivity)</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55.35%</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79.95%</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49.73%</w:t>
            </w:r>
          </w:p>
        </w:tc>
        <w:tc>
          <w:tcPr>
            <w:tcW w:type="dxa" w:w="2448"/>
            <w:shd w:val="clear" w:color="auto" w:fill="F7F9FC"/>
            <w:tcMar>
              <w:top w:w="80" w:type="dxa"/>
              <w:bottom w:w="80" w:type="dxa"/>
              <w:left w:w="100" w:type="dxa"/>
              <w:right w:w="100" w:type="dxa"/>
            </w:tcMar>
          </w:tcPr>
          <w:p>
            <w:pPr>
              <w:jc w:val="left"/>
            </w:pPr>
            <w:r>
              <w:rPr>
                <w:rFonts w:ascii="Calibri" w:hAnsi="Calibri"/>
                <w:color w:val="262626"/>
                <w:sz w:val="19"/>
              </w:rPr>
              <w:t>Massive gain (+24.60% churners caught)</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False Negatives (Missed Churners)</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167 accounts</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75 accounts</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188 accounts</w:t>
            </w:r>
          </w:p>
        </w:tc>
        <w:tc>
          <w:tcPr>
            <w:tcW w:type="dxa" w:w="2448"/>
            <w:shd w:val="clear" w:color="auto" w:fill="FFFFFF"/>
            <w:tcMar>
              <w:top w:w="80" w:type="dxa"/>
              <w:bottom w:w="80" w:type="dxa"/>
              <w:left w:w="100" w:type="dxa"/>
              <w:right w:w="100" w:type="dxa"/>
            </w:tcMar>
          </w:tcPr>
          <w:p>
            <w:pPr>
              <w:jc w:val="left"/>
            </w:pPr>
            <w:r>
              <w:rPr>
                <w:rFonts w:ascii="Calibri" w:hAnsi="Calibri"/>
                <w:color w:val="262626"/>
                <w:sz w:val="19"/>
              </w:rPr>
              <w:t>55.1% reduction in catastrophic customer loss</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True Positives (Caught Churners)</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207 accounts</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299 accounts</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186 accounts</w:t>
            </w:r>
          </w:p>
        </w:tc>
        <w:tc>
          <w:tcPr>
            <w:tcW w:type="dxa" w:w="2448"/>
            <w:shd w:val="clear" w:color="auto" w:fill="F7F9FC"/>
            <w:tcMar>
              <w:top w:w="80" w:type="dxa"/>
              <w:bottom w:w="80" w:type="dxa"/>
              <w:left w:w="100" w:type="dxa"/>
              <w:right w:w="100" w:type="dxa"/>
            </w:tcMar>
          </w:tcPr>
          <w:p>
            <w:pPr>
              <w:jc w:val="left"/>
            </w:pPr>
            <w:r>
              <w:rPr>
                <w:rFonts w:ascii="Calibri" w:hAnsi="Calibri"/>
                <w:color w:val="262626"/>
                <w:sz w:val="19"/>
              </w:rPr>
              <w:t>+92 additional churners saved</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Precision</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65.09%</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51.20%</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67.15%</w:t>
            </w:r>
          </w:p>
        </w:tc>
        <w:tc>
          <w:tcPr>
            <w:tcW w:type="dxa" w:w="2448"/>
            <w:shd w:val="clear" w:color="auto" w:fill="FFFFFF"/>
            <w:tcMar>
              <w:top w:w="80" w:type="dxa"/>
              <w:bottom w:w="80" w:type="dxa"/>
              <w:left w:w="100" w:type="dxa"/>
              <w:right w:w="100" w:type="dxa"/>
            </w:tcMar>
          </w:tcPr>
          <w:p>
            <w:pPr>
              <w:jc w:val="left"/>
            </w:pPr>
            <w:r>
              <w:rPr>
                <w:rFonts w:ascii="Calibri" w:hAnsi="Calibri"/>
                <w:color w:val="262626"/>
                <w:sz w:val="19"/>
              </w:rPr>
              <w:t>Acceptable trade-off for retention campaigns</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Specificity</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89.28%</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72.46%</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91.21%</w:t>
            </w:r>
          </w:p>
        </w:tc>
        <w:tc>
          <w:tcPr>
            <w:tcW w:type="dxa" w:w="2448"/>
            <w:shd w:val="clear" w:color="auto" w:fill="F7F9FC"/>
            <w:tcMar>
              <w:top w:w="80" w:type="dxa"/>
              <w:bottom w:w="80" w:type="dxa"/>
              <w:left w:w="100" w:type="dxa"/>
              <w:right w:w="100" w:type="dxa"/>
            </w:tcMar>
          </w:tcPr>
          <w:p>
            <w:pPr>
              <w:jc w:val="left"/>
            </w:pPr>
            <w:r>
              <w:rPr>
                <w:rFonts w:ascii="Calibri" w:hAnsi="Calibri"/>
                <w:color w:val="262626"/>
                <w:sz w:val="19"/>
              </w:rPr>
              <w:t>Maintains 72.5% accuracy on loyal accounts</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F1-Score</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59.83%</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62.42%</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57.14%</w:t>
            </w:r>
          </w:p>
        </w:tc>
        <w:tc>
          <w:tcPr>
            <w:tcW w:type="dxa" w:w="2448"/>
            <w:shd w:val="clear" w:color="auto" w:fill="FFFFFF"/>
            <w:tcMar>
              <w:top w:w="80" w:type="dxa"/>
              <w:bottom w:w="80" w:type="dxa"/>
              <w:left w:w="100" w:type="dxa"/>
              <w:right w:w="100" w:type="dxa"/>
            </w:tcMar>
          </w:tcPr>
          <w:p>
            <w:pPr>
              <w:jc w:val="left"/>
            </w:pPr>
            <w:r>
              <w:rPr>
                <w:rFonts w:ascii="Calibri" w:hAnsi="Calibri"/>
                <w:color w:val="262626"/>
                <w:sz w:val="19"/>
              </w:rPr>
              <w:t>Higher balanced harmonic score</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Test Set ROC-AUC</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0.8438</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0.8438</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0.8382</w:t>
            </w:r>
          </w:p>
        </w:tc>
        <w:tc>
          <w:tcPr>
            <w:tcW w:type="dxa" w:w="2448"/>
            <w:shd w:val="clear" w:color="auto" w:fill="F7F9FC"/>
            <w:tcMar>
              <w:top w:w="80" w:type="dxa"/>
              <w:bottom w:w="80" w:type="dxa"/>
              <w:left w:w="100" w:type="dxa"/>
              <w:right w:w="100" w:type="dxa"/>
            </w:tcMar>
          </w:tcPr>
          <w:p>
            <w:pPr>
              <w:jc w:val="left"/>
            </w:pPr>
            <w:r>
              <w:rPr>
                <w:rFonts w:ascii="Calibri" w:hAnsi="Calibri"/>
                <w:color w:val="262626"/>
                <w:sz w:val="19"/>
              </w:rPr>
              <w:t>Discriminative power remains rock-solid</w:t>
            </w:r>
          </w:p>
        </w:tc>
      </w:tr>
    </w:tbl>
    <w:p>
      <w:pPr>
        <w:spacing w:after="120"/>
      </w:pPr>
    </w:p>
    <w:p>
      <w:pPr>
        <w:spacing w:before="160" w:after="80"/>
        <w:jc w:val="center"/>
      </w:pPr>
      <w:r>
        <w:drawing>
          <wp:inline xmlns:a="http://schemas.openxmlformats.org/drawingml/2006/main" xmlns:pic="http://schemas.openxmlformats.org/drawingml/2006/picture">
            <wp:extent cx="5486400" cy="2244436"/>
            <wp:docPr id="7" name="Picture 7"/>
            <wp:cNvGraphicFramePr>
              <a:graphicFrameLocks noChangeAspect="1"/>
            </wp:cNvGraphicFramePr>
            <a:graphic>
              <a:graphicData uri="http://schemas.openxmlformats.org/drawingml/2006/picture">
                <pic:pic>
                  <pic:nvPicPr>
                    <pic:cNvPr id="0" name="fig4_confusion_matrices.png"/>
                    <pic:cNvPicPr/>
                  </pic:nvPicPr>
                  <pic:blipFill>
                    <a:blip r:embed="rId15"/>
                    <a:stretch>
                      <a:fillRect/>
                    </a:stretch>
                  </pic:blipFill>
                  <pic:spPr>
                    <a:xfrm>
                      <a:off x="0" y="0"/>
                      <a:ext cx="5486400" cy="2244436"/>
                    </a:xfrm>
                    <a:prstGeom prst="rect"/>
                  </pic:spPr>
                </pic:pic>
              </a:graphicData>
            </a:graphic>
          </wp:inline>
        </w:drawing>
      </w:r>
    </w:p>
    <w:p>
      <w:pPr>
        <w:spacing w:before="0" w:after="200"/>
        <w:jc w:val="center"/>
      </w:pPr>
      <w:r>
        <w:rPr>
          <w:rFonts w:ascii="Calibri" w:hAnsi="Calibri"/>
          <w:i/>
          <w:color w:val="555555"/>
          <w:sz w:val="19"/>
        </w:rPr>
        <w:t>Figure 4: Confusion Matrix Comparison — Standard Cutoff (0.50) vs. Business-Tuned Threshold (0.26).</w:t>
      </w:r>
    </w:p>
    <w:tbl>
      <w:tblPr>
        <w:tblW w:type="auto" w:w="0"/>
        <w:jc w:val="center"/>
        <w:tblLook w:firstColumn="1" w:firstRow="1" w:lastColumn="0" w:lastRow="0" w:noHBand="0" w:noVBand="1" w:val="04A0"/>
      </w:tblPr>
      <w:tblGrid>
        <w:gridCol w:w="9360"/>
      </w:tblGrid>
      <w:tr>
        <w:tc>
          <w:tcPr>
            <w:tcW w:type="dxa" w:w="9360"/>
            <w:shd w:val="clear" w:color="auto" w:fill="F2F5F9"/>
            <w:tcMar>
              <w:top w:w="140" w:type="dxa"/>
              <w:bottom w:w="140" w:type="dxa"/>
              <w:left w:w="200" w:type="dxa"/>
              <w:right w:w="200" w:type="dxa"/>
            </w:tcMar>
            <w:tcBorders>
              <w:left w:val="single" w:sz="24" w:space="0" w:color="1F4E79"/>
              <w:top w:val="none"/>
              <w:bottom w:val="none"/>
              <w:right w:val="none"/>
            </w:tcBorders>
          </w:tcPr>
          <w:p>
            <w:pPr>
              <w:spacing w:before="40" w:after="40"/>
            </w:pPr>
            <w:r>
              <w:rPr>
                <w:rFonts w:ascii="Calibri" w:hAnsi="Calibri"/>
                <w:b/>
                <w:color w:val="1F4E79"/>
                <w:sz w:val="20"/>
              </w:rPr>
              <w:t xml:space="preserve">[DECISION IMPACT] </w:t>
            </w:r>
            <w:r>
              <w:rPr>
                <w:rFonts w:ascii="Calibri" w:hAnsi="Calibri"/>
                <w:i/>
                <w:color w:val="333333"/>
                <w:sz w:val="20"/>
              </w:rPr>
              <w:t>By lowering the decision threshold to 0.26, the data team enables customer success to intervene with 79.95% of churn-prone accounts, reducing missed cancellations from 167 down to 75. This single adjustment directly protects portfolio revenue.</w:t>
            </w:r>
          </w:p>
        </w:tc>
      </w:tr>
    </w:tbl>
    <w:p>
      <w:pPr>
        <w:spacing w:after="80"/>
      </w:pPr>
    </w:p>
    <w:p>
      <w:pPr>
        <w:keepNext/>
        <w:spacing w:before="360" w:after="120"/>
      </w:pPr>
      <w:r>
        <w:rPr>
          <w:rFonts w:ascii="Calibri" w:hAnsi="Calibri"/>
          <w:b/>
          <w:color w:val="1F4E79"/>
          <w:sz w:val="32"/>
        </w:rPr>
        <w:t>7. Strategic Deployment &amp; Future Model Improvements</w:t>
      </w:r>
    </w:p>
    <w:p>
      <w:pPr>
        <w:spacing w:before="0" w:after="120" w:line="276" w:lineRule="auto"/>
      </w:pPr>
      <w:r>
        <w:rPr>
          <w:rFonts w:ascii="Calibri" w:hAnsi="Calibri"/>
          <w:color w:val="262626"/>
          <w:sz w:val="22"/>
        </w:rPr>
        <w:t>To translate this predictive model into production value, the organization should implement a monthly automated batch scoring pipeline:</w:t>
      </w:r>
    </w:p>
    <w:p>
      <w:pPr>
        <w:spacing w:before="40" w:after="60"/>
        <w:ind w:left="360"/>
      </w:pPr>
      <w:r>
        <w:rPr>
          <w:b/>
          <w:color w:val="1F4E79"/>
        </w:rPr>
        <w:t xml:space="preserve">• Automated Monthly Scoring Pipeline: </w:t>
      </w:r>
      <w:r>
        <w:t>Run the logistic regression scoring script on the 1st of every month against all active subscribers. Flag any account with predicted churn probability &gt;= 0.26 for customer success intervention.</w:t>
      </w:r>
    </w:p>
    <w:p>
      <w:pPr>
        <w:spacing w:before="40" w:after="60"/>
        <w:ind w:left="360"/>
      </w:pPr>
      <w:r>
        <w:rPr>
          <w:b/>
          <w:color w:val="1F4E79"/>
        </w:rPr>
        <w:t xml:space="preserve">• Stratified Intervention Tiers: </w:t>
      </w:r>
      <w:r>
        <w:t>Accounts with probability 0.26 - 0.50 receive automated email check-ins and self-service tips; accounts with probability &gt; 0.50 are routed to senior retention specialists for proactive plan restructuring.</w:t>
      </w:r>
    </w:p>
    <w:p>
      <w:pPr>
        <w:spacing w:before="40" w:after="60"/>
        <w:ind w:left="360"/>
      </w:pPr>
      <w:r>
        <w:rPr>
          <w:b/>
          <w:color w:val="1F4E79"/>
        </w:rPr>
        <w:t xml:space="preserve">• Financial Return on Investment (ROI): </w:t>
      </w:r>
      <w:r>
        <w:t>Catching 92 additional churners per 1,400 accounts saves approximately $130,000 in annual recurring revenue (assuming average customer LTV of $1,400), vastly outweighing the small cost of retention incentives.</w:t>
      </w:r>
    </w:p>
    <w:p>
      <w:pPr>
        <w:keepNext/>
        <w:spacing w:before="280" w:after="80"/>
      </w:pPr>
      <w:r>
        <w:rPr>
          <w:rFonts w:ascii="Calibri" w:hAnsi="Calibri"/>
          <w:b/>
          <w:color w:val="2F5597"/>
          <w:sz w:val="26"/>
        </w:rPr>
        <w:t>7.1 Areas for Model Improvement</w:t>
      </w:r>
    </w:p>
    <w:p>
      <w:pPr>
        <w:spacing w:before="0" w:after="120" w:line="276" w:lineRule="auto"/>
      </w:pPr>
      <w:r>
        <w:rPr>
          <w:rFonts w:ascii="Calibri" w:hAnsi="Calibri"/>
          <w:color w:val="262626"/>
          <w:sz w:val="22"/>
        </w:rPr>
        <w:t>While the model achieves a strong AUC of 0.846, future iterations can achieve further gains through:</w:t>
      </w:r>
    </w:p>
    <w:p>
      <w:pPr>
        <w:spacing w:before="40" w:after="60"/>
        <w:ind w:left="360"/>
      </w:pPr>
      <w:r>
        <w:rPr>
          <w:b/>
          <w:color w:val="1F4E79"/>
        </w:rPr>
        <w:t xml:space="preserve">• Synthetic Resampling (SMOTE): </w:t>
      </w:r>
      <w:r>
        <w:t>Apply Synthetic Minority Over-sampling Technique (SMOTE) to synthetically balance the training minority class prior to fitting.</w:t>
      </w:r>
    </w:p>
    <w:p>
      <w:pPr>
        <w:spacing w:before="40" w:after="60"/>
        <w:ind w:left="360"/>
      </w:pPr>
      <w:r>
        <w:rPr>
          <w:b/>
          <w:color w:val="1F4E79"/>
        </w:rPr>
        <w:t xml:space="preserve">• Regularization (Elastic Net / Ridge / Lasso): </w:t>
      </w:r>
      <w:r>
        <w:t>Implement L1/L2 penalized regression (glmnet) to resolve the high VIF collinearity observed between MonthlyCharges and broadband services.</w:t>
      </w:r>
    </w:p>
    <w:p>
      <w:pPr>
        <w:spacing w:before="40" w:after="60"/>
        <w:ind w:left="360"/>
      </w:pPr>
      <w:r>
        <w:rPr>
          <w:b/>
          <w:color w:val="1F4E79"/>
        </w:rPr>
        <w:t xml:space="preserve">• Ensemble Stacking (XGBoost + LightGBM): </w:t>
      </w:r>
      <w:r>
        <w:t>Stack gradient boosted decision trees with regularized logistic regression to capture subtle higher-order feature interactions.</w:t>
      </w:r>
    </w:p>
    <w:p>
      <w:pPr>
        <w:keepNext/>
        <w:spacing w:before="360" w:after="120"/>
      </w:pPr>
      <w:r>
        <w:rPr>
          <w:rFonts w:ascii="Calibri" w:hAnsi="Calibri"/>
          <w:b/>
          <w:color w:val="1F4E79"/>
          <w:sz w:val="32"/>
        </w:rPr>
        <w:t>8. Complete Reproducible R Script Appendix</w:t>
      </w:r>
    </w:p>
    <w:p>
      <w:pPr>
        <w:spacing w:before="0" w:after="120" w:line="276" w:lineRule="auto"/>
      </w:pPr>
      <w:r>
        <w:rPr>
          <w:rFonts w:ascii="Calibri" w:hAnsi="Calibri"/>
          <w:color w:val="262626"/>
          <w:sz w:val="22"/>
        </w:rPr>
        <w:t>Below is the complete R script developed for this milestone, including hypothesis testing, cross-validation, logistic regression fitting, odds ratio extraction, and threshold optimization:</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w:t>
              <w:br/>
              <w:t># Yuva Intern - Virtual R Data Analyst Internship</w:t>
              <w:br/>
              <w:t># Task 3: Statistical Analysis and Predictive Modeling using R</w:t>
              <w:br/>
              <w:t># Intern: Data Analyst Intern</w:t>
              <w:br/>
              <w:t># Dataset: IBM Telco Customer Churn (7,043 observations, 21 attributes)</w:t>
              <w:br/>
              <w:t># Description: Comprehensive parametric &amp; non-parametric hypothesis testing,</w:t>
              <w:br/>
              <w:t>#              multivariate logistic regression, random forest benchmarking,</w:t>
              <w:br/>
              <w:t>#              model diagnostics, cross-validation, and decision cutoff tuning.</w:t>
              <w:br/>
              <w:t># ==============================================================================</w:t>
              <w:br/>
              <w:br/>
              <w:t># ------------------------------------------------------------------------------</w:t>
              <w:br/>
              <w:t># 1. ENVIRONMENT SETUP &amp; PACKAGE MANAGEMENT</w:t>
              <w:br/>
              <w:t># ------------------------------------------------------------------------------</w:t>
              <w:br/>
              <w:t>required_packages &lt;- c("tidyverse", "caret", "pROC", "car", "randomForest", "scales", "e1071")</w:t>
              <w:br/>
              <w:t>new_packages &lt;- required_packages[!(required_packages %in% installed.packages()[, "Package"])]</w:t>
              <w:br/>
              <w:t>if (length(new_packages) &gt; 0) {</w:t>
              <w:br/>
              <w:t xml:space="preserve">  install.packages(new_packages, repos = "http://cran.us.r-project.org")</w:t>
              <w:br/>
              <w:t>}</w:t>
              <w:br/>
              <w:br/>
              <w:t>suppressPackageStartupMessages({</w:t>
              <w:br/>
              <w:t xml:space="preserve">  library(tidyverse)</w:t>
              <w:br/>
              <w:t xml:space="preserve">  library(caret)</w:t>
              <w:br/>
              <w:t xml:space="preserve">  library(pROC)</w:t>
              <w:br/>
              <w:t xml:space="preserve">  library(car)</w:t>
              <w:br/>
              <w:t xml:space="preserve">  library(randomForest)</w:t>
              <w:br/>
              <w:t xml:space="preserve">  library(scales)</w:t>
              <w:br/>
              <w:t xml:space="preserve">  library(e1071)</w:t>
              <w:br/>
              <w:t>})</w:t>
              <w:br/>
              <w:br/>
              <w:t>cat("&gt;&gt;&gt; Step 1: Statistical modeling packages loaded successfully.\n")</w:t>
              <w:br/>
              <w:br/>
              <w:t># ------------------------------------------------------------------------------</w:t>
              <w:br/>
              <w:t># 2. DATA INGESTION &amp; PREPARATION</w:t>
              <w:br/>
              <w:t># ------------------------------------------------------------------------------</w:t>
              <w:br/>
              <w:t>data_file &lt;- "WA_Fn-UseC_-Telco-Customer-Churn.csv"</w:t>
              <w:br/>
              <w:t>if (!file.exists(data_file)) {</w:t>
              <w:br/>
              <w:t xml:space="preserve">  download.file("https://raw.githubusercontent.com/treselle-systems/customer_churn_analysis/master/WA_Fn-UseC_-Telco-Customer-Churn.csv",</w:t>
              <w:br/>
              <w:t xml:space="preserve">                destfile = data_file, mode = "wb")</w:t>
              <w:br/>
              <w:t>}</w:t>
              <w:br/>
              <w:br/>
              <w:t>churn_df &lt;- read.csv(data_file, stringsAsFactors = FALSE)</w:t>
              <w:br/>
              <w:br/>
              <w:t># Clean TotalCharges missing values (11 records with tenure = 0)</w:t>
              <w:br/>
              <w:t>churn_df$TotalCharges &lt;- as.numeric(trimws(churn_df$TotalCharges))</w:t>
              <w:br/>
              <w:t>churn_df$TotalCharges[is.na(churn_df$TotalCharges)] &lt;- 0</w:t>
              <w:br/>
              <w:br/>
              <w:t># Harmonize categorical service features</w:t>
              <w:br/>
              <w:t xml:space="preserve">service_cols &lt;- c("MultipleLines", "OnlineSecurity", "OnlineBackup", "DeviceProtection", </w:t>
              <w:br/>
              <w:t xml:space="preserve">                  "TechSupport", "StreamingTV", "StreamingMovies")</w:t>
              <w:br/>
              <w:t>for (col in service_cols) {</w:t>
              <w:br/>
              <w:t xml:space="preserve">  churn_df[[col]] &lt;- ifelse(churn_df[[col]] %in% c("No internet service", "No phone service"), "No", churn_df[[col]])</w:t>
              <w:br/>
              <w:t>}</w:t>
              <w:br/>
              <w:br/>
              <w:t># Convert binary variables and factors</w:t>
              <w:br/>
              <w:t>churn_df$SeniorCitizen &lt;- factor(churn_df$SeniorCitizen, levels = c(0, 1), labels = c("No", "Yes"))</w:t>
              <w:br/>
              <w:t>churn_df$Churn &lt;- factor(churn_df$Churn, levels = c("No", "Yes"))</w:t>
              <w:br/>
              <w:t>churn_df$Churn_num &lt;- ifelse(churn_df$Churn == "Yes", 1, 0)</w:t>
              <w:br/>
              <w:t>churn_df$Contract &lt;- factor(churn_df$Contract, levels = c("Month-to-month", "One year", "Two year"))</w:t>
              <w:br/>
              <w:br/>
              <w:t>cat(sprintf("Dataset loaded: %d observations across %d features.\n", nrow(churn_df), ncol(churn_df)))</w:t>
              <w:br/>
              <w:br/>
              <w:t># ------------------------------------------------------------------------------</w:t>
              <w:br/>
              <w:t># 3. STATISTICAL HYPOTHESIS TESTING</w:t>
              <w:br/>
              <w:t># ------------------------------------------------------------------------------</w:t>
              <w:br/>
              <w:t>cat("\n=======================================================\n")</w:t>
              <w:br/>
              <w:t>cat("&gt;&gt;&gt; SECTION 3: STATISTICAL HYPOTHESIS TESTING\n")</w:t>
              <w:br/>
              <w:t>cat("=======================================================\n")</w:t>
              <w:br/>
              <w:br/>
              <w:t># 3.1 Hypothesis 1: Monthly Charges Difference Across Churn Status</w:t>
              <w:br/>
              <w:t># H0: Mean MonthlyCharges is identical between Churned and Retained customers.</w:t>
              <w:br/>
              <w:t># H1: Churned customers incur significantly higher mean MonthlyCharges.</w:t>
              <w:br/>
              <w:t>cat("\n--- Hypothesis 1: Two-Sample Welch's t-test on MonthlyCharges ---\n")</w:t>
              <w:br/>
              <w:t>t_test_mc &lt;- t.test(MonthlyCharges ~ Churn, data = churn_df, alternative = "two.sided", var.equal = FALSE)</w:t>
              <w:br/>
              <w:t>print(t_test_mc)</w:t>
              <w:br/>
              <w:br/>
              <w:t># Non-parametric robustness test: Mann-Whitney U test (Wilcoxon rank-sum)</w:t>
              <w:br/>
              <w:t>wilcox_mc &lt;- wilcox.test(Mont</w:t>
              <w:br/>
              <w:br/>
              <w:t># ... [Script continues with full evaluation and diagnostics in task3_statistical_modeling.R] ...</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