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888888"/>
          <w:sz w:val="24"/>
        </w:rPr>
        <w:t>YUVA INTERN — VIRTUAL INTERNSHIP PROGRAM</w:t>
        <w:br/>
      </w:r>
      <w:r>
        <w:rPr>
          <w:rFonts w:ascii="Calibri" w:hAnsi="Calibri"/>
          <w:b/>
          <w:color w:val="1F4E79"/>
          <w:sz w:val="44"/>
        </w:rPr>
        <w:t>Task 2: Data Visualization and Insight Communication using R</w:t>
        <w:br/>
      </w:r>
      <w:r>
        <w:rPr>
          <w:rFonts w:ascii="Calibri" w:hAnsi="Calibri"/>
          <w:color w:val="555555"/>
          <w:sz w:val="25"/>
        </w:rPr>
        <w:t>Technical Documentation on Advanced Visual Analytics, Chart Architecture Design, Multi-Tier Storytelling, and Executive Decision Communication with ggplot2</w:t>
      </w:r>
    </w:p>
    <w:tbl>
      <w:tblPr>
        <w:tblW w:type="auto" w:w="0"/>
        <w:jc w:val="center"/>
        <w:tblLook w:firstColumn="1" w:firstRow="1" w:lastColumn="0" w:lastRow="0" w:noHBand="0" w:noVBand="1" w:val="04A0"/>
      </w:tblPr>
      <w:tblGrid>
        <w:gridCol w:w="4680"/>
        <w:gridCol w:w="4680"/>
      </w:tblGrid>
      <w:tr>
        <w:tc>
          <w:tcPr>
            <w:tcW w:type="dxa" w:w="2880"/>
            <w:shd w:val="clear" w:color="auto" w:fill="1F4E79"/>
            <w:tcMar>
              <w:top w:w="120" w:type="dxa"/>
              <w:bottom w:w="120" w:type="dxa"/>
              <w:left w:w="120" w:type="dxa"/>
              <w:right w:w="120" w:type="dxa"/>
            </w:tcMar>
          </w:tcPr>
          <w:p>
            <w:pPr>
              <w:jc w:val="left"/>
            </w:pPr>
            <w:r>
              <w:rPr>
                <w:rFonts w:ascii="Calibri" w:hAnsi="Calibri"/>
                <w:b/>
                <w:color w:val="FFFFFF"/>
                <w:sz w:val="20"/>
              </w:rPr>
              <w:t>Attribute</w:t>
            </w:r>
          </w:p>
        </w:tc>
        <w:tc>
          <w:tcPr>
            <w:tcW w:type="dxa" w:w="6480"/>
            <w:shd w:val="clear" w:color="auto" w:fill="1F4E79"/>
            <w:tcMar>
              <w:top w:w="120" w:type="dxa"/>
              <w:bottom w:w="120" w:type="dxa"/>
              <w:left w:w="120" w:type="dxa"/>
              <w:right w:w="120" w:type="dxa"/>
            </w:tcMar>
          </w:tcPr>
          <w:p>
            <w:pPr>
              <w:jc w:val="left"/>
            </w:pPr>
            <w:r>
              <w:rPr>
                <w:rFonts w:ascii="Calibri" w:hAnsi="Calibri"/>
                <w:b/>
                <w:color w:val="FFFFFF"/>
                <w:sz w:val="20"/>
              </w:rPr>
              <w:t>Internship Project Specification</w:t>
            </w:r>
          </w:p>
        </w:tc>
      </w:tr>
      <w:tr>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Internship Track</w:t>
            </w:r>
          </w:p>
        </w:tc>
        <w:tc>
          <w:tcPr>
            <w:tcW w:type="dxa" w:w="6480"/>
            <w:shd w:val="clear" w:color="auto" w:fill="FFFFFF"/>
            <w:tcMar>
              <w:top w:w="80" w:type="dxa"/>
              <w:bottom w:w="80" w:type="dxa"/>
              <w:left w:w="100" w:type="dxa"/>
              <w:right w:w="100" w:type="dxa"/>
            </w:tcMar>
          </w:tcPr>
          <w:p>
            <w:pPr>
              <w:jc w:val="left"/>
            </w:pPr>
            <w:r>
              <w:rPr>
                <w:rFonts w:ascii="Calibri" w:hAnsi="Calibri"/>
                <w:color w:val="262626"/>
                <w:sz w:val="19"/>
              </w:rPr>
              <w:t>Virtual R Data Analyst Intern</w:t>
            </w:r>
          </w:p>
        </w:tc>
      </w:tr>
      <w:tr>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Host Organization</w:t>
            </w:r>
          </w:p>
        </w:tc>
        <w:tc>
          <w:tcPr>
            <w:tcW w:type="dxa" w:w="6480"/>
            <w:shd w:val="clear" w:color="auto" w:fill="F7F9FC"/>
            <w:tcMar>
              <w:top w:w="80" w:type="dxa"/>
              <w:bottom w:w="80" w:type="dxa"/>
              <w:left w:w="100" w:type="dxa"/>
              <w:right w:w="100" w:type="dxa"/>
            </w:tcMar>
          </w:tcPr>
          <w:p>
            <w:pPr>
              <w:jc w:val="left"/>
            </w:pPr>
            <w:r>
              <w:rPr>
                <w:rFonts w:ascii="Calibri" w:hAnsi="Calibri"/>
                <w:color w:val="262626"/>
                <w:sz w:val="19"/>
              </w:rPr>
              <w:t>Yuva Intern (Skill Development &amp; Virtual Internship Program)</w:t>
            </w:r>
          </w:p>
        </w:tc>
      </w:tr>
      <w:tr>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Candidate</w:t>
            </w:r>
          </w:p>
        </w:tc>
        <w:tc>
          <w:tcPr>
            <w:tcW w:type="dxa" w:w="6480"/>
            <w:shd w:val="clear" w:color="auto" w:fill="FFFFFF"/>
            <w:tcMar>
              <w:top w:w="80" w:type="dxa"/>
              <w:bottom w:w="80" w:type="dxa"/>
              <w:left w:w="100" w:type="dxa"/>
              <w:right w:w="100" w:type="dxa"/>
            </w:tcMar>
          </w:tcPr>
          <w:p>
            <w:pPr>
              <w:jc w:val="left"/>
            </w:pPr>
            <w:r>
              <w:rPr>
                <w:rFonts w:ascii="Calibri" w:hAnsi="Calibri"/>
                <w:color w:val="262626"/>
                <w:sz w:val="19"/>
              </w:rPr>
              <w:t>Data Analyst Intern</w:t>
            </w:r>
          </w:p>
        </w:tc>
      </w:tr>
      <w:tr>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Submission Scope</w:t>
            </w:r>
          </w:p>
        </w:tc>
        <w:tc>
          <w:tcPr>
            <w:tcW w:type="dxa" w:w="6480"/>
            <w:shd w:val="clear" w:color="auto" w:fill="F7F9FC"/>
            <w:tcMar>
              <w:top w:w="80" w:type="dxa"/>
              <w:bottom w:w="80" w:type="dxa"/>
              <w:left w:w="100" w:type="dxa"/>
              <w:right w:w="100" w:type="dxa"/>
            </w:tcMar>
          </w:tcPr>
          <w:p>
            <w:pPr>
              <w:jc w:val="left"/>
            </w:pPr>
            <w:r>
              <w:rPr>
                <w:rFonts w:ascii="Calibri" w:hAnsi="Calibri"/>
                <w:color w:val="262626"/>
                <w:sz w:val="19"/>
              </w:rPr>
              <w:t>Task 2: Dynamic Visualizations, Insight Communication, Multi-Tier Charting</w:t>
            </w:r>
          </w:p>
        </w:tc>
      </w:tr>
      <w:tr>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Estimated Effort</w:t>
            </w:r>
          </w:p>
        </w:tc>
        <w:tc>
          <w:tcPr>
            <w:tcW w:type="dxa" w:w="6480"/>
            <w:shd w:val="clear" w:color="auto" w:fill="FFFFFF"/>
            <w:tcMar>
              <w:top w:w="80" w:type="dxa"/>
              <w:bottom w:w="80" w:type="dxa"/>
              <w:left w:w="100" w:type="dxa"/>
              <w:right w:w="100" w:type="dxa"/>
            </w:tcMar>
          </w:tcPr>
          <w:p>
            <w:pPr>
              <w:jc w:val="left"/>
            </w:pPr>
            <w:r>
              <w:rPr>
                <w:rFonts w:ascii="Calibri" w:hAnsi="Calibri"/>
                <w:color w:val="262626"/>
                <w:sz w:val="19"/>
              </w:rPr>
              <w:t>30 – 35 Hours of Dedicated Visual Engineering &amp; Analytical Synthesis</w:t>
            </w:r>
          </w:p>
        </w:tc>
      </w:tr>
      <w:tr>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Visualization Framework</w:t>
            </w:r>
          </w:p>
        </w:tc>
        <w:tc>
          <w:tcPr>
            <w:tcW w:type="dxa" w:w="6480"/>
            <w:shd w:val="clear" w:color="auto" w:fill="F7F9FC"/>
            <w:tcMar>
              <w:top w:w="80" w:type="dxa"/>
              <w:bottom w:w="80" w:type="dxa"/>
              <w:left w:w="100" w:type="dxa"/>
              <w:right w:w="100" w:type="dxa"/>
            </w:tcMar>
          </w:tcPr>
          <w:p>
            <w:pPr>
              <w:jc w:val="left"/>
            </w:pPr>
            <w:r>
              <w:rPr>
                <w:rFonts w:ascii="Calibri" w:hAnsi="Calibri"/>
                <w:color w:val="262626"/>
                <w:sz w:val="19"/>
              </w:rPr>
              <w:t>R (v4.3+), ggplot2, scales, gridExtra, viridis, custom corporate theming</w:t>
            </w:r>
          </w:p>
        </w:tc>
      </w:tr>
      <w:tr>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Report Submission Format</w:t>
            </w:r>
          </w:p>
        </w:tc>
        <w:tc>
          <w:tcPr>
            <w:tcW w:type="dxa" w:w="6480"/>
            <w:shd w:val="clear" w:color="auto" w:fill="FFFFFF"/>
            <w:tcMar>
              <w:top w:w="80" w:type="dxa"/>
              <w:bottom w:w="80" w:type="dxa"/>
              <w:left w:w="100" w:type="dxa"/>
              <w:right w:w="100" w:type="dxa"/>
            </w:tcMar>
          </w:tcPr>
          <w:p>
            <w:pPr>
              <w:jc w:val="left"/>
            </w:pPr>
            <w:r>
              <w:rPr>
                <w:rFonts w:ascii="Calibri" w:hAnsi="Calibri"/>
                <w:color w:val="262626"/>
                <w:sz w:val="19"/>
              </w:rPr>
              <w:t>Microsoft Word (.docx) — Narrative Technical Report</w:t>
            </w:r>
          </w:p>
        </w:tc>
      </w:tr>
      <w:tr>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Date of Submission</w:t>
            </w:r>
          </w:p>
        </w:tc>
        <w:tc>
          <w:tcPr>
            <w:tcW w:type="dxa" w:w="6480"/>
            <w:shd w:val="clear" w:color="auto" w:fill="F7F9FC"/>
            <w:tcMar>
              <w:top w:w="80" w:type="dxa"/>
              <w:bottom w:w="80" w:type="dxa"/>
              <w:left w:w="100" w:type="dxa"/>
              <w:right w:w="100" w:type="dxa"/>
            </w:tcMar>
          </w:tcPr>
          <w:p>
            <w:pPr>
              <w:jc w:val="left"/>
            </w:pPr>
            <w:r>
              <w:rPr>
                <w:rFonts w:ascii="Calibri" w:hAnsi="Calibri"/>
                <w:color w:val="262626"/>
                <w:sz w:val="19"/>
              </w:rPr>
              <w:t>October 2026</w:t>
            </w:r>
          </w:p>
        </w:tc>
      </w:tr>
    </w:tbl>
    <w:p>
      <w:pPr>
        <w:spacing w:after="120"/>
      </w:pPr>
    </w:p>
    <w:p>
      <w:r>
        <w:br w:type="page"/>
      </w:r>
    </w:p>
    <w:p>
      <w:pPr>
        <w:keepNext/>
        <w:spacing w:before="360" w:after="120"/>
      </w:pPr>
      <w:r>
        <w:rPr>
          <w:rFonts w:ascii="Calibri" w:hAnsi="Calibri"/>
          <w:b/>
          <w:color w:val="1F4E79"/>
          <w:sz w:val="32"/>
        </w:rPr>
        <w:t>1. Executive Overview &amp; Data Visualization Strategy</w:t>
      </w:r>
    </w:p>
    <w:p>
      <w:pPr>
        <w:spacing w:before="0" w:after="120" w:line="276" w:lineRule="auto"/>
      </w:pPr>
      <w:r>
        <w:rPr>
          <w:rFonts w:ascii="Calibri" w:hAnsi="Calibri"/>
          <w:color w:val="262626"/>
          <w:sz w:val="22"/>
        </w:rPr>
        <w:t>Effective data communication is a core competency for modern data analysts. While exploratory analysis generates foundational numbers and correlation tables, raw statistics rarely compel organizational change on their own. Technical leaders and executive stakeholders need visual artifacts that convey complex multivariate relationships clearly, highlight operational hazard points, and make the next steps evident.</w:t>
      </w:r>
    </w:p>
    <w:p>
      <w:pPr>
        <w:spacing w:before="0" w:after="120" w:line="276" w:lineRule="auto"/>
      </w:pPr>
      <w:r>
        <w:rPr>
          <w:rFonts w:ascii="Calibri" w:hAnsi="Calibri"/>
          <w:color w:val="262626"/>
          <w:sz w:val="22"/>
        </w:rPr>
        <w:t>During Week 2 of my Virtual R Data Analyst Internship with Yuva Intern, I continued analyzing the IBM Telco Customer Churn dataset (7,043 observations across 21 variables), building directly on the clean data foundation established in Week 1. Over approximately 33 hours of iterative design, R coding, and insight synthesis, I transitioned from basic exploratory plotting to developing seven publication-grade visual communication architectures using R's ggplot2 grammar of graphics.</w:t>
      </w:r>
    </w:p>
    <w:p>
      <w:pPr>
        <w:spacing w:before="0" w:after="120" w:line="276" w:lineRule="auto"/>
      </w:pPr>
      <w:r>
        <w:rPr>
          <w:rFonts w:ascii="Calibri" w:hAnsi="Calibri"/>
          <w:color w:val="262626"/>
          <w:sz w:val="22"/>
        </w:rPr>
        <w:t>Core Visualization Design Principles Applied:</w:t>
      </w:r>
    </w:p>
    <w:p>
      <w:pPr>
        <w:spacing w:before="40" w:after="60"/>
        <w:ind w:left="360"/>
      </w:pPr>
      <w:r>
        <w:rPr>
          <w:b/>
          <w:color w:val="1F4E79"/>
        </w:rPr>
        <w:t xml:space="preserve">• Cognitive Simplicity &amp; Decluttering: </w:t>
      </w:r>
      <w:r>
        <w:t>Eliminated redundant chart junk, heavy background grids, and distracting saturated fills in favor of a custom corporate theme with soft contrast, clear typography, and generous whitespace.</w:t>
      </w:r>
    </w:p>
    <w:p>
      <w:pPr>
        <w:spacing w:before="40" w:after="60"/>
        <w:ind w:left="360"/>
      </w:pPr>
      <w:r>
        <w:rPr>
          <w:b/>
          <w:color w:val="1F4E79"/>
        </w:rPr>
        <w:t xml:space="preserve">• Multi-Layered Visual Encodings: </w:t>
      </w:r>
      <w:r>
        <w:t>Leveraged position, color hue, length, facets, and alpha transparency to simultaneously encode up to 4 dimensions (e.g. tenure, monthly charges, contract type, and churn status) without visual confusion.</w:t>
      </w:r>
    </w:p>
    <w:p>
      <w:pPr>
        <w:spacing w:before="40" w:after="60"/>
        <w:ind w:left="360"/>
      </w:pPr>
      <w:r>
        <w:rPr>
          <w:b/>
          <w:color w:val="1F4E79"/>
        </w:rPr>
        <w:t xml:space="preserve">• Direct Contextual Benchmarking: </w:t>
      </w:r>
      <w:r>
        <w:t>Anchored individual customer cohorts against the overall portfolio churn baseline (26.54%), making variance immediately obvious to non-technical readers.</w:t>
      </w:r>
    </w:p>
    <w:p>
      <w:pPr>
        <w:spacing w:before="40" w:after="60"/>
        <w:ind w:left="360"/>
      </w:pPr>
      <w:r>
        <w:rPr>
          <w:b/>
          <w:color w:val="1F4E79"/>
        </w:rPr>
        <w:t xml:space="preserve">• Action-Oriented Visual Narratives: </w:t>
      </w:r>
      <w:r>
        <w:t>Annotated each visual artifact with bold key takeaways, designated risk hazard zones, and quantifiable deltas to guide decision-makers directly toward operational intervention points.</w:t>
      </w:r>
    </w:p>
    <w:tbl>
      <w:tblPr>
        <w:tblW w:type="auto" w:w="0"/>
        <w:jc w:val="center"/>
        <w:tblLook w:firstColumn="1" w:firstRow="1" w:lastColumn="0" w:lastRow="0" w:noHBand="0" w:noVBand="1" w:val="04A0"/>
      </w:tblPr>
      <w:tblGrid>
        <w:gridCol w:w="9360"/>
      </w:tblGrid>
      <w:tr>
        <w:tc>
          <w:tcPr>
            <w:tcW w:type="dxa" w:w="9360"/>
            <w:shd w:val="clear" w:color="auto" w:fill="F2F5F9"/>
            <w:tcMar>
              <w:top w:w="140" w:type="dxa"/>
              <w:bottom w:w="140" w:type="dxa"/>
              <w:left w:w="200" w:type="dxa"/>
              <w:right w:w="200" w:type="dxa"/>
            </w:tcMar>
            <w:tcBorders>
              <w:left w:val="single" w:sz="24" w:space="0" w:color="1F4E79"/>
              <w:top w:val="none"/>
              <w:bottom w:val="none"/>
              <w:right w:val="none"/>
            </w:tcBorders>
          </w:tcPr>
          <w:p>
            <w:pPr>
              <w:spacing w:before="40" w:after="40"/>
            </w:pPr>
            <w:r>
              <w:rPr>
                <w:rFonts w:ascii="Calibri" w:hAnsi="Calibri"/>
                <w:b/>
                <w:color w:val="1F4E79"/>
                <w:sz w:val="20"/>
              </w:rPr>
              <w:t xml:space="preserve">[ANALYTICAL OBJECTIVE] </w:t>
            </w:r>
            <w:r>
              <w:rPr>
                <w:rFonts w:ascii="Calibri" w:hAnsi="Calibri"/>
                <w:i/>
                <w:color w:val="333333"/>
                <w:sz w:val="20"/>
              </w:rPr>
              <w:t>Every chart in this report was specifically chosen to address an executive business question: 'When do customers leave?', 'Which pricing tiers create friction?', 'How do contract terms moderate risk?', and 'What is the relative impact of each operational factor?'.</w:t>
            </w:r>
          </w:p>
        </w:tc>
      </w:tr>
    </w:tbl>
    <w:p>
      <w:pPr>
        <w:spacing w:after="80"/>
      </w:pPr>
    </w:p>
    <w:p>
      <w:pPr>
        <w:keepNext/>
        <w:spacing w:before="360" w:after="120"/>
      </w:pPr>
      <w:r>
        <w:rPr>
          <w:rFonts w:ascii="Calibri" w:hAnsi="Calibri"/>
          <w:b/>
          <w:color w:val="1F4E79"/>
          <w:sz w:val="32"/>
        </w:rPr>
        <w:t>2. Dataset Summary &amp; Key Attributes Audit</w:t>
      </w:r>
    </w:p>
    <w:p>
      <w:pPr>
        <w:spacing w:before="0" w:after="120" w:line="276" w:lineRule="auto"/>
      </w:pPr>
      <w:r>
        <w:rPr>
          <w:rFonts w:ascii="Calibri" w:hAnsi="Calibri"/>
          <w:color w:val="262626"/>
          <w:sz w:val="22"/>
        </w:rPr>
        <w:t>To maintain analytical continuity, this task utilizes the cleaned customer portfolio dataset. The dataset tracks 7,043 customer accounts across four primary functional domains: Demographics, Account Tenancy, Service Portfolio, and Financial Billing.</w:t>
      </w:r>
    </w:p>
    <w:tbl>
      <w:tblPr>
        <w:tblW w:type="auto" w:w="0"/>
        <w:jc w:val="center"/>
        <w:tblLook w:firstColumn="1" w:firstRow="1" w:lastColumn="0" w:lastRow="0" w:noHBand="0" w:noVBand="1" w:val="04A0"/>
      </w:tblPr>
      <w:tblGrid>
        <w:gridCol w:w="2340"/>
        <w:gridCol w:w="2340"/>
        <w:gridCol w:w="2340"/>
        <w:gridCol w:w="2340"/>
      </w:tblGrid>
      <w:tr>
        <w:tc>
          <w:tcPr>
            <w:tcW w:type="dxa" w:w="2016"/>
            <w:shd w:val="clear" w:color="auto" w:fill="1F4E79"/>
            <w:tcMar>
              <w:top w:w="120" w:type="dxa"/>
              <w:bottom w:w="120" w:type="dxa"/>
              <w:left w:w="120" w:type="dxa"/>
              <w:right w:w="120" w:type="dxa"/>
            </w:tcMar>
          </w:tcPr>
          <w:p>
            <w:pPr>
              <w:jc w:val="left"/>
            </w:pPr>
            <w:r>
              <w:rPr>
                <w:rFonts w:ascii="Calibri" w:hAnsi="Calibri"/>
                <w:b/>
                <w:color w:val="FFFFFF"/>
                <w:sz w:val="20"/>
              </w:rPr>
              <w:t>Domain Category</w:t>
            </w:r>
          </w:p>
        </w:tc>
        <w:tc>
          <w:tcPr>
            <w:tcW w:type="dxa" w:w="2880"/>
            <w:shd w:val="clear" w:color="auto" w:fill="1F4E79"/>
            <w:tcMar>
              <w:top w:w="120" w:type="dxa"/>
              <w:bottom w:w="120" w:type="dxa"/>
              <w:left w:w="120" w:type="dxa"/>
              <w:right w:w="120" w:type="dxa"/>
            </w:tcMar>
          </w:tcPr>
          <w:p>
            <w:pPr>
              <w:jc w:val="left"/>
            </w:pPr>
            <w:r>
              <w:rPr>
                <w:rFonts w:ascii="Calibri" w:hAnsi="Calibri"/>
                <w:b/>
                <w:color w:val="FFFFFF"/>
                <w:sz w:val="20"/>
              </w:rPr>
              <w:t>Key Variables Analyzed</w:t>
            </w:r>
          </w:p>
        </w:tc>
        <w:tc>
          <w:tcPr>
            <w:tcW w:type="dxa" w:w="2592"/>
            <w:shd w:val="clear" w:color="auto" w:fill="1F4E79"/>
            <w:tcMar>
              <w:top w:w="120" w:type="dxa"/>
              <w:bottom w:w="120" w:type="dxa"/>
              <w:left w:w="120" w:type="dxa"/>
              <w:right w:w="120" w:type="dxa"/>
            </w:tcMar>
          </w:tcPr>
          <w:p>
            <w:pPr>
              <w:jc w:val="left"/>
            </w:pPr>
            <w:r>
              <w:rPr>
                <w:rFonts w:ascii="Calibri" w:hAnsi="Calibri"/>
                <w:b/>
                <w:color w:val="FFFFFF"/>
                <w:sz w:val="20"/>
              </w:rPr>
              <w:t>Analytical Role in Visualization</w:t>
            </w:r>
          </w:p>
        </w:tc>
        <w:tc>
          <w:tcPr>
            <w:tcW w:type="dxa" w:w="2592"/>
            <w:shd w:val="clear" w:color="auto" w:fill="1F4E79"/>
            <w:tcMar>
              <w:top w:w="120" w:type="dxa"/>
              <w:bottom w:w="120" w:type="dxa"/>
              <w:left w:w="120" w:type="dxa"/>
              <w:right w:w="120" w:type="dxa"/>
            </w:tcMar>
          </w:tcPr>
          <w:p>
            <w:pPr>
              <w:jc w:val="left"/>
            </w:pPr>
            <w:r>
              <w:rPr>
                <w:rFonts w:ascii="Calibri" w:hAnsi="Calibri"/>
                <w:b/>
                <w:color w:val="FFFFFF"/>
                <w:sz w:val="20"/>
              </w:rPr>
              <w:t>Operational Scope</w:t>
            </w:r>
          </w:p>
        </w:tc>
      </w:tr>
      <w:tr>
        <w:tc>
          <w:tcPr>
            <w:tcW w:type="dxa" w:w="2016"/>
            <w:shd w:val="clear" w:color="auto" w:fill="FFFFFF"/>
            <w:tcMar>
              <w:top w:w="80" w:type="dxa"/>
              <w:bottom w:w="80" w:type="dxa"/>
              <w:left w:w="100" w:type="dxa"/>
              <w:right w:w="100" w:type="dxa"/>
            </w:tcMar>
          </w:tcPr>
          <w:p>
            <w:pPr>
              <w:jc w:val="left"/>
            </w:pPr>
            <w:r>
              <w:rPr>
                <w:rFonts w:ascii="Calibri" w:hAnsi="Calibri"/>
                <w:color w:val="262626"/>
                <w:sz w:val="19"/>
              </w:rPr>
              <w:t>Account Tenancy</w:t>
            </w:r>
          </w:p>
        </w:tc>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tenure (0 to 72 months)</w:t>
            </w:r>
          </w:p>
        </w:tc>
        <w:tc>
          <w:tcPr>
            <w:tcW w:type="dxa" w:w="2592"/>
            <w:shd w:val="clear" w:color="auto" w:fill="FFFFFF"/>
            <w:tcMar>
              <w:top w:w="80" w:type="dxa"/>
              <w:bottom w:w="80" w:type="dxa"/>
              <w:left w:w="100" w:type="dxa"/>
              <w:right w:w="100" w:type="dxa"/>
            </w:tcMar>
          </w:tcPr>
          <w:p>
            <w:pPr>
              <w:jc w:val="left"/>
            </w:pPr>
            <w:r>
              <w:rPr>
                <w:rFonts w:ascii="Calibri" w:hAnsi="Calibri"/>
                <w:color w:val="262626"/>
                <w:sz w:val="19"/>
              </w:rPr>
              <w:t>Continuous time variable for customer lifecycle tracking</w:t>
            </w:r>
          </w:p>
        </w:tc>
        <w:tc>
          <w:tcPr>
            <w:tcW w:type="dxa" w:w="2592"/>
            <w:shd w:val="clear" w:color="auto" w:fill="FFFFFF"/>
            <w:tcMar>
              <w:top w:w="80" w:type="dxa"/>
              <w:bottom w:w="80" w:type="dxa"/>
              <w:left w:w="100" w:type="dxa"/>
              <w:right w:w="100" w:type="dxa"/>
            </w:tcMar>
          </w:tcPr>
          <w:p>
            <w:pPr>
              <w:jc w:val="left"/>
            </w:pPr>
            <w:r>
              <w:rPr>
                <w:rFonts w:ascii="Calibri" w:hAnsi="Calibri"/>
                <w:color w:val="262626"/>
                <w:sz w:val="19"/>
              </w:rPr>
              <w:t>Represents account longevity and loyalty accumulation.</w:t>
            </w:r>
          </w:p>
        </w:tc>
      </w:tr>
      <w:tr>
        <w:tc>
          <w:tcPr>
            <w:tcW w:type="dxa" w:w="2016"/>
            <w:shd w:val="clear" w:color="auto" w:fill="F7F9FC"/>
            <w:tcMar>
              <w:top w:w="80" w:type="dxa"/>
              <w:bottom w:w="80" w:type="dxa"/>
              <w:left w:w="100" w:type="dxa"/>
              <w:right w:w="100" w:type="dxa"/>
            </w:tcMar>
          </w:tcPr>
          <w:p>
            <w:pPr>
              <w:jc w:val="left"/>
            </w:pPr>
            <w:r>
              <w:rPr>
                <w:rFonts w:ascii="Calibri" w:hAnsi="Calibri"/>
                <w:color w:val="262626"/>
                <w:sz w:val="19"/>
              </w:rPr>
              <w:t>Financial Billing</w:t>
            </w:r>
          </w:p>
        </w:tc>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MonthlyCharges ($18.25 - $118.75), TotalCharges ($0 - $8,684.80)</w:t>
            </w:r>
          </w:p>
        </w:tc>
        <w:tc>
          <w:tcPr>
            <w:tcW w:type="dxa" w:w="2592"/>
            <w:shd w:val="clear" w:color="auto" w:fill="F7F9FC"/>
            <w:tcMar>
              <w:top w:w="80" w:type="dxa"/>
              <w:bottom w:w="80" w:type="dxa"/>
              <w:left w:w="100" w:type="dxa"/>
              <w:right w:w="100" w:type="dxa"/>
            </w:tcMar>
          </w:tcPr>
          <w:p>
            <w:pPr>
              <w:jc w:val="left"/>
            </w:pPr>
            <w:r>
              <w:rPr>
                <w:rFonts w:ascii="Calibri" w:hAnsi="Calibri"/>
                <w:color w:val="262626"/>
                <w:sz w:val="19"/>
              </w:rPr>
              <w:t>Bivariate revenue dimensions and price sensitivity audits</w:t>
            </w:r>
          </w:p>
        </w:tc>
        <w:tc>
          <w:tcPr>
            <w:tcW w:type="dxa" w:w="2592"/>
            <w:shd w:val="clear" w:color="auto" w:fill="F7F9FC"/>
            <w:tcMar>
              <w:top w:w="80" w:type="dxa"/>
              <w:bottom w:w="80" w:type="dxa"/>
              <w:left w:w="100" w:type="dxa"/>
              <w:right w:w="100" w:type="dxa"/>
            </w:tcMar>
          </w:tcPr>
          <w:p>
            <w:pPr>
              <w:jc w:val="left"/>
            </w:pPr>
            <w:r>
              <w:rPr>
                <w:rFonts w:ascii="Calibri" w:hAnsi="Calibri"/>
                <w:color w:val="262626"/>
                <w:sz w:val="19"/>
              </w:rPr>
              <w:t>Captures regular monthly billing friction and cumulative lifetime customer value.</w:t>
            </w:r>
          </w:p>
        </w:tc>
      </w:tr>
      <w:tr>
        <w:tc>
          <w:tcPr>
            <w:tcW w:type="dxa" w:w="2016"/>
            <w:shd w:val="clear" w:color="auto" w:fill="FFFFFF"/>
            <w:tcMar>
              <w:top w:w="80" w:type="dxa"/>
              <w:bottom w:w="80" w:type="dxa"/>
              <w:left w:w="100" w:type="dxa"/>
              <w:right w:w="100" w:type="dxa"/>
            </w:tcMar>
          </w:tcPr>
          <w:p>
            <w:pPr>
              <w:jc w:val="left"/>
            </w:pPr>
            <w:r>
              <w:rPr>
                <w:rFonts w:ascii="Calibri" w:hAnsi="Calibri"/>
                <w:color w:val="262626"/>
                <w:sz w:val="19"/>
              </w:rPr>
              <w:t>Contractual Terms</w:t>
            </w:r>
          </w:p>
        </w:tc>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Contract (Month-to-month, 1-Year, 2-Year), PaperlessBilling</w:t>
            </w:r>
          </w:p>
        </w:tc>
        <w:tc>
          <w:tcPr>
            <w:tcW w:type="dxa" w:w="2592"/>
            <w:shd w:val="clear" w:color="auto" w:fill="FFFFFF"/>
            <w:tcMar>
              <w:top w:w="80" w:type="dxa"/>
              <w:bottom w:w="80" w:type="dxa"/>
              <w:left w:w="100" w:type="dxa"/>
              <w:right w:w="100" w:type="dxa"/>
            </w:tcMar>
          </w:tcPr>
          <w:p>
            <w:pPr>
              <w:jc w:val="left"/>
            </w:pPr>
            <w:r>
              <w:rPr>
                <w:rFonts w:ascii="Calibri" w:hAnsi="Calibri"/>
                <w:color w:val="262626"/>
                <w:sz w:val="19"/>
              </w:rPr>
              <w:t>Primary moderating factors and risk stratification</w:t>
            </w:r>
          </w:p>
        </w:tc>
        <w:tc>
          <w:tcPr>
            <w:tcW w:type="dxa" w:w="2592"/>
            <w:shd w:val="clear" w:color="auto" w:fill="FFFFFF"/>
            <w:tcMar>
              <w:top w:w="80" w:type="dxa"/>
              <w:bottom w:w="80" w:type="dxa"/>
              <w:left w:w="100" w:type="dxa"/>
              <w:right w:w="100" w:type="dxa"/>
            </w:tcMar>
          </w:tcPr>
          <w:p>
            <w:pPr>
              <w:jc w:val="left"/>
            </w:pPr>
            <w:r>
              <w:rPr>
                <w:rFonts w:ascii="Calibri" w:hAnsi="Calibri"/>
                <w:color w:val="262626"/>
                <w:sz w:val="19"/>
              </w:rPr>
              <w:t>Establishes customer commitment duration and switching barriers.</w:t>
            </w:r>
          </w:p>
        </w:tc>
      </w:tr>
      <w:tr>
        <w:tc>
          <w:tcPr>
            <w:tcW w:type="dxa" w:w="2016"/>
            <w:shd w:val="clear" w:color="auto" w:fill="F7F9FC"/>
            <w:tcMar>
              <w:top w:w="80" w:type="dxa"/>
              <w:bottom w:w="80" w:type="dxa"/>
              <w:left w:w="100" w:type="dxa"/>
              <w:right w:w="100" w:type="dxa"/>
            </w:tcMar>
          </w:tcPr>
          <w:p>
            <w:pPr>
              <w:jc w:val="left"/>
            </w:pPr>
            <w:r>
              <w:rPr>
                <w:rFonts w:ascii="Calibri" w:hAnsi="Calibri"/>
                <w:color w:val="262626"/>
                <w:sz w:val="19"/>
              </w:rPr>
              <w:t>Broadband Services</w:t>
            </w:r>
          </w:p>
        </w:tc>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InternetService (DSL, Fiber optic, None), TechSupport, Security</w:t>
            </w:r>
          </w:p>
        </w:tc>
        <w:tc>
          <w:tcPr>
            <w:tcW w:type="dxa" w:w="2592"/>
            <w:shd w:val="clear" w:color="auto" w:fill="F7F9FC"/>
            <w:tcMar>
              <w:top w:w="80" w:type="dxa"/>
              <w:bottom w:w="80" w:type="dxa"/>
              <w:left w:w="100" w:type="dxa"/>
              <w:right w:w="100" w:type="dxa"/>
            </w:tcMar>
          </w:tcPr>
          <w:p>
            <w:pPr>
              <w:jc w:val="left"/>
            </w:pPr>
            <w:r>
              <w:rPr>
                <w:rFonts w:ascii="Calibri" w:hAnsi="Calibri"/>
                <w:color w:val="262626"/>
                <w:sz w:val="19"/>
              </w:rPr>
              <w:t>Product tiering and infrastructure performance drivers</w:t>
            </w:r>
          </w:p>
        </w:tc>
        <w:tc>
          <w:tcPr>
            <w:tcW w:type="dxa" w:w="2592"/>
            <w:shd w:val="clear" w:color="auto" w:fill="F7F9FC"/>
            <w:tcMar>
              <w:top w:w="80" w:type="dxa"/>
              <w:bottom w:w="80" w:type="dxa"/>
              <w:left w:w="100" w:type="dxa"/>
              <w:right w:w="100" w:type="dxa"/>
            </w:tcMar>
          </w:tcPr>
          <w:p>
            <w:pPr>
              <w:jc w:val="left"/>
            </w:pPr>
            <w:r>
              <w:rPr>
                <w:rFonts w:ascii="Calibri" w:hAnsi="Calibri"/>
                <w:color w:val="262626"/>
                <w:sz w:val="19"/>
              </w:rPr>
              <w:t>Identifies product-line satisfaction and service friction.</w:t>
            </w:r>
          </w:p>
        </w:tc>
      </w:tr>
      <w:tr>
        <w:tc>
          <w:tcPr>
            <w:tcW w:type="dxa" w:w="2016"/>
            <w:shd w:val="clear" w:color="auto" w:fill="FFFFFF"/>
            <w:tcMar>
              <w:top w:w="80" w:type="dxa"/>
              <w:bottom w:w="80" w:type="dxa"/>
              <w:left w:w="100" w:type="dxa"/>
              <w:right w:w="100" w:type="dxa"/>
            </w:tcMar>
          </w:tcPr>
          <w:p>
            <w:pPr>
              <w:jc w:val="left"/>
            </w:pPr>
            <w:r>
              <w:rPr>
                <w:rFonts w:ascii="Calibri" w:hAnsi="Calibri"/>
                <w:color w:val="262626"/>
                <w:sz w:val="19"/>
              </w:rPr>
              <w:t>Billing Medium</w:t>
            </w:r>
          </w:p>
        </w:tc>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PaymentMethod (Electronic check, Mailed check, Bank transfer, Credit card)</w:t>
            </w:r>
          </w:p>
        </w:tc>
        <w:tc>
          <w:tcPr>
            <w:tcW w:type="dxa" w:w="2592"/>
            <w:shd w:val="clear" w:color="auto" w:fill="FFFFFF"/>
            <w:tcMar>
              <w:top w:w="80" w:type="dxa"/>
              <w:bottom w:w="80" w:type="dxa"/>
              <w:left w:w="100" w:type="dxa"/>
              <w:right w:w="100" w:type="dxa"/>
            </w:tcMar>
          </w:tcPr>
          <w:p>
            <w:pPr>
              <w:jc w:val="left"/>
            </w:pPr>
            <w:r>
              <w:rPr>
                <w:rFonts w:ascii="Calibri" w:hAnsi="Calibri"/>
                <w:color w:val="262626"/>
                <w:sz w:val="19"/>
              </w:rPr>
              <w:t>Operational transaction channel and friction audit</w:t>
            </w:r>
          </w:p>
        </w:tc>
        <w:tc>
          <w:tcPr>
            <w:tcW w:type="dxa" w:w="2592"/>
            <w:shd w:val="clear" w:color="auto" w:fill="FFFFFF"/>
            <w:tcMar>
              <w:top w:w="80" w:type="dxa"/>
              <w:bottom w:w="80" w:type="dxa"/>
              <w:left w:w="100" w:type="dxa"/>
              <w:right w:w="100" w:type="dxa"/>
            </w:tcMar>
          </w:tcPr>
          <w:p>
            <w:pPr>
              <w:jc w:val="left"/>
            </w:pPr>
            <w:r>
              <w:rPr>
                <w:rFonts w:ascii="Calibri" w:hAnsi="Calibri"/>
                <w:color w:val="262626"/>
                <w:sz w:val="19"/>
              </w:rPr>
              <w:t>Evaluates cognitive effort required for monthly invoice settlement.</w:t>
            </w:r>
          </w:p>
        </w:tc>
      </w:tr>
      <w:tr>
        <w:tc>
          <w:tcPr>
            <w:tcW w:type="dxa" w:w="2016"/>
            <w:shd w:val="clear" w:color="auto" w:fill="F7F9FC"/>
            <w:tcMar>
              <w:top w:w="80" w:type="dxa"/>
              <w:bottom w:w="80" w:type="dxa"/>
              <w:left w:w="100" w:type="dxa"/>
              <w:right w:w="100" w:type="dxa"/>
            </w:tcMar>
          </w:tcPr>
          <w:p>
            <w:pPr>
              <w:jc w:val="left"/>
            </w:pPr>
            <w:r>
              <w:rPr>
                <w:rFonts w:ascii="Calibri" w:hAnsi="Calibri"/>
                <w:color w:val="262626"/>
                <w:sz w:val="19"/>
              </w:rPr>
              <w:t>Demographics</w:t>
            </w:r>
          </w:p>
        </w:tc>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SeniorCitizen (0/1), Partner (Yes/No), Dependents (Yes/No)</w:t>
            </w:r>
          </w:p>
        </w:tc>
        <w:tc>
          <w:tcPr>
            <w:tcW w:type="dxa" w:w="2592"/>
            <w:shd w:val="clear" w:color="auto" w:fill="F7F9FC"/>
            <w:tcMar>
              <w:top w:w="80" w:type="dxa"/>
              <w:bottom w:w="80" w:type="dxa"/>
              <w:left w:w="100" w:type="dxa"/>
              <w:right w:w="100" w:type="dxa"/>
            </w:tcMar>
          </w:tcPr>
          <w:p>
            <w:pPr>
              <w:jc w:val="left"/>
            </w:pPr>
            <w:r>
              <w:rPr>
                <w:rFonts w:ascii="Calibri" w:hAnsi="Calibri"/>
                <w:color w:val="262626"/>
                <w:sz w:val="19"/>
              </w:rPr>
              <w:t>Sociological segmentation and support network analysis</w:t>
            </w:r>
          </w:p>
        </w:tc>
        <w:tc>
          <w:tcPr>
            <w:tcW w:type="dxa" w:w="2592"/>
            <w:shd w:val="clear" w:color="auto" w:fill="F7F9FC"/>
            <w:tcMar>
              <w:top w:w="80" w:type="dxa"/>
              <w:bottom w:w="80" w:type="dxa"/>
              <w:left w:w="100" w:type="dxa"/>
              <w:right w:w="100" w:type="dxa"/>
            </w:tcMar>
          </w:tcPr>
          <w:p>
            <w:pPr>
              <w:jc w:val="left"/>
            </w:pPr>
            <w:r>
              <w:rPr>
                <w:rFonts w:ascii="Calibri" w:hAnsi="Calibri"/>
                <w:color w:val="262626"/>
                <w:sz w:val="19"/>
              </w:rPr>
              <w:t>Explores household stability and vulnerable subscriber segments.</w:t>
            </w:r>
          </w:p>
        </w:tc>
      </w:tr>
    </w:tbl>
    <w:p>
      <w:pPr>
        <w:spacing w:after="120"/>
      </w:pPr>
    </w:p>
    <w:p>
      <w:pPr>
        <w:keepNext/>
        <w:spacing w:before="360" w:after="120"/>
      </w:pPr>
      <w:r>
        <w:rPr>
          <w:rFonts w:ascii="Calibri" w:hAnsi="Calibri"/>
          <w:b/>
          <w:color w:val="1F4E79"/>
          <w:sz w:val="32"/>
        </w:rPr>
        <w:t>3. Comprehensive Visualization Portfolio &amp; In-Depth Interpretation</w:t>
      </w:r>
    </w:p>
    <w:p>
      <w:pPr>
        <w:keepNext/>
        <w:spacing w:before="280" w:after="80"/>
      </w:pPr>
      <w:r>
        <w:rPr>
          <w:rFonts w:ascii="Calibri" w:hAnsi="Calibri"/>
          <w:b/>
          <w:color w:val="2F5597"/>
          <w:sz w:val="26"/>
        </w:rPr>
        <w:t>3.1 Visualization 1: Customer Attrition Trajectory Across Account Tenure (Line Chart)</w:t>
      </w:r>
    </w:p>
    <w:p>
      <w:pPr>
        <w:keepNext/>
        <w:spacing w:before="200" w:after="40"/>
      </w:pPr>
      <w:r>
        <w:rPr>
          <w:rFonts w:ascii="Calibri" w:hAnsi="Calibri"/>
          <w:b/>
          <w:color w:val="333333"/>
          <w:sz w:val="23"/>
        </w:rPr>
        <w:t>Chart Type &amp; Architectural Justification:</w:t>
      </w:r>
    </w:p>
    <w:p>
      <w:pPr>
        <w:spacing w:before="0" w:after="120" w:line="276" w:lineRule="auto"/>
      </w:pPr>
      <w:r>
        <w:rPr>
          <w:rFonts w:ascii="Calibri" w:hAnsi="Calibri"/>
          <w:color w:val="262626"/>
          <w:sz w:val="22"/>
        </w:rPr>
        <w:t>A dual-layer continuous line chart combining raw monthly churn rates with a 5-month moving average trendline, an annotated portfolio baseline (26.54%), and a shaded critical hazard zone (Months 0–12). Line charts are uniquely suited for continuous temporal or lifecycle progression, enabling stakeholders to visualize the exact functional decay curve of customer attrition over time.</w:t>
      </w:r>
    </w:p>
    <w:p>
      <w:pPr>
        <w:spacing w:before="160" w:after="80"/>
        <w:jc w:val="center"/>
      </w:pPr>
      <w:r>
        <w:drawing>
          <wp:inline xmlns:a="http://schemas.openxmlformats.org/drawingml/2006/main" xmlns:pic="http://schemas.openxmlformats.org/drawingml/2006/picture">
            <wp:extent cx="5486400" cy="2926080"/>
            <wp:docPr id="1" name="Picture 1"/>
            <wp:cNvGraphicFramePr>
              <a:graphicFrameLocks noChangeAspect="1"/>
            </wp:cNvGraphicFramePr>
            <a:graphic>
              <a:graphicData uri="http://schemas.openxmlformats.org/drawingml/2006/picture">
                <pic:pic>
                  <pic:nvPicPr>
                    <pic:cNvPr id="0" name="viz1_tenure_churn_trajectory.png"/>
                    <pic:cNvPicPr/>
                  </pic:nvPicPr>
                  <pic:blipFill>
                    <a:blip r:embed="rId9"/>
                    <a:stretch>
                      <a:fillRect/>
                    </a:stretch>
                  </pic:blipFill>
                  <pic:spPr>
                    <a:xfrm>
                      <a:off x="0" y="0"/>
                      <a:ext cx="5486400" cy="2926080"/>
                    </a:xfrm>
                    <a:prstGeom prst="rect"/>
                  </pic:spPr>
                </pic:pic>
              </a:graphicData>
            </a:graphic>
          </wp:inline>
        </w:drawing>
      </w:r>
    </w:p>
    <w:p>
      <w:pPr>
        <w:spacing w:before="0" w:after="200"/>
        <w:jc w:val="center"/>
      </w:pPr>
      <w:r>
        <w:rPr>
          <w:rFonts w:ascii="Calibri" w:hAnsi="Calibri"/>
          <w:i/>
          <w:color w:val="555555"/>
          <w:sz w:val="19"/>
        </w:rPr>
        <w:t>Figure 1: Customer Attrition Trajectory Across Account Tenure (Months 0 to 72).</w:t>
      </w:r>
    </w:p>
    <w:p>
      <w:pPr>
        <w:keepNext/>
        <w:spacing w:before="200" w:after="40"/>
      </w:pPr>
      <w:r>
        <w:rPr>
          <w:rFonts w:ascii="Calibri" w:hAnsi="Calibri"/>
          <w:b/>
          <w:color w:val="333333"/>
          <w:sz w:val="23"/>
        </w:rPr>
        <w:t>Embedded R Code (ggplot2):</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Visualization 1: Continuous Lifecycle Trajectory Line Chart</w:t>
              <w:br/>
              <w:t>tenure_trajectory &lt;- churn_df %&gt;%</w:t>
              <w:br/>
              <w:t xml:space="preserve">  group_by(tenure) %&gt;%</w:t>
              <w:br/>
              <w:t xml:space="preserve">  summarise(churn_rate = mean(Churn_num) * 100) %&gt;%</w:t>
              <w:br/>
              <w:t xml:space="preserve">  mutate(churn_smooth = stats::filter(churn_rate, rep(1/5, 5), sides = 2))</w:t>
              <w:br/>
              <w:br/>
              <w:t>ggplot(tenure_trajectory, aes(x = tenure)) +</w:t>
              <w:br/>
              <w:t xml:space="preserve">  annotate('rect', xmin = 0, xmax = 12, ymin = 0, ymax = 70, fill = '#FDE8E7', alpha = 0.6) +</w:t>
              <w:br/>
              <w:t xml:space="preserve">  geom_line(aes(y = churn_rate), color = '#8DA0CB', alpha = 0.5, linewidth = 0.8) +</w:t>
              <w:br/>
              <w:t xml:space="preserve">  geom_line(aes(y = churn_smooth), color = '#E74C3C', linewidth = 1.4) +</w:t>
              <w:br/>
              <w:t xml:space="preserve">  geom_hline(yintercept = 26.54, linetype = 'dashed', color = '#2C3E50', linewidth = 0.9) +</w:t>
              <w:br/>
              <w:t xml:space="preserve">  labs(title = 'Customer Attrition Trajectory Across Account Tenure',</w:t>
              <w:br/>
              <w:t xml:space="preserve">       x = 'Account Tenure (Months Completed)', y = 'Observed Churn Rate (%)')</w:t>
            </w:r>
          </w:p>
        </w:tc>
      </w:tr>
    </w:tbl>
    <w:p>
      <w:pPr>
        <w:spacing w:before="0" w:after="80"/>
      </w:pPr>
    </w:p>
    <w:p>
      <w:pPr>
        <w:keepNext/>
        <w:spacing w:before="200" w:after="40"/>
      </w:pPr>
      <w:r>
        <w:rPr>
          <w:rFonts w:ascii="Calibri" w:hAnsi="Calibri"/>
          <w:b/>
          <w:color w:val="333333"/>
          <w:sz w:val="23"/>
        </w:rPr>
        <w:t>Analytical Interpretation &amp; Empirical Insights:</w:t>
      </w:r>
    </w:p>
    <w:p>
      <w:pPr>
        <w:spacing w:before="0" w:after="120" w:line="276" w:lineRule="auto"/>
      </w:pPr>
      <w:r>
        <w:rPr>
          <w:rFonts w:ascii="Calibri" w:hAnsi="Calibri"/>
          <w:color w:val="262626"/>
          <w:sz w:val="22"/>
        </w:rPr>
        <w:t>Figure 1 reveals an alarming 'first-year churn cliff'. In Month 1, attrition spikes past 50%, and the average churn rate across the entire first year (Months 0–12) sits at 47.68%—nearly double the portfolio average. Beyond Month 12, churn drops steeply, leveling off around 20% by Month 36, and falling below 8% after Month 60.</w:t>
      </w:r>
    </w:p>
    <w:p>
      <w:pPr>
        <w:spacing w:before="0" w:after="120" w:line="276" w:lineRule="auto"/>
      </w:pPr>
      <w:r>
        <w:rPr>
          <w:rFonts w:ascii="Calibri" w:hAnsi="Calibri"/>
          <w:color w:val="262626"/>
          <w:sz w:val="22"/>
        </w:rPr>
        <w:t>Strategic Decision: Telecommunications providers commonly focus retention efforts on tenured accounts threatening cancellation. However, this visualization demonstrates that the vast majority of customer loss happens before account maturity. Implementing automated onboarding check-ins, proactive technical assistance, and early milestone rewards during Months 1 through 3 will produce the greatest reduction in overall churn.</w:t>
      </w:r>
    </w:p>
    <w:p>
      <w:pPr>
        <w:keepNext/>
        <w:spacing w:before="280" w:after="80"/>
      </w:pPr>
      <w:r>
        <w:rPr>
          <w:rFonts w:ascii="Calibri" w:hAnsi="Calibri"/>
          <w:b/>
          <w:color w:val="2F5597"/>
          <w:sz w:val="26"/>
        </w:rPr>
        <w:t>3.2 Visualization 2: Monthly Service Pricing Structures Across Broadband Tiers (Violin-Boxplot Hybrid)</w:t>
      </w:r>
    </w:p>
    <w:p>
      <w:pPr>
        <w:keepNext/>
        <w:spacing w:before="200" w:after="40"/>
      </w:pPr>
      <w:r>
        <w:rPr>
          <w:rFonts w:ascii="Calibri" w:hAnsi="Calibri"/>
          <w:b/>
          <w:color w:val="333333"/>
          <w:sz w:val="23"/>
        </w:rPr>
        <w:t>Chart Type &amp; Architectural Justification:</w:t>
      </w:r>
    </w:p>
    <w:p>
      <w:pPr>
        <w:spacing w:before="0" w:after="120" w:line="276" w:lineRule="auto"/>
      </w:pPr>
      <w:r>
        <w:rPr>
          <w:rFonts w:ascii="Calibri" w:hAnsi="Calibri"/>
          <w:color w:val="262626"/>
          <w:sz w:val="22"/>
        </w:rPr>
        <w:t>A hybrid violin and boxplot split by retention outcome (Retained vs. Churned) across the three broadband tiers (DSL, Fiber optic, and No Internet). While traditional boxplots summarize quartiles, they conceal distribution shape and multimodality. The violin geometry displays kernel density probability across every dollar interval, while the embedded boxplot provides exact median and interquartile reference points.</w:t>
      </w:r>
    </w:p>
    <w:p>
      <w:pPr>
        <w:spacing w:before="160" w:after="80"/>
        <w:jc w:val="center"/>
      </w:pPr>
      <w:r>
        <w:drawing>
          <wp:inline xmlns:a="http://schemas.openxmlformats.org/drawingml/2006/main" xmlns:pic="http://schemas.openxmlformats.org/drawingml/2006/picture">
            <wp:extent cx="5486400" cy="2852928"/>
            <wp:docPr id="2" name="Picture 2"/>
            <wp:cNvGraphicFramePr>
              <a:graphicFrameLocks noChangeAspect="1"/>
            </wp:cNvGraphicFramePr>
            <a:graphic>
              <a:graphicData uri="http://schemas.openxmlformats.org/drawingml/2006/picture">
                <pic:pic>
                  <pic:nvPicPr>
                    <pic:cNvPr id="0" name="viz2_service_pricing_violin.png"/>
                    <pic:cNvPicPr/>
                  </pic:nvPicPr>
                  <pic:blipFill>
                    <a:blip r:embed="rId10"/>
                    <a:stretch>
                      <a:fillRect/>
                    </a:stretch>
                  </pic:blipFill>
                  <pic:spPr>
                    <a:xfrm>
                      <a:off x="0" y="0"/>
                      <a:ext cx="5486400" cy="2852928"/>
                    </a:xfrm>
                    <a:prstGeom prst="rect"/>
                  </pic:spPr>
                </pic:pic>
              </a:graphicData>
            </a:graphic>
          </wp:inline>
        </w:drawing>
      </w:r>
    </w:p>
    <w:p>
      <w:pPr>
        <w:spacing w:before="0" w:after="200"/>
        <w:jc w:val="center"/>
      </w:pPr>
      <w:r>
        <w:rPr>
          <w:rFonts w:ascii="Calibri" w:hAnsi="Calibri"/>
          <w:i/>
          <w:color w:val="555555"/>
          <w:sz w:val="19"/>
        </w:rPr>
        <w:t>Figure 2: Monthly Billing Distribution Across Broadband Tiers by Retention Outcome.</w:t>
      </w:r>
    </w:p>
    <w:p>
      <w:pPr>
        <w:keepNext/>
        <w:spacing w:before="200" w:after="40"/>
      </w:pPr>
      <w:r>
        <w:rPr>
          <w:rFonts w:ascii="Calibri" w:hAnsi="Calibri"/>
          <w:b/>
          <w:color w:val="333333"/>
          <w:sz w:val="23"/>
        </w:rPr>
        <w:t>Embedded R Code (ggplot2):</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Visualization 2: Violin-Boxplot Pricing Distribution Hybrid</w:t>
              <w:br/>
              <w:t>ggplot(churn_df, aes(x = InternetService, y = MonthlyCharges, fill = Churn)) +</w:t>
              <w:br/>
              <w:t xml:space="preserve">  geom_violin(position = position_dodge(0.8), alpha = 0.75, trim = FALSE) +</w:t>
              <w:br/>
              <w:t xml:space="preserve">  geom_boxplot(position = position_dodge(0.8), width = 0.2, color = '#262626', outlier.size = 0.8) +</w:t>
              <w:br/>
              <w:t xml:space="preserve">  scale_fill_manual(values = c('No' = '#2980B9', 'Yes' = '#E74C3C')) +</w:t>
              <w:br/>
              <w:t xml:space="preserve">  scale_y_continuous(labels = scales::dollar_format()) +</w:t>
              <w:br/>
              <w:t xml:space="preserve">  labs(title = 'Monthly Billing Distribution Across Broadband Tiers by Retention Outcome',</w:t>
              <w:br/>
              <w:t xml:space="preserve">       x = 'Broadband Service Tier', y = 'Monthly Recurring Charge ($)')</w:t>
            </w:r>
          </w:p>
        </w:tc>
      </w:tr>
    </w:tbl>
    <w:p>
      <w:pPr>
        <w:spacing w:before="0" w:after="80"/>
      </w:pPr>
    </w:p>
    <w:p>
      <w:pPr>
        <w:keepNext/>
        <w:spacing w:before="200" w:after="40"/>
      </w:pPr>
      <w:r>
        <w:rPr>
          <w:rFonts w:ascii="Calibri" w:hAnsi="Calibri"/>
          <w:b/>
          <w:color w:val="333333"/>
          <w:sz w:val="23"/>
        </w:rPr>
        <w:t>Analytical Interpretation &amp; Empirical Insights:</w:t>
      </w:r>
    </w:p>
    <w:p>
      <w:pPr>
        <w:spacing w:before="0" w:after="120" w:line="276" w:lineRule="auto"/>
      </w:pPr>
      <w:r>
        <w:rPr>
          <w:rFonts w:ascii="Calibri" w:hAnsi="Calibri"/>
          <w:color w:val="262626"/>
          <w:sz w:val="22"/>
        </w:rPr>
        <w:t>The visualization highlights a stark pricing divide across internet tiers. Customers without internet pay a flat rate centered at $20.10/month with virtually zero churn. DSL subscribers exhibit a wide price spread ($25 to $90/month) with modest median pricing ($56.50 for retained vs $64.10 for churned).</w:t>
      </w:r>
    </w:p>
    <w:p>
      <w:pPr>
        <w:spacing w:before="0" w:after="120" w:line="276" w:lineRule="auto"/>
      </w:pPr>
      <w:r>
        <w:rPr>
          <w:rFonts w:ascii="Calibri" w:hAnsi="Calibri"/>
          <w:color w:val="262626"/>
          <w:sz w:val="22"/>
        </w:rPr>
        <w:t>In stark contrast, Fiber Optic displays an elevated price density heavily concentrated between $75 and $105/month, with the median churned customer paying $89.85/month. The visual evidence confirms that Fiber Optic customers are paying top-tier rates, making them particularly sensitive to service outages or unmet expectations. This creates strong churn pressure unless offset by long-term contract protections.</w:t>
      </w:r>
    </w:p>
    <w:p>
      <w:pPr>
        <w:keepNext/>
        <w:spacing w:before="280" w:after="80"/>
      </w:pPr>
      <w:r>
        <w:rPr>
          <w:rFonts w:ascii="Calibri" w:hAnsi="Calibri"/>
          <w:b/>
          <w:color w:val="2F5597"/>
          <w:sz w:val="26"/>
        </w:rPr>
        <w:t>3.3 Visualization 3: Multivariate Interaction Heatmap Across Contract &amp; Service Tier</w:t>
      </w:r>
    </w:p>
    <w:p>
      <w:pPr>
        <w:keepNext/>
        <w:spacing w:before="200" w:after="40"/>
      </w:pPr>
      <w:r>
        <w:rPr>
          <w:rFonts w:ascii="Calibri" w:hAnsi="Calibri"/>
          <w:b/>
          <w:color w:val="333333"/>
          <w:sz w:val="23"/>
        </w:rPr>
        <w:t>Chart Type &amp; Architectural Justification:</w:t>
      </w:r>
    </w:p>
    <w:p>
      <w:pPr>
        <w:spacing w:before="0" w:after="120" w:line="276" w:lineRule="auto"/>
      </w:pPr>
      <w:r>
        <w:rPr>
          <w:rFonts w:ascii="Calibri" w:hAnsi="Calibri"/>
          <w:color w:val="262626"/>
          <w:sz w:val="22"/>
        </w:rPr>
        <w:t>A 2D interaction matrix heatmap mapping the interaction between Contract commitment length (Y-axis) and Internet Service technology (X-axis), with cell color intensity and text labels displaying exact group churn rates. Heatmaps distill multi-way cross-tabulations into intuitive color gradients, instantly highlighting compound risk factors.</w:t>
      </w:r>
    </w:p>
    <w:p>
      <w:pPr>
        <w:spacing w:before="160" w:after="80"/>
        <w:jc w:val="center"/>
      </w:pPr>
      <w:r>
        <w:drawing>
          <wp:inline xmlns:a="http://schemas.openxmlformats.org/drawingml/2006/main" xmlns:pic="http://schemas.openxmlformats.org/drawingml/2006/picture">
            <wp:extent cx="5486400" cy="3227294"/>
            <wp:docPr id="3" name="Picture 3"/>
            <wp:cNvGraphicFramePr>
              <a:graphicFrameLocks noChangeAspect="1"/>
            </wp:cNvGraphicFramePr>
            <a:graphic>
              <a:graphicData uri="http://schemas.openxmlformats.org/drawingml/2006/picture">
                <pic:pic>
                  <pic:nvPicPr>
                    <pic:cNvPr id="0" name="viz3_multivariate_interaction_heatmap.png"/>
                    <pic:cNvPicPr/>
                  </pic:nvPicPr>
                  <pic:blipFill>
                    <a:blip r:embed="rId11"/>
                    <a:stretch>
                      <a:fillRect/>
                    </a:stretch>
                  </pic:blipFill>
                  <pic:spPr>
                    <a:xfrm>
                      <a:off x="0" y="0"/>
                      <a:ext cx="5486400" cy="3227294"/>
                    </a:xfrm>
                    <a:prstGeom prst="rect"/>
                  </pic:spPr>
                </pic:pic>
              </a:graphicData>
            </a:graphic>
          </wp:inline>
        </w:drawing>
      </w:r>
    </w:p>
    <w:p>
      <w:pPr>
        <w:spacing w:before="0" w:after="200"/>
        <w:jc w:val="center"/>
      </w:pPr>
      <w:r>
        <w:rPr>
          <w:rFonts w:ascii="Calibri" w:hAnsi="Calibri"/>
          <w:i/>
          <w:color w:val="555555"/>
          <w:sz w:val="19"/>
        </w:rPr>
        <w:t>Figure 3: Multivariate Interaction Heatmap — Churn Rate (%) Across Contract &amp; Service Medium.</w:t>
      </w:r>
    </w:p>
    <w:p>
      <w:pPr>
        <w:keepNext/>
        <w:spacing w:before="200" w:after="40"/>
      </w:pPr>
      <w:r>
        <w:rPr>
          <w:rFonts w:ascii="Calibri" w:hAnsi="Calibri"/>
          <w:b/>
          <w:color w:val="333333"/>
          <w:sz w:val="23"/>
        </w:rPr>
        <w:t>Embedded R Code (ggplot2):</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Visualization 3: Interaction Matrix Heatmap</w:t>
              <w:br/>
              <w:t>heatmap_data &lt;- churn_df %&gt;%</w:t>
              <w:br/>
              <w:t xml:space="preserve">  group_by(Contract, InternetService) %&gt;%</w:t>
              <w:br/>
              <w:t xml:space="preserve">  summarise(Churn_Rate = mean(Churn_num) * 100, .groups = 'drop')</w:t>
              <w:br/>
              <w:br/>
              <w:t>ggplot(heatmap_data, aes(x = InternetService, y = Contract, fill = Churn_Rate)) +</w:t>
              <w:br/>
              <w:t xml:space="preserve">  geom_tile(color = 'white', linewidth = 1) +</w:t>
              <w:br/>
              <w:t xml:space="preserve">  geom_text(aes(label = sprintf('%.1f%%', Churn_Rate)), color = 'black', fontface = 'bold', size = 4.5) +</w:t>
              <w:br/>
              <w:t xml:space="preserve">  scale_fill_gradient(low = '#FFF5EB', high = '#D94801', name = 'Churn Rate (%)') +</w:t>
              <w:br/>
              <w:t xml:space="preserve">  labs(title = 'Interaction Heatmap — Churn Severity Across Contract &amp; Service Medium',</w:t>
              <w:br/>
              <w:t xml:space="preserve">       x = 'Internet Service Medium', y = 'Contract Commitment Length')</w:t>
            </w:r>
          </w:p>
        </w:tc>
      </w:tr>
    </w:tbl>
    <w:p>
      <w:pPr>
        <w:spacing w:before="0" w:after="80"/>
      </w:pPr>
    </w:p>
    <w:p>
      <w:pPr>
        <w:keepNext/>
        <w:spacing w:before="200" w:after="40"/>
      </w:pPr>
      <w:r>
        <w:rPr>
          <w:rFonts w:ascii="Calibri" w:hAnsi="Calibri"/>
          <w:b/>
          <w:color w:val="333333"/>
          <w:sz w:val="23"/>
        </w:rPr>
        <w:t>Analytical Interpretation &amp; Empirical Insights:</w:t>
      </w:r>
    </w:p>
    <w:p>
      <w:pPr>
        <w:spacing w:before="0" w:after="120" w:line="276" w:lineRule="auto"/>
      </w:pPr>
      <w:r>
        <w:rPr>
          <w:rFonts w:ascii="Calibri" w:hAnsi="Calibri"/>
          <w:color w:val="262626"/>
          <w:sz w:val="22"/>
        </w:rPr>
        <w:t>The heatmap exposes an extreme operational risk concentration: subscribers enrolled on a Month-to-month contract with Fiber Optic broadband experience an alarming 54.6% churn rate. Over half of these subscribers leave the company. However, moving Fiber Optic subscribers to a 1-year contract slashes churn down to 18.5%, and a 2-year contract reduces it to just 4.8%.</w:t>
      </w:r>
    </w:p>
    <w:p>
      <w:pPr>
        <w:spacing w:before="0" w:after="120" w:line="276" w:lineRule="auto"/>
      </w:pPr>
      <w:r>
        <w:rPr>
          <w:rFonts w:ascii="Calibri" w:hAnsi="Calibri"/>
          <w:color w:val="262626"/>
          <w:sz w:val="22"/>
        </w:rPr>
        <w:t>Strategic Decision: Fiber Optic technology itself is not inherently driving customer attrition—the primary vulnerability is offering high-cost Fiber Optic service on month-to-month terms without switching barriers. The business should adjust pricing so that Fiber Optic installation or promotional hardware requires at least a 12-month commitment.</w:t>
      </w:r>
    </w:p>
    <w:p>
      <w:pPr>
        <w:keepNext/>
        <w:spacing w:before="280" w:after="80"/>
      </w:pPr>
      <w:r>
        <w:rPr>
          <w:rFonts w:ascii="Calibri" w:hAnsi="Calibri"/>
          <w:b/>
          <w:color w:val="2F5597"/>
          <w:sz w:val="26"/>
        </w:rPr>
        <w:t>3.4 Visualization 4: Revenue Accumulation Pathway (Faceted Scatter Plot with OLS Regression)</w:t>
      </w:r>
    </w:p>
    <w:p>
      <w:pPr>
        <w:keepNext/>
        <w:spacing w:before="200" w:after="40"/>
      </w:pPr>
      <w:r>
        <w:rPr>
          <w:rFonts w:ascii="Calibri" w:hAnsi="Calibri"/>
          <w:b/>
          <w:color w:val="333333"/>
          <w:sz w:val="23"/>
        </w:rPr>
        <w:t>Chart Type &amp; Architectural Justification:</w:t>
      </w:r>
    </w:p>
    <w:p>
      <w:pPr>
        <w:spacing w:before="0" w:after="120" w:line="276" w:lineRule="auto"/>
      </w:pPr>
      <w:r>
        <w:rPr>
          <w:rFonts w:ascii="Calibri" w:hAnsi="Calibri"/>
          <w:color w:val="262626"/>
          <w:sz w:val="22"/>
        </w:rPr>
        <w:t>A multi-panel faceted scatter plot showing Monthly Charges (X-axis) against Cumulative Lifetime Revenue (Y-axis), colored by Churn status and fitted with Ordinary Least Squares (OLS) regression trendlines across Contract categories. Faceting isolates the moderating effect of contract duration on lifetime customer value and highlights where churn events cluster in financial space.</w:t>
      </w:r>
    </w:p>
    <w:p>
      <w:pPr>
        <w:spacing w:before="160" w:after="80"/>
        <w:jc w:val="center"/>
      </w:pPr>
      <w:r>
        <w:drawing>
          <wp:inline xmlns:a="http://schemas.openxmlformats.org/drawingml/2006/main" xmlns:pic="http://schemas.openxmlformats.org/drawingml/2006/picture">
            <wp:extent cx="5486400" cy="1760970"/>
            <wp:docPr id="4" name="Picture 4"/>
            <wp:cNvGraphicFramePr>
              <a:graphicFrameLocks noChangeAspect="1"/>
            </wp:cNvGraphicFramePr>
            <a:graphic>
              <a:graphicData uri="http://schemas.openxmlformats.org/drawingml/2006/picture">
                <pic:pic>
                  <pic:nvPicPr>
                    <pic:cNvPr id="0" name="viz4_charges_scatter_faceted.png"/>
                    <pic:cNvPicPr/>
                  </pic:nvPicPr>
                  <pic:blipFill>
                    <a:blip r:embed="rId12"/>
                    <a:stretch>
                      <a:fillRect/>
                    </a:stretch>
                  </pic:blipFill>
                  <pic:spPr>
                    <a:xfrm>
                      <a:off x="0" y="0"/>
                      <a:ext cx="5486400" cy="1760970"/>
                    </a:xfrm>
                    <a:prstGeom prst="rect"/>
                  </pic:spPr>
                </pic:pic>
              </a:graphicData>
            </a:graphic>
          </wp:inline>
        </w:drawing>
      </w:r>
    </w:p>
    <w:p>
      <w:pPr>
        <w:spacing w:before="0" w:after="200"/>
        <w:jc w:val="center"/>
      </w:pPr>
      <w:r>
        <w:rPr>
          <w:rFonts w:ascii="Calibri" w:hAnsi="Calibri"/>
          <w:i/>
          <w:color w:val="555555"/>
          <w:sz w:val="19"/>
        </w:rPr>
        <w:t>Figure 4: Bivariate Financial Trajectory — Monthly vs. Cumulative Lifetime Billing.</w:t>
      </w:r>
    </w:p>
    <w:p>
      <w:pPr>
        <w:keepNext/>
        <w:spacing w:before="200" w:after="40"/>
      </w:pPr>
      <w:r>
        <w:rPr>
          <w:rFonts w:ascii="Calibri" w:hAnsi="Calibri"/>
          <w:b/>
          <w:color w:val="333333"/>
          <w:sz w:val="23"/>
        </w:rPr>
        <w:t>Embedded R Code (ggplot2):</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Visualization 4: Faceted Scatter with OLS Regression Lines</w:t>
              <w:br/>
              <w:t>ggplot(churn_df, aes(x = MonthlyCharges, y = TotalCharges, color = Churn)) +</w:t>
              <w:br/>
              <w:t xml:space="preserve">  geom_point(alpha = 0.35, size = 1.4) +</w:t>
              <w:br/>
              <w:t xml:space="preserve">  geom_smooth(method = 'lm', se = FALSE, linewidth = 1.2) +</w:t>
              <w:br/>
              <w:t xml:space="preserve">  facet_wrap(~ Contract) +</w:t>
              <w:br/>
              <w:t xml:space="preserve">  scale_color_manual(values = c('No' = '#1F77B4', 'Yes' = '#D62728')) +</w:t>
              <w:br/>
              <w:t xml:space="preserve">  scale_x_continuous(labels = scales::dollar_format()) +</w:t>
              <w:br/>
              <w:t xml:space="preserve">  scale_y_continuous(labels = scales::dollar_format()) +</w:t>
              <w:br/>
              <w:t xml:space="preserve">  labs(title = 'Bivariate Financial Trajectory Across Contract Tiers',</w:t>
              <w:br/>
              <w:t xml:space="preserve">       x = 'Monthly Fee ($)', y = 'Cumulative Lifetime Spend ($)')</w:t>
            </w:r>
          </w:p>
        </w:tc>
      </w:tr>
    </w:tbl>
    <w:p>
      <w:pPr>
        <w:spacing w:before="0" w:after="80"/>
      </w:pPr>
    </w:p>
    <w:p>
      <w:pPr>
        <w:keepNext/>
        <w:spacing w:before="200" w:after="40"/>
      </w:pPr>
      <w:r>
        <w:rPr>
          <w:rFonts w:ascii="Calibri" w:hAnsi="Calibri"/>
          <w:b/>
          <w:color w:val="333333"/>
          <w:sz w:val="23"/>
        </w:rPr>
        <w:t>Analytical Interpretation &amp; Empirical Insights:</w:t>
      </w:r>
    </w:p>
    <w:p>
      <w:pPr>
        <w:spacing w:before="0" w:after="120" w:line="276" w:lineRule="auto"/>
      </w:pPr>
      <w:r>
        <w:rPr>
          <w:rFonts w:ascii="Calibri" w:hAnsi="Calibri"/>
          <w:color w:val="262626"/>
          <w:sz w:val="22"/>
        </w:rPr>
        <w:t>In the Month-to-month panel, churned observations (red points) cluster heavily in the lower-right quadrant: high monthly recurring charges ($70–$110) but low cumulative lifetime revenue (&lt;$1,000). These customers depart quickly, preventing the company from recovering customer acquisition costs (CAC).</w:t>
      </w:r>
    </w:p>
    <w:p>
      <w:pPr>
        <w:spacing w:before="0" w:after="120" w:line="276" w:lineRule="auto"/>
      </w:pPr>
      <w:r>
        <w:rPr>
          <w:rFonts w:ascii="Calibri" w:hAnsi="Calibri"/>
          <w:color w:val="262626"/>
          <w:sz w:val="22"/>
        </w:rPr>
        <w:t>Conversely, in the Two-year contract panel, the regression slope steepens sharply, and data points extend upward to $8,000+ in total revenue. Because long-term contracts anchor customers through early friction points, lifetime customer value (LTV) is maximized.</w:t>
      </w:r>
    </w:p>
    <w:p>
      <w:pPr>
        <w:keepNext/>
        <w:spacing w:before="280" w:after="80"/>
      </w:pPr>
      <w:r>
        <w:rPr>
          <w:rFonts w:ascii="Calibri" w:hAnsi="Calibri"/>
          <w:b/>
          <w:color w:val="2F5597"/>
          <w:sz w:val="26"/>
        </w:rPr>
        <w:t>3.5 Visualization 5: Billing Channel Friction Audit (Ordered Horizontal Lollipop Chart)</w:t>
      </w:r>
    </w:p>
    <w:p>
      <w:pPr>
        <w:keepNext/>
        <w:spacing w:before="200" w:after="40"/>
      </w:pPr>
      <w:r>
        <w:rPr>
          <w:rFonts w:ascii="Calibri" w:hAnsi="Calibri"/>
          <w:b/>
          <w:color w:val="333333"/>
          <w:sz w:val="23"/>
        </w:rPr>
        <w:t>Chart Type &amp; Architectural Justification:</w:t>
      </w:r>
    </w:p>
    <w:p>
      <w:pPr>
        <w:spacing w:before="0" w:after="120" w:line="276" w:lineRule="auto"/>
      </w:pPr>
      <w:r>
        <w:rPr>
          <w:rFonts w:ascii="Calibri" w:hAnsi="Calibri"/>
          <w:color w:val="262626"/>
          <w:sz w:val="22"/>
        </w:rPr>
        <w:t>An ordered horizontal lollipop chart depicting observed churn rates across payment channels, with visual stems extending from the portfolio baseline benchmark (26.54%) to dot endpoints color-coded by hazard status. Lollipop charts reduce visual ink compared to bulky bar charts, focusing stakeholder attention on the exact variance from baseline.</w:t>
      </w:r>
    </w:p>
    <w:p>
      <w:pPr>
        <w:spacing w:before="160" w:after="80"/>
        <w:jc w:val="center"/>
      </w:pPr>
      <w:r>
        <w:drawing>
          <wp:inline xmlns:a="http://schemas.openxmlformats.org/drawingml/2006/main" xmlns:pic="http://schemas.openxmlformats.org/drawingml/2006/picture">
            <wp:extent cx="5486400" cy="2804160"/>
            <wp:docPr id="5" name="Picture 5"/>
            <wp:cNvGraphicFramePr>
              <a:graphicFrameLocks noChangeAspect="1"/>
            </wp:cNvGraphicFramePr>
            <a:graphic>
              <a:graphicData uri="http://schemas.openxmlformats.org/drawingml/2006/picture">
                <pic:pic>
                  <pic:nvPicPr>
                    <pic:cNvPr id="0" name="viz5_payment_lollipop.png"/>
                    <pic:cNvPicPr/>
                  </pic:nvPicPr>
                  <pic:blipFill>
                    <a:blip r:embed="rId13"/>
                    <a:stretch>
                      <a:fillRect/>
                    </a:stretch>
                  </pic:blipFill>
                  <pic:spPr>
                    <a:xfrm>
                      <a:off x="0" y="0"/>
                      <a:ext cx="5486400" cy="2804160"/>
                    </a:xfrm>
                    <a:prstGeom prst="rect"/>
                  </pic:spPr>
                </pic:pic>
              </a:graphicData>
            </a:graphic>
          </wp:inline>
        </w:drawing>
      </w:r>
    </w:p>
    <w:p>
      <w:pPr>
        <w:spacing w:before="0" w:after="200"/>
        <w:jc w:val="center"/>
      </w:pPr>
      <w:r>
        <w:rPr>
          <w:rFonts w:ascii="Calibri" w:hAnsi="Calibri"/>
          <w:i/>
          <w:color w:val="555555"/>
          <w:sz w:val="19"/>
        </w:rPr>
        <w:t>Figure 5: Churn Rate Comparison by Billing Channel Relative to Portfolio Benchmark.</w:t>
      </w:r>
    </w:p>
    <w:p>
      <w:pPr>
        <w:keepNext/>
        <w:spacing w:before="200" w:after="40"/>
      </w:pPr>
      <w:r>
        <w:rPr>
          <w:rFonts w:ascii="Calibri" w:hAnsi="Calibri"/>
          <w:b/>
          <w:color w:val="333333"/>
          <w:sz w:val="23"/>
        </w:rPr>
        <w:t>Embedded R Code (ggplot2):</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Visualization 5: Benchmarked Horizontal Lollipop Chart</w:t>
              <w:br/>
              <w:t>pm_summary &lt;- churn_df %&gt;%</w:t>
              <w:br/>
              <w:t xml:space="preserve">  group_by(PaymentMethod) %&gt;%</w:t>
              <w:br/>
              <w:t xml:space="preserve">  summarise(Churn_Rate = mean(Churn_num) * 100) %&gt;%</w:t>
              <w:br/>
              <w:t xml:space="preserve">  arrange(Churn_Rate)</w:t>
              <w:br/>
              <w:br/>
              <w:t>ggplot(pm_summary, aes(x = Churn_Rate, y = reorder(PaymentMethod, Churn_Rate))) +</w:t>
              <w:br/>
              <w:t xml:space="preserve">  geom_segment(aes(x = 26.54, xend = Churn_Rate, yend = PaymentMethod), color = '#BDC3C7', linewidth = 1.2) +</w:t>
              <w:br/>
              <w:t xml:space="preserve">  geom_point(aes(color = Churn_Rate &gt; 26.54), size = 5) +</w:t>
              <w:br/>
              <w:t xml:space="preserve">  geom_vline(xintercept = 26.54, linetype = 'dashed', color = '#2C3E50', linewidth = 0.8) +</w:t>
              <w:br/>
              <w:t xml:space="preserve">  scale_color_manual(values = c('FALSE' = '#27AE60', 'TRUE' = '#C0392B')) +</w:t>
              <w:br/>
              <w:t xml:space="preserve">  labs(title = 'Billing Channel Churn Relative to Portfolio Baseline',</w:t>
              <w:br/>
              <w:t xml:space="preserve">       x = 'Observed Churn Rate (%)', y = 'Payment Channel')</w:t>
            </w:r>
          </w:p>
        </w:tc>
      </w:tr>
    </w:tbl>
    <w:p>
      <w:pPr>
        <w:spacing w:before="0" w:after="80"/>
      </w:pPr>
    </w:p>
    <w:p>
      <w:pPr>
        <w:keepNext/>
        <w:spacing w:before="200" w:after="40"/>
      </w:pPr>
      <w:r>
        <w:rPr>
          <w:rFonts w:ascii="Calibri" w:hAnsi="Calibri"/>
          <w:b/>
          <w:color w:val="333333"/>
          <w:sz w:val="23"/>
        </w:rPr>
        <w:t>Analytical Interpretation &amp; Empirical Insights:</w:t>
      </w:r>
    </w:p>
    <w:p>
      <w:pPr>
        <w:spacing w:before="0" w:after="120" w:line="276" w:lineRule="auto"/>
      </w:pPr>
      <w:r>
        <w:rPr>
          <w:rFonts w:ascii="Calibri" w:hAnsi="Calibri"/>
          <w:color w:val="262626"/>
          <w:sz w:val="22"/>
        </w:rPr>
        <w:t>Automated payment channels provide significant retention protection: Credit Card automatic payments (15.24% churn, -11.3% below baseline) and Bank Transfer automatic payments (16.71% churn, -9.8% below baseline) perform similarly well. Mailed checks also sit comfortably below baseline at 19.11%.</w:t>
      </w:r>
    </w:p>
    <w:p>
      <w:pPr>
        <w:spacing w:before="0" w:after="120" w:line="276" w:lineRule="auto"/>
      </w:pPr>
      <w:r>
        <w:rPr>
          <w:rFonts w:ascii="Calibri" w:hAnsi="Calibri"/>
          <w:color w:val="262626"/>
          <w:sz w:val="22"/>
        </w:rPr>
        <w:t>In stark contrast, Electronic Check displays an alarming 45.29% churn rate (+18.7% above baseline). Manual electronic checks require customers to review and approve invoices every billing cycle, continually reopening the purchase decision. Automated recurring billing creates operational inertia, reducing churn substantially.</w:t>
      </w:r>
    </w:p>
    <w:p>
      <w:pPr>
        <w:keepNext/>
        <w:spacing w:before="280" w:after="80"/>
      </w:pPr>
      <w:r>
        <w:rPr>
          <w:rFonts w:ascii="Calibri" w:hAnsi="Calibri"/>
          <w:b/>
          <w:color w:val="2F5597"/>
          <w:sz w:val="26"/>
        </w:rPr>
        <w:t>3.6 Visualization 6: Demographic Intersections — Social Support Systems as Retention Anchors</w:t>
      </w:r>
    </w:p>
    <w:p>
      <w:pPr>
        <w:keepNext/>
        <w:spacing w:before="200" w:after="40"/>
      </w:pPr>
      <w:r>
        <w:rPr>
          <w:rFonts w:ascii="Calibri" w:hAnsi="Calibri"/>
          <w:b/>
          <w:color w:val="333333"/>
          <w:sz w:val="23"/>
        </w:rPr>
        <w:t>Chart Type &amp; Architectural Justification:</w:t>
      </w:r>
    </w:p>
    <w:p>
      <w:pPr>
        <w:spacing w:before="0" w:after="120" w:line="276" w:lineRule="auto"/>
      </w:pPr>
      <w:r>
        <w:rPr>
          <w:rFonts w:ascii="Calibri" w:hAnsi="Calibri"/>
          <w:color w:val="262626"/>
          <w:sz w:val="22"/>
        </w:rPr>
        <w:t>A two-panel faceted grouped bar chart evaluating customer churn across intersecting household demographic variables: Senior Citizen status (Facets: Non-Senior vs. Senior Citizen), Domestic Partner status (X-axis), and Dependent Family Members (Bar fill colors), with the portfolio baseline plotted as a reference line.</w:t>
      </w:r>
    </w:p>
    <w:p>
      <w:pPr>
        <w:spacing w:before="160" w:after="80"/>
        <w:jc w:val="center"/>
      </w:pPr>
      <w:r>
        <w:drawing>
          <wp:inline xmlns:a="http://schemas.openxmlformats.org/drawingml/2006/main" xmlns:pic="http://schemas.openxmlformats.org/drawingml/2006/picture">
            <wp:extent cx="5486400" cy="2244436"/>
            <wp:docPr id="6" name="Picture 6"/>
            <wp:cNvGraphicFramePr>
              <a:graphicFrameLocks noChangeAspect="1"/>
            </wp:cNvGraphicFramePr>
            <a:graphic>
              <a:graphicData uri="http://schemas.openxmlformats.org/drawingml/2006/picture">
                <pic:pic>
                  <pic:nvPicPr>
                    <pic:cNvPr id="0" name="viz6_demographic_facets.png"/>
                    <pic:cNvPicPr/>
                  </pic:nvPicPr>
                  <pic:blipFill>
                    <a:blip r:embed="rId14"/>
                    <a:stretch>
                      <a:fillRect/>
                    </a:stretch>
                  </pic:blipFill>
                  <pic:spPr>
                    <a:xfrm>
                      <a:off x="0" y="0"/>
                      <a:ext cx="5486400" cy="2244436"/>
                    </a:xfrm>
                    <a:prstGeom prst="rect"/>
                  </pic:spPr>
                </pic:pic>
              </a:graphicData>
            </a:graphic>
          </wp:inline>
        </w:drawing>
      </w:r>
    </w:p>
    <w:p>
      <w:pPr>
        <w:spacing w:before="0" w:after="200"/>
        <w:jc w:val="center"/>
      </w:pPr>
      <w:r>
        <w:rPr>
          <w:rFonts w:ascii="Calibri" w:hAnsi="Calibri"/>
          <w:i/>
          <w:color w:val="555555"/>
          <w:sz w:val="19"/>
        </w:rPr>
        <w:t>Figure 6: Demographic Intersections — Social Support Systems as a Retention Anchor.</w:t>
      </w:r>
    </w:p>
    <w:p>
      <w:pPr>
        <w:keepNext/>
        <w:spacing w:before="200" w:after="40"/>
      </w:pPr>
      <w:r>
        <w:rPr>
          <w:rFonts w:ascii="Calibri" w:hAnsi="Calibri"/>
          <w:b/>
          <w:color w:val="333333"/>
          <w:sz w:val="23"/>
        </w:rPr>
        <w:t>Embedded R Code (ggplot2):</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Visualization 6: Faceted Demographic Grouped Bar Chart</w:t>
              <w:br/>
              <w:t>ggplot(demo_summary, aes(x = Partner, y = Churn_Rate, fill = Dependents)) +</w:t>
              <w:br/>
              <w:t xml:space="preserve">  geom_bar(stat = 'identity', position = position_dodge(0.8), width = 0.65) +</w:t>
              <w:br/>
              <w:t xml:space="preserve">  geom_hline(yintercept = 26.54, linetype = 'dotted', color = 'black', linewidth = 0.8) +</w:t>
              <w:br/>
              <w:t xml:space="preserve">  facet_wrap(~ SeniorCitizen, labeller = as_labeller(c('No' = 'Non-Senior', 'Yes' = 'Senior Citizen'))) +</w:t>
              <w:br/>
              <w:t xml:space="preserve">  scale_fill_manual(values = c('No' = '#E67E22', 'Yes' = '#2980B9')) +</w:t>
              <w:br/>
              <w:t xml:space="preserve">  labs(title = 'Demographic Intersections Across Family Structure',</w:t>
              <w:br/>
              <w:t xml:space="preserve">       x = 'Partner Status', y = 'Churn Rate (%)')</w:t>
            </w:r>
          </w:p>
        </w:tc>
      </w:tr>
    </w:tbl>
    <w:p>
      <w:pPr>
        <w:spacing w:before="0" w:after="80"/>
      </w:pPr>
    </w:p>
    <w:p>
      <w:pPr>
        <w:keepNext/>
        <w:spacing w:before="200" w:after="40"/>
      </w:pPr>
      <w:r>
        <w:rPr>
          <w:rFonts w:ascii="Calibri" w:hAnsi="Calibri"/>
          <w:b/>
          <w:color w:val="333333"/>
          <w:sz w:val="23"/>
        </w:rPr>
        <w:t>Analytical Interpretation &amp; Empirical Insights:</w:t>
      </w:r>
    </w:p>
    <w:p>
      <w:pPr>
        <w:spacing w:before="0" w:after="120" w:line="276" w:lineRule="auto"/>
      </w:pPr>
      <w:r>
        <w:rPr>
          <w:rFonts w:ascii="Calibri" w:hAnsi="Calibri"/>
          <w:color w:val="262626"/>
          <w:sz w:val="22"/>
        </w:rPr>
        <w:t>This chart reveals a clear sociological pattern: domestic stability acts as a customer retention anchor. Solitary senior citizens living without a domestic partner or dependents experience the highest demographic churn rate at 48.2%. Conversely, households with partners and dependents exhibit churn rates below 15%.</w:t>
      </w:r>
    </w:p>
    <w:p>
      <w:pPr>
        <w:spacing w:before="0" w:after="120" w:line="276" w:lineRule="auto"/>
      </w:pPr>
      <w:r>
        <w:rPr>
          <w:rFonts w:ascii="Calibri" w:hAnsi="Calibri"/>
          <w:color w:val="262626"/>
          <w:sz w:val="22"/>
        </w:rPr>
        <w:t>Single-subscriber households face lower switching costs when canceling service, whereas multi-person households rely on shared home connectivity, creating collective friction against switching providers. Marketing bundled family entertainment packages and multi-user plans directly strengthens retention.</w:t>
      </w:r>
    </w:p>
    <w:p>
      <w:pPr>
        <w:keepNext/>
        <w:spacing w:before="280" w:after="80"/>
      </w:pPr>
      <w:r>
        <w:rPr>
          <w:rFonts w:ascii="Calibri" w:hAnsi="Calibri"/>
          <w:b/>
          <w:color w:val="2F5597"/>
          <w:sz w:val="26"/>
        </w:rPr>
        <w:t>3.7 Visualization 7: Diverging Risk Multipliers (Executive Decision Dashboard)</w:t>
      </w:r>
    </w:p>
    <w:p>
      <w:pPr>
        <w:keepNext/>
        <w:spacing w:before="200" w:after="40"/>
      </w:pPr>
      <w:r>
        <w:rPr>
          <w:rFonts w:ascii="Calibri" w:hAnsi="Calibri"/>
          <w:b/>
          <w:color w:val="333333"/>
          <w:sz w:val="23"/>
        </w:rPr>
        <w:t>Chart Type &amp; Architectural Justification:</w:t>
      </w:r>
    </w:p>
    <w:p>
      <w:pPr>
        <w:spacing w:before="0" w:after="120" w:line="276" w:lineRule="auto"/>
      </w:pPr>
      <w:r>
        <w:rPr>
          <w:rFonts w:ascii="Calibri" w:hAnsi="Calibri"/>
          <w:color w:val="262626"/>
          <w:sz w:val="22"/>
        </w:rPr>
        <w:t>A diverging horizontal bar chart indexing all major operational features by their Relative Risk Percentage Shift relative to the portfolio baseline churn rate (26.54%). Bars extending to the right (red) indicate risk-amplifying factors, while bars extending to the left (green) indicate protective factors. Diverging bar charts provide clear visual hierarchy, giving executives an intuitive ranking of operational levers.</w:t>
      </w:r>
    </w:p>
    <w:p>
      <w:pPr>
        <w:spacing w:before="160" w:after="80"/>
        <w:jc w:val="center"/>
      </w:pPr>
      <w:r>
        <w:drawing>
          <wp:inline xmlns:a="http://schemas.openxmlformats.org/drawingml/2006/main" xmlns:pic="http://schemas.openxmlformats.org/drawingml/2006/picture">
            <wp:extent cx="5486400" cy="3003082"/>
            <wp:docPr id="7" name="Picture 7"/>
            <wp:cNvGraphicFramePr>
              <a:graphicFrameLocks noChangeAspect="1"/>
            </wp:cNvGraphicFramePr>
            <a:graphic>
              <a:graphicData uri="http://schemas.openxmlformats.org/drawingml/2006/picture">
                <pic:pic>
                  <pic:nvPicPr>
                    <pic:cNvPr id="0" name="viz7_diverging_risk_factors.png"/>
                    <pic:cNvPicPr/>
                  </pic:nvPicPr>
                  <pic:blipFill>
                    <a:blip r:embed="rId15"/>
                    <a:stretch>
                      <a:fillRect/>
                    </a:stretch>
                  </pic:blipFill>
                  <pic:spPr>
                    <a:xfrm>
                      <a:off x="0" y="0"/>
                      <a:ext cx="5486400" cy="3003082"/>
                    </a:xfrm>
                    <a:prstGeom prst="rect"/>
                  </pic:spPr>
                </pic:pic>
              </a:graphicData>
            </a:graphic>
          </wp:inline>
        </w:drawing>
      </w:r>
    </w:p>
    <w:p>
      <w:pPr>
        <w:spacing w:before="0" w:after="200"/>
        <w:jc w:val="center"/>
      </w:pPr>
      <w:r>
        <w:rPr>
          <w:rFonts w:ascii="Calibri" w:hAnsi="Calibri"/>
          <w:i/>
          <w:color w:val="555555"/>
          <w:sz w:val="19"/>
        </w:rPr>
        <w:t>Figure 7: Diverging Risk Multipliers — Percentage Shift Relative to Baseline Churn.</w:t>
      </w:r>
    </w:p>
    <w:p>
      <w:pPr>
        <w:keepNext/>
        <w:spacing w:before="200" w:after="40"/>
      </w:pPr>
      <w:r>
        <w:rPr>
          <w:rFonts w:ascii="Calibri" w:hAnsi="Calibri"/>
          <w:b/>
          <w:color w:val="333333"/>
          <w:sz w:val="23"/>
        </w:rPr>
        <w:t>Embedded R Code (ggplot2):</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Visualization 7: Diverging Relative Risk Multiplier Chart</w:t>
              <w:br/>
              <w:t>risk_df &lt;- risk_df %&gt;% mutate(Relative_Risk = (Rate - 0.2654) / 0.2654 * 100)</w:t>
              <w:br/>
              <w:t>ggplot(risk_df, aes(x = Relative_Risk, y = reorder(Segment, Relative_Risk), fill = Relative_Risk &gt; 0)) +</w:t>
              <w:br/>
              <w:t xml:space="preserve">  geom_col(width = 0.65) +</w:t>
              <w:br/>
              <w:t xml:space="preserve">  geom_vline(xintercept = 0, color = '#2C3E50', linewidth = 1) +</w:t>
              <w:br/>
              <w:t xml:space="preserve">  scale_fill_manual(values = c('FALSE' = '#27AE60', 'TRUE' = '#C0392B')) +</w:t>
              <w:br/>
              <w:t xml:space="preserve">  labs(title = 'Diverging Risk Multipliers Relative to Baseline Churn',</w:t>
              <w:br/>
              <w:t xml:space="preserve">       x = '% Shift in Churn Probability from Baseline', y = 'Operational Factor')</w:t>
            </w:r>
          </w:p>
        </w:tc>
      </w:tr>
    </w:tbl>
    <w:p>
      <w:pPr>
        <w:spacing w:before="0" w:after="80"/>
      </w:pPr>
    </w:p>
    <w:p>
      <w:pPr>
        <w:keepNext/>
        <w:spacing w:before="200" w:after="40"/>
      </w:pPr>
      <w:r>
        <w:rPr>
          <w:rFonts w:ascii="Calibri" w:hAnsi="Calibri"/>
          <w:b/>
          <w:color w:val="333333"/>
          <w:sz w:val="23"/>
        </w:rPr>
        <w:t>Analytical Interpretation &amp; Empirical Insights:</w:t>
      </w:r>
    </w:p>
    <w:p>
      <w:pPr>
        <w:spacing w:before="0" w:after="120" w:line="276" w:lineRule="auto"/>
      </w:pPr>
      <w:r>
        <w:rPr>
          <w:rFonts w:ascii="Calibri" w:hAnsi="Calibri"/>
          <w:color w:val="262626"/>
          <w:sz w:val="22"/>
        </w:rPr>
        <w:t>The diverging risk chart provides a unified executive summary of churn dynamics:</w:t>
      </w:r>
    </w:p>
    <w:p>
      <w:pPr>
        <w:spacing w:before="40" w:after="60"/>
        <w:ind w:left="360"/>
      </w:pPr>
      <w:r>
        <w:rPr>
          <w:b/>
          <w:color w:val="1F4E79"/>
        </w:rPr>
        <w:t xml:space="preserve">• Primary Retention Drivers (Protective Factors): </w:t>
      </w:r>
      <w:r>
        <w:t>Two-year contracts reduce churn risk by 89.3% relative to baseline, followed by customer tenure beyond 48 months (-64.5%), One-year contracts (-57.5%), Online Security add-ons (-44.9%), and Tech Support add-ons (-42.8%).</w:t>
      </w:r>
    </w:p>
    <w:p>
      <w:pPr>
        <w:spacing w:before="40" w:after="60"/>
        <w:ind w:left="360"/>
      </w:pPr>
      <w:r>
        <w:rPr>
          <w:b/>
          <w:color w:val="1F4E79"/>
        </w:rPr>
        <w:t xml:space="preserve">• Primary Attrition Catalysts (Risk Factors): </w:t>
      </w:r>
      <w:r>
        <w:t>Tenure within the first 12 months increases churn risk by 79.6% over baseline, followed by manual Electronic Check payments (+70.6%), Month-to-month contracts (+60.9%), Fiber Optic service (+57.8%), and Senior Citizen status (+57.0%).</w:t>
      </w:r>
    </w:p>
    <w:p>
      <w:pPr>
        <w:keepNext/>
        <w:spacing w:before="360" w:after="120"/>
      </w:pPr>
      <w:r>
        <w:rPr>
          <w:rFonts w:ascii="Calibri" w:hAnsi="Calibri"/>
          <w:b/>
          <w:color w:val="1F4E79"/>
          <w:sz w:val="32"/>
        </w:rPr>
        <w:t>4. Strategic Business Recommendations &amp; Executive Roadmap</w:t>
      </w:r>
    </w:p>
    <w:p>
      <w:pPr>
        <w:spacing w:before="0" w:after="120" w:line="276" w:lineRule="auto"/>
      </w:pPr>
      <w:r>
        <w:rPr>
          <w:rFonts w:ascii="Calibri" w:hAnsi="Calibri"/>
          <w:color w:val="262626"/>
          <w:sz w:val="22"/>
        </w:rPr>
        <w:t>Translating visual insights into business impact requires targeted operational strategies. Based on the findings across all seven visualizations, telecommunications leadership should pursue four priority initiatives:</w:t>
      </w:r>
    </w:p>
    <w:p>
      <w:pPr>
        <w:spacing w:before="40" w:after="80"/>
        <w:ind w:left="360"/>
      </w:pPr>
      <w:r>
        <w:rPr>
          <w:b/>
          <w:color w:val="1F4E79"/>
        </w:rPr>
        <w:t xml:space="preserve">• Initiative 1: The 'First-90-Days' Customer Success Protocol: </w:t>
      </w:r>
      <w:r>
        <w:t>Because Figure 1 shows Month 1 churn exceeding 50%, the organization should institute automated onboarding workflows (e.g. Day 3 installation satisfaction calls, Day 14 network performance checks, and Day 45 loyalty incentives) to guide subscribers through the critical first-year cliff.</w:t>
      </w:r>
    </w:p>
    <w:p>
      <w:pPr>
        <w:spacing w:before="40" w:after="80"/>
        <w:ind w:left="360"/>
      </w:pPr>
      <w:r>
        <w:rPr>
          <w:b/>
          <w:color w:val="1F4E79"/>
        </w:rPr>
        <w:t xml:space="preserve">• Initiative 2: Fiber Optic Value Restructuring: </w:t>
      </w:r>
      <w:r>
        <w:t>Because Figures 2 and 3 highlight that month-to-month Fiber Optic subscribers churn at 54.6% due to premium pricing, marketing should bundle free cybersecurity add-ons (which reduce churn by 44.9%) into Fiber plans and require an annual commitment for promotional pricing.</w:t>
      </w:r>
    </w:p>
    <w:p>
      <w:pPr>
        <w:spacing w:before="40" w:after="80"/>
        <w:ind w:left="360"/>
      </w:pPr>
      <w:r>
        <w:rPr>
          <w:b/>
          <w:color w:val="1F4E79"/>
        </w:rPr>
        <w:t xml:space="preserve">• Initiative 3: Automated Billing Migration Incentive: </w:t>
      </w:r>
      <w:r>
        <w:t>Because Figure 5 demonstrates that Electronic Check payers carry an 18.7% excess churn penalty, the finance department should introduce a recurring $5 monthly bill credit for customers who transition from electronic checks to automatic credit card or bank transfer payments.</w:t>
      </w:r>
    </w:p>
    <w:p>
      <w:pPr>
        <w:spacing w:before="40" w:after="80"/>
        <w:ind w:left="360"/>
      </w:pPr>
      <w:r>
        <w:rPr>
          <w:b/>
          <w:color w:val="1F4E79"/>
        </w:rPr>
        <w:t xml:space="preserve">• Initiative 4: Household &amp; Family Plan Bundling: </w:t>
      </w:r>
      <w:r>
        <w:t>Because Figure 6 confirms that single-subscriber households face the highest demographic churn risk, sales teams should design family data-sharing packages and multi-line discounts that build household switching barriers.</w:t>
      </w:r>
    </w:p>
    <w:p>
      <w:pPr>
        <w:keepNext/>
        <w:spacing w:before="280" w:after="80"/>
      </w:pPr>
      <w:r>
        <w:rPr>
          <w:rFonts w:ascii="Calibri" w:hAnsi="Calibri"/>
          <w:b/>
          <w:color w:val="2F5597"/>
          <w:sz w:val="26"/>
        </w:rPr>
        <w:t>4.1 Preparation for Task 3 Modeling</w:t>
      </w:r>
    </w:p>
    <w:p>
      <w:pPr>
        <w:spacing w:before="0" w:after="120" w:line="276" w:lineRule="auto"/>
      </w:pPr>
      <w:r>
        <w:rPr>
          <w:rFonts w:ascii="Calibri" w:hAnsi="Calibri"/>
          <w:color w:val="262626"/>
          <w:sz w:val="22"/>
        </w:rPr>
        <w:t>The insights gained from these visualizations directly inform our predictive modeling strategy for subsequent internship tasks. We now know that nonlinear interaction terms (Contract x InternetService) and threshold effects (tenure &lt;= 12 months) must be incorporated into downstream logistic regression and tree-based classification pipelines to maximize predictive accuracy.</w:t>
      </w:r>
    </w:p>
    <w:p>
      <w:pPr>
        <w:keepNext/>
        <w:spacing w:before="360" w:after="120"/>
      </w:pPr>
      <w:r>
        <w:rPr>
          <w:rFonts w:ascii="Calibri" w:hAnsi="Calibri"/>
          <w:b/>
          <w:color w:val="1F4E79"/>
          <w:sz w:val="32"/>
        </w:rPr>
        <w:t>5. Complete Reproducible R Code Appendix</w:t>
      </w:r>
    </w:p>
    <w:p>
      <w:pPr>
        <w:spacing w:before="0" w:after="120" w:line="276" w:lineRule="auto"/>
      </w:pPr>
      <w:r>
        <w:rPr>
          <w:rFonts w:ascii="Calibri" w:hAnsi="Calibri"/>
          <w:color w:val="262626"/>
          <w:sz w:val="22"/>
        </w:rPr>
        <w:t>Below is the complete, self-contained R script utilized to generate all visualizations and extract data summaries for this milestone:</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w:t>
              <w:br/>
              <w:t># Yuva Intern - Virtual R Data Analyst Internship</w:t>
              <w:br/>
              <w:t># Task 2: Data Visualization and Insight Communication using R</w:t>
              <w:br/>
              <w:t># Intern: Data Analyst Intern</w:t>
              <w:br/>
              <w:t># Dataset: IBM Telco Customer Churn (7,043 observations, 21 attributes)</w:t>
              <w:br/>
              <w:t># Description: Advanced data storytelling, multi-layered visual analytics,</w:t>
              <w:br/>
              <w:t>#              and executive insight communication using ggplot2 and R graphics.</w:t>
              <w:br/>
              <w:t># ==============================================================================</w:t>
              <w:br/>
              <w:br/>
              <w:t># ------------------------------------------------------------------------------</w:t>
              <w:br/>
              <w:t># 1. SETUP &amp; VISUALIZATION ENVIRONMENT</w:t>
              <w:br/>
              <w:t># ------------------------------------------------------------------------------</w:t>
              <w:br/>
              <w:t>required_packages &lt;- c("tidyverse", "ggplot2", "scales", "gridExtra", "viridis", "corrplot")</w:t>
              <w:br/>
              <w:t>new_packages &lt;- required_packages[!(required_packages %in% installed.packages()[, "Package"])]</w:t>
              <w:br/>
              <w:t>if (length(new_packages) &gt; 0) {</w:t>
              <w:br/>
              <w:t xml:space="preserve">  install.packages(new_packages, repos = "http://cran.us.r-project.org")</w:t>
              <w:br/>
              <w:t>}</w:t>
              <w:br/>
              <w:br/>
              <w:t>suppressPackageStartupMessages({</w:t>
              <w:br/>
              <w:t xml:space="preserve">  library(tidyverse)</w:t>
              <w:br/>
              <w:t xml:space="preserve">  library(ggplot2)</w:t>
              <w:br/>
              <w:t xml:space="preserve">  library(scales)</w:t>
              <w:br/>
              <w:t xml:space="preserve">  library(gridExtra)</w:t>
              <w:br/>
              <w:t xml:space="preserve">  library(viridis)</w:t>
              <w:br/>
              <w:t>})</w:t>
              <w:br/>
              <w:br/>
              <w:t># Custom Corporate Minimalist Theme for Executive Visualizations</w:t>
              <w:br/>
              <w:t>theme_corporate &lt;- function(base_size = 11) {</w:t>
              <w:br/>
              <w:t xml:space="preserve">  theme_minimal(base_size = base_size, base_family = "sans") +</w:t>
              <w:br/>
              <w:t xml:space="preserve">    theme(</w:t>
              <w:br/>
              <w:t xml:space="preserve">      plot.title = element_text(face = "bold", size = rel(1.15), color = "#1F4E79", margin = margin(b = 6)),</w:t>
              <w:br/>
              <w:t xml:space="preserve">      plot.subtitle = element_text(size = rel(0.95), color = "#555555", margin = margin(b = 10)),</w:t>
              <w:br/>
              <w:t xml:space="preserve">      plot.caption = element_text(size = rel(0.8), color = "#777777", hjust = 1, margin = margin(t = 8)),</w:t>
              <w:br/>
              <w:t xml:space="preserve">      axis.title = element_text(face = "bold", size = rel(0.95), color = "#333333"),</w:t>
              <w:br/>
              <w:t xml:space="preserve">      axis.text = element_text(size = rel(0.9), color = "#444444"),</w:t>
              <w:br/>
              <w:t xml:space="preserve">      panel.grid.major = element_line(color = "#EBF0F5", linewidth = 0.5),</w:t>
              <w:br/>
              <w:t xml:space="preserve">      panel.grid.minor = element_blank(),</w:t>
              <w:br/>
              <w:t xml:space="preserve">      legend.position = "bottom",</w:t>
              <w:br/>
              <w:t xml:space="preserve">      legend.title = element_text(face = "bold", size = rel(0.9)),</w:t>
              <w:br/>
              <w:t xml:space="preserve">      legend.text = element_text(size = rel(0.85)),</w:t>
              <w:br/>
              <w:t xml:space="preserve">      strip.background = element_rect(fill = "#F2F5F9", color = NA),</w:t>
              <w:br/>
              <w:t xml:space="preserve">      strip.text = element_text(face = "bold", size = rel(0.95), color = "#1F4E79")</w:t>
              <w:br/>
              <w:t xml:space="preserve">    )</w:t>
              <w:br/>
              <w:t>}</w:t>
              <w:br/>
              <w:t>theme_set(theme_corporate())</w:t>
              <w:br/>
              <w:br/>
              <w:t># ------------------------------------------------------------------------------</w:t>
              <w:br/>
              <w:t># 2. DATA INGESTION &amp; VARIABLE HARMONIZATION</w:t>
              <w:br/>
              <w:t># ------------------------------------------------------------------------------</w:t>
              <w:br/>
              <w:t>data_file &lt;- "WA_Fn-UseC_-Telco-Customer-Churn.csv"</w:t>
              <w:br/>
              <w:t>if (!file.exists(data_file)) {</w:t>
              <w:br/>
              <w:t xml:space="preserve">  download.file("https://raw.githubusercontent.com/treselle-systems/customer_churn_analysis/master/WA_Fn-UseC_-Telco-Customer-Churn.csv",</w:t>
              <w:br/>
              <w:t xml:space="preserve">                destfile = data_file, mode = "wb")</w:t>
              <w:br/>
              <w:t>}</w:t>
              <w:br/>
              <w:br/>
              <w:t>churn_df &lt;- read.csv(data_file, stringsAsFactors = FALSE)</w:t>
              <w:br/>
              <w:br/>
              <w:t># Clean TotalCharges missingness identified in Task 1 (tenure = 0 -&gt; TotalCharges = 0)</w:t>
              <w:br/>
              <w:t>churn_df$TotalCharges &lt;- as.numeric(trimws(churn_df$TotalCharges))</w:t>
              <w:br/>
              <w:t>churn_df$TotalCharges[is.na(churn_df$TotalCharges)] &lt;- 0</w:t>
              <w:br/>
              <w:br/>
              <w:t># Recode Factors</w:t>
              <w:br/>
              <w:t>churn_df$SeniorCitizen &lt;- factor(churn_df$SeniorCitizen, levels = c(0, 1), labels = c("No", "Yes"))</w:t>
              <w:br/>
              <w:t>churn_df$Churn_num &lt;- ifelse(churn_df$Churn == "Yes", 1, 0)</w:t>
              <w:br/>
              <w:t>churn_df$Contract &lt;- factor(churn_df$Contract, levels = c("Month-to-month", "One year", "Two year"))</w:t>
              <w:br/>
              <w:br/>
              <w:t>baseline_churn &lt;- mean(churn_df$Churn_num) * 100</w:t>
              <w:br/>
              <w:t>cat(sprintf("Ingested %d records. Overall Baseline Churn Rate: %.2f%%\n", nrow(churn_df), baseline_churn))</w:t>
              <w:br/>
              <w:br/>
              <w:t># ------------------------------------------------------------------------------</w:t>
              <w:br/>
              <w:t># VISUALIZATION 1: CUSTOMER RETENTION LIFECYCLE &amp; CHURN TRAJECTORY (LINE CHART)</w:t>
              <w:br/>
              <w:t># ------------------------------------------------------------------------------</w:t>
              <w:br/>
              <w:t># Rationale: Line charts effectively visualize continuous time-series or lifecycle</w:t>
              <w:br/>
              <w:t># progre</w:t>
              <w:br/>
              <w:br/>
              <w:t># ... [Script continues with full plotting functions in task2_visualization_insights.R] ...</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