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888888"/>
          <w:sz w:val="24"/>
        </w:rPr>
        <w:t>YUVA INTERN — VIRTUAL INTERNSHIP PROGRAM</w:t>
        <w:br/>
      </w:r>
      <w:r>
        <w:rPr>
          <w:rFonts w:ascii="Calibri" w:hAnsi="Calibri"/>
          <w:b/>
          <w:color w:val="1F4E79"/>
          <w:sz w:val="44"/>
        </w:rPr>
        <w:t>Task 1: Data Cleaning and Preliminary Analysis with R</w:t>
        <w:br/>
      </w:r>
      <w:r>
        <w:rPr>
          <w:rFonts w:ascii="Calibri" w:hAnsi="Calibri"/>
          <w:color w:val="555555"/>
          <w:sz w:val="25"/>
        </w:rPr>
        <w:t>Comprehensive Technical Report on Telecommunication Churn Data Wrangling, Outlier Diagnostics, Feature Engineering, and Statistical Exploration</w:t>
      </w:r>
    </w:p>
    <w:tbl>
      <w:tblPr>
        <w:tblW w:type="auto" w:w="0"/>
        <w:jc w:val="center"/>
        <w:tblLook w:firstColumn="1" w:firstRow="1" w:lastColumn="0" w:lastRow="0" w:noHBand="0" w:noVBand="1" w:val="04A0"/>
      </w:tblPr>
      <w:tblGrid>
        <w:gridCol w:w="4680"/>
        <w:gridCol w:w="4680"/>
      </w:tblGrid>
      <w:tr>
        <w:tc>
          <w:tcPr>
            <w:tcW w:type="dxa" w:w="2880"/>
            <w:shd w:val="clear" w:color="auto" w:fill="1F4E79"/>
            <w:tcMar>
              <w:top w:w="120" w:type="dxa"/>
              <w:bottom w:w="120" w:type="dxa"/>
              <w:left w:w="120" w:type="dxa"/>
              <w:right w:w="120" w:type="dxa"/>
            </w:tcMar>
          </w:tcPr>
          <w:p>
            <w:pPr>
              <w:jc w:val="left"/>
            </w:pPr>
            <w:r>
              <w:rPr>
                <w:rFonts w:ascii="Calibri" w:hAnsi="Calibri"/>
                <w:b/>
                <w:color w:val="FFFFFF"/>
                <w:sz w:val="20"/>
              </w:rPr>
              <w:t>Attribute</w:t>
            </w:r>
          </w:p>
        </w:tc>
        <w:tc>
          <w:tcPr>
            <w:tcW w:type="dxa" w:w="6480"/>
            <w:shd w:val="clear" w:color="auto" w:fill="1F4E79"/>
            <w:tcMar>
              <w:top w:w="120" w:type="dxa"/>
              <w:bottom w:w="120" w:type="dxa"/>
              <w:left w:w="120" w:type="dxa"/>
              <w:right w:w="120" w:type="dxa"/>
            </w:tcMar>
          </w:tcPr>
          <w:p>
            <w:pPr>
              <w:jc w:val="left"/>
            </w:pPr>
            <w:r>
              <w:rPr>
                <w:rFonts w:ascii="Calibri" w:hAnsi="Calibri"/>
                <w:b/>
                <w:color w:val="FFFFFF"/>
                <w:sz w:val="20"/>
              </w:rPr>
              <w:t>Internship Project Specification</w:t>
            </w:r>
          </w:p>
        </w:tc>
      </w:tr>
      <w:tr>
        <w:tc>
          <w:tcPr>
            <w:tcW w:type="dxa" w:w="2880"/>
            <w:shd w:val="clear" w:color="auto" w:fill="FFFFFF"/>
            <w:tcMar>
              <w:top w:w="80" w:type="dxa"/>
              <w:bottom w:w="80" w:type="dxa"/>
              <w:left w:w="100" w:type="dxa"/>
              <w:right w:w="100" w:type="dxa"/>
            </w:tcMar>
          </w:tcPr>
          <w:p>
            <w:pPr>
              <w:jc w:val="left"/>
            </w:pPr>
            <w:r>
              <w:rPr>
                <w:rFonts w:ascii="Calibri" w:hAnsi="Calibri"/>
                <w:color w:val="262626"/>
                <w:sz w:val="19"/>
              </w:rPr>
              <w:t>Internship Track</w:t>
            </w:r>
          </w:p>
        </w:tc>
        <w:tc>
          <w:tcPr>
            <w:tcW w:type="dxa" w:w="6480"/>
            <w:shd w:val="clear" w:color="auto" w:fill="FFFFFF"/>
            <w:tcMar>
              <w:top w:w="80" w:type="dxa"/>
              <w:bottom w:w="80" w:type="dxa"/>
              <w:left w:w="100" w:type="dxa"/>
              <w:right w:w="100" w:type="dxa"/>
            </w:tcMar>
          </w:tcPr>
          <w:p>
            <w:pPr>
              <w:jc w:val="left"/>
            </w:pPr>
            <w:r>
              <w:rPr>
                <w:rFonts w:ascii="Calibri" w:hAnsi="Calibri"/>
                <w:color w:val="262626"/>
                <w:sz w:val="19"/>
              </w:rPr>
              <w:t>Virtual R Data Analyst Intern</w:t>
            </w:r>
          </w:p>
        </w:tc>
      </w:tr>
      <w:tr>
        <w:tc>
          <w:tcPr>
            <w:tcW w:type="dxa" w:w="2880"/>
            <w:shd w:val="clear" w:color="auto" w:fill="F7F9FC"/>
            <w:tcMar>
              <w:top w:w="80" w:type="dxa"/>
              <w:bottom w:w="80" w:type="dxa"/>
              <w:left w:w="100" w:type="dxa"/>
              <w:right w:w="100" w:type="dxa"/>
            </w:tcMar>
          </w:tcPr>
          <w:p>
            <w:pPr>
              <w:jc w:val="left"/>
            </w:pPr>
            <w:r>
              <w:rPr>
                <w:rFonts w:ascii="Calibri" w:hAnsi="Calibri"/>
                <w:color w:val="262626"/>
                <w:sz w:val="19"/>
              </w:rPr>
              <w:t>Host Organization</w:t>
            </w:r>
          </w:p>
        </w:tc>
        <w:tc>
          <w:tcPr>
            <w:tcW w:type="dxa" w:w="6480"/>
            <w:shd w:val="clear" w:color="auto" w:fill="F7F9FC"/>
            <w:tcMar>
              <w:top w:w="80" w:type="dxa"/>
              <w:bottom w:w="80" w:type="dxa"/>
              <w:left w:w="100" w:type="dxa"/>
              <w:right w:w="100" w:type="dxa"/>
            </w:tcMar>
          </w:tcPr>
          <w:p>
            <w:pPr>
              <w:jc w:val="left"/>
            </w:pPr>
            <w:r>
              <w:rPr>
                <w:rFonts w:ascii="Calibri" w:hAnsi="Calibri"/>
                <w:color w:val="262626"/>
                <w:sz w:val="19"/>
              </w:rPr>
              <w:t>Yuva Intern (Skill Development &amp; Virtual Internship Program)</w:t>
            </w:r>
          </w:p>
        </w:tc>
      </w:tr>
      <w:tr>
        <w:tc>
          <w:tcPr>
            <w:tcW w:type="dxa" w:w="2880"/>
            <w:shd w:val="clear" w:color="auto" w:fill="FFFFFF"/>
            <w:tcMar>
              <w:top w:w="80" w:type="dxa"/>
              <w:bottom w:w="80" w:type="dxa"/>
              <w:left w:w="100" w:type="dxa"/>
              <w:right w:w="100" w:type="dxa"/>
            </w:tcMar>
          </w:tcPr>
          <w:p>
            <w:pPr>
              <w:jc w:val="left"/>
            </w:pPr>
            <w:r>
              <w:rPr>
                <w:rFonts w:ascii="Calibri" w:hAnsi="Calibri"/>
                <w:color w:val="262626"/>
                <w:sz w:val="19"/>
              </w:rPr>
              <w:t>Candidate</w:t>
            </w:r>
          </w:p>
        </w:tc>
        <w:tc>
          <w:tcPr>
            <w:tcW w:type="dxa" w:w="6480"/>
            <w:shd w:val="clear" w:color="auto" w:fill="FFFFFF"/>
            <w:tcMar>
              <w:top w:w="80" w:type="dxa"/>
              <w:bottom w:w="80" w:type="dxa"/>
              <w:left w:w="100" w:type="dxa"/>
              <w:right w:w="100" w:type="dxa"/>
            </w:tcMar>
          </w:tcPr>
          <w:p>
            <w:pPr>
              <w:jc w:val="left"/>
            </w:pPr>
            <w:r>
              <w:rPr>
                <w:rFonts w:ascii="Calibri" w:hAnsi="Calibri"/>
                <w:color w:val="262626"/>
                <w:sz w:val="19"/>
              </w:rPr>
              <w:t>Data Analyst Intern</w:t>
            </w:r>
          </w:p>
        </w:tc>
      </w:tr>
      <w:tr>
        <w:tc>
          <w:tcPr>
            <w:tcW w:type="dxa" w:w="2880"/>
            <w:shd w:val="clear" w:color="auto" w:fill="F7F9FC"/>
            <w:tcMar>
              <w:top w:w="80" w:type="dxa"/>
              <w:bottom w:w="80" w:type="dxa"/>
              <w:left w:w="100" w:type="dxa"/>
              <w:right w:w="100" w:type="dxa"/>
            </w:tcMar>
          </w:tcPr>
          <w:p>
            <w:pPr>
              <w:jc w:val="left"/>
            </w:pPr>
            <w:r>
              <w:rPr>
                <w:rFonts w:ascii="Calibri" w:hAnsi="Calibri"/>
                <w:color w:val="262626"/>
                <w:sz w:val="19"/>
              </w:rPr>
              <w:t>Submission Scope</w:t>
            </w:r>
          </w:p>
        </w:tc>
        <w:tc>
          <w:tcPr>
            <w:tcW w:type="dxa" w:w="6480"/>
            <w:shd w:val="clear" w:color="auto" w:fill="F7F9FC"/>
            <w:tcMar>
              <w:top w:w="80" w:type="dxa"/>
              <w:bottom w:w="80" w:type="dxa"/>
              <w:left w:w="100" w:type="dxa"/>
              <w:right w:w="100" w:type="dxa"/>
            </w:tcMar>
          </w:tcPr>
          <w:p>
            <w:pPr>
              <w:jc w:val="left"/>
            </w:pPr>
            <w:r>
              <w:rPr>
                <w:rFonts w:ascii="Calibri" w:hAnsi="Calibri"/>
                <w:color w:val="262626"/>
                <w:sz w:val="19"/>
              </w:rPr>
              <w:t>Task 1: Data Ingestion, Quality Audit, Missingness Handling, Preprocessing &amp; EDA</w:t>
            </w:r>
          </w:p>
        </w:tc>
      </w:tr>
      <w:tr>
        <w:tc>
          <w:tcPr>
            <w:tcW w:type="dxa" w:w="2880"/>
            <w:shd w:val="clear" w:color="auto" w:fill="FFFFFF"/>
            <w:tcMar>
              <w:top w:w="80" w:type="dxa"/>
              <w:bottom w:w="80" w:type="dxa"/>
              <w:left w:w="100" w:type="dxa"/>
              <w:right w:w="100" w:type="dxa"/>
            </w:tcMar>
          </w:tcPr>
          <w:p>
            <w:pPr>
              <w:jc w:val="left"/>
            </w:pPr>
            <w:r>
              <w:rPr>
                <w:rFonts w:ascii="Calibri" w:hAnsi="Calibri"/>
                <w:color w:val="262626"/>
                <w:sz w:val="19"/>
              </w:rPr>
              <w:t>Estimated Effort</w:t>
            </w:r>
          </w:p>
        </w:tc>
        <w:tc>
          <w:tcPr>
            <w:tcW w:type="dxa" w:w="6480"/>
            <w:shd w:val="clear" w:color="auto" w:fill="FFFFFF"/>
            <w:tcMar>
              <w:top w:w="80" w:type="dxa"/>
              <w:bottom w:w="80" w:type="dxa"/>
              <w:left w:w="100" w:type="dxa"/>
              <w:right w:w="100" w:type="dxa"/>
            </w:tcMar>
          </w:tcPr>
          <w:p>
            <w:pPr>
              <w:jc w:val="left"/>
            </w:pPr>
            <w:r>
              <w:rPr>
                <w:rFonts w:ascii="Calibri" w:hAnsi="Calibri"/>
                <w:color w:val="262626"/>
                <w:sz w:val="19"/>
              </w:rPr>
              <w:t>30 – 35 Hours of Dedicated Analytical Execution</w:t>
            </w:r>
          </w:p>
        </w:tc>
      </w:tr>
      <w:tr>
        <w:tc>
          <w:tcPr>
            <w:tcW w:type="dxa" w:w="2880"/>
            <w:shd w:val="clear" w:color="auto" w:fill="F7F9FC"/>
            <w:tcMar>
              <w:top w:w="80" w:type="dxa"/>
              <w:bottom w:w="80" w:type="dxa"/>
              <w:left w:w="100" w:type="dxa"/>
              <w:right w:w="100" w:type="dxa"/>
            </w:tcMar>
          </w:tcPr>
          <w:p>
            <w:pPr>
              <w:jc w:val="left"/>
            </w:pPr>
            <w:r>
              <w:rPr>
                <w:rFonts w:ascii="Calibri" w:hAnsi="Calibri"/>
                <w:color w:val="262626"/>
                <w:sz w:val="19"/>
              </w:rPr>
              <w:t>Programming Language &amp; Tooling</w:t>
            </w:r>
          </w:p>
        </w:tc>
        <w:tc>
          <w:tcPr>
            <w:tcW w:type="dxa" w:w="6480"/>
            <w:shd w:val="clear" w:color="auto" w:fill="F7F9FC"/>
            <w:tcMar>
              <w:top w:w="80" w:type="dxa"/>
              <w:bottom w:w="80" w:type="dxa"/>
              <w:left w:w="100" w:type="dxa"/>
              <w:right w:w="100" w:type="dxa"/>
            </w:tcMar>
          </w:tcPr>
          <w:p>
            <w:pPr>
              <w:jc w:val="left"/>
            </w:pPr>
            <w:r>
              <w:rPr>
                <w:rFonts w:ascii="Calibri" w:hAnsi="Calibri"/>
                <w:color w:val="262626"/>
                <w:sz w:val="19"/>
              </w:rPr>
              <w:t>R (v4.3+), tidyverse, data.table, ggplot2, scales, corrplot</w:t>
            </w:r>
          </w:p>
        </w:tc>
      </w:tr>
      <w:tr>
        <w:tc>
          <w:tcPr>
            <w:tcW w:type="dxa" w:w="2880"/>
            <w:shd w:val="clear" w:color="auto" w:fill="FFFFFF"/>
            <w:tcMar>
              <w:top w:w="80" w:type="dxa"/>
              <w:bottom w:w="80" w:type="dxa"/>
              <w:left w:w="100" w:type="dxa"/>
              <w:right w:w="100" w:type="dxa"/>
            </w:tcMar>
          </w:tcPr>
          <w:p>
            <w:pPr>
              <w:jc w:val="left"/>
            </w:pPr>
            <w:r>
              <w:rPr>
                <w:rFonts w:ascii="Calibri" w:hAnsi="Calibri"/>
                <w:color w:val="262626"/>
                <w:sz w:val="19"/>
              </w:rPr>
              <w:t>Report Submission Format</w:t>
            </w:r>
          </w:p>
        </w:tc>
        <w:tc>
          <w:tcPr>
            <w:tcW w:type="dxa" w:w="6480"/>
            <w:shd w:val="clear" w:color="auto" w:fill="FFFFFF"/>
            <w:tcMar>
              <w:top w:w="80" w:type="dxa"/>
              <w:bottom w:w="80" w:type="dxa"/>
              <w:left w:w="100" w:type="dxa"/>
              <w:right w:w="100" w:type="dxa"/>
            </w:tcMar>
          </w:tcPr>
          <w:p>
            <w:pPr>
              <w:jc w:val="left"/>
            </w:pPr>
            <w:r>
              <w:rPr>
                <w:rFonts w:ascii="Calibri" w:hAnsi="Calibri"/>
                <w:color w:val="262626"/>
                <w:sz w:val="19"/>
              </w:rPr>
              <w:t>Microsoft Word (.docx) — Technical Documentation</w:t>
            </w:r>
          </w:p>
        </w:tc>
      </w:tr>
      <w:tr>
        <w:tc>
          <w:tcPr>
            <w:tcW w:type="dxa" w:w="2880"/>
            <w:shd w:val="clear" w:color="auto" w:fill="F7F9FC"/>
            <w:tcMar>
              <w:top w:w="80" w:type="dxa"/>
              <w:bottom w:w="80" w:type="dxa"/>
              <w:left w:w="100" w:type="dxa"/>
              <w:right w:w="100" w:type="dxa"/>
            </w:tcMar>
          </w:tcPr>
          <w:p>
            <w:pPr>
              <w:jc w:val="left"/>
            </w:pPr>
            <w:r>
              <w:rPr>
                <w:rFonts w:ascii="Calibri" w:hAnsi="Calibri"/>
                <w:color w:val="262626"/>
                <w:sz w:val="19"/>
              </w:rPr>
              <w:t>Date of Submission</w:t>
            </w:r>
          </w:p>
        </w:tc>
        <w:tc>
          <w:tcPr>
            <w:tcW w:type="dxa" w:w="6480"/>
            <w:shd w:val="clear" w:color="auto" w:fill="F7F9FC"/>
            <w:tcMar>
              <w:top w:w="80" w:type="dxa"/>
              <w:bottom w:w="80" w:type="dxa"/>
              <w:left w:w="100" w:type="dxa"/>
              <w:right w:w="100" w:type="dxa"/>
            </w:tcMar>
          </w:tcPr>
          <w:p>
            <w:pPr>
              <w:jc w:val="left"/>
            </w:pPr>
            <w:r>
              <w:rPr>
                <w:rFonts w:ascii="Calibri" w:hAnsi="Calibri"/>
                <w:color w:val="262626"/>
                <w:sz w:val="19"/>
              </w:rPr>
              <w:t>October 2026</w:t>
            </w:r>
          </w:p>
        </w:tc>
      </w:tr>
    </w:tbl>
    <w:p>
      <w:pPr>
        <w:spacing w:after="120"/>
      </w:pPr>
    </w:p>
    <w:p>
      <w:r>
        <w:br w:type="page"/>
      </w:r>
    </w:p>
    <w:p>
      <w:pPr>
        <w:keepNext/>
        <w:spacing w:before="360" w:after="120"/>
      </w:pPr>
      <w:r>
        <w:rPr>
          <w:rFonts w:ascii="Calibri" w:hAnsi="Calibri"/>
          <w:b/>
          <w:color w:val="1F4E79"/>
          <w:sz w:val="32"/>
        </w:rPr>
        <w:t>1. Executive Summary &amp; Project Objectives</w:t>
      </w:r>
    </w:p>
    <w:p>
      <w:pPr>
        <w:spacing w:before="0" w:after="120" w:line="276" w:lineRule="auto"/>
      </w:pPr>
      <w:r>
        <w:rPr>
          <w:rFonts w:ascii="Calibri" w:hAnsi="Calibri"/>
          <w:color w:val="262626"/>
          <w:sz w:val="22"/>
        </w:rPr>
        <w:t>This technical milestone report presents the analytical work carried out during Week 1 of the Virtual R Data Analyst Internship with Yuva Intern. The overarching objective of this week's assignment is to perform comprehensive data cleaning, preprocessing, anomaly detection, feature transformation, and preliminary exploratory data analysis (EDA) using the R statistical programming language.</w:t>
      </w:r>
    </w:p>
    <w:p>
      <w:pPr>
        <w:spacing w:before="0" w:after="120" w:line="276" w:lineRule="auto"/>
      </w:pPr>
      <w:r>
        <w:rPr>
          <w:rFonts w:ascii="Calibri" w:hAnsi="Calibri"/>
          <w:color w:val="262626"/>
          <w:sz w:val="22"/>
        </w:rPr>
        <w:t>To emulate real-world corporate analytics challenges, I selected the widely recognized IBM Telco Customer Churn dataset. This dataset possesses the exact structural complexities mandated by the internship brief: missing value contamination, mixed data types (continuous numerical, nominal categorical, ordinal factors, and binary identifiers), skewed continuous distributions, and business-critical multivariate relationships.</w:t>
      </w:r>
    </w:p>
    <w:p>
      <w:pPr>
        <w:spacing w:before="0" w:after="120" w:line="276" w:lineRule="auto"/>
      </w:pPr>
      <w:r>
        <w:rPr>
          <w:rFonts w:ascii="Calibri" w:hAnsi="Calibri"/>
          <w:color w:val="262626"/>
          <w:sz w:val="22"/>
        </w:rPr>
        <w:t>Over an estimated 32 hours of hands-on data wrangling and investigative programming, I followed a structured data hygiene framework. Key milestones achieved during this task include:</w:t>
      </w:r>
    </w:p>
    <w:p>
      <w:pPr>
        <w:spacing w:before="40" w:after="60"/>
        <w:ind w:left="360"/>
      </w:pPr>
      <w:r>
        <w:rPr>
          <w:b/>
          <w:color w:val="1F4E79"/>
        </w:rPr>
        <w:t xml:space="preserve">• Data Ingestion &amp; Schema Auditing: </w:t>
      </w:r>
      <w:r>
        <w:t>Successfully loaded 7,043 raw customer observations across 21 variables, detecting character-coercion issues caused by silent whitespace blanks.</w:t>
      </w:r>
    </w:p>
    <w:p>
      <w:pPr>
        <w:spacing w:before="40" w:after="60"/>
        <w:ind w:left="360"/>
      </w:pPr>
      <w:r>
        <w:rPr>
          <w:b/>
          <w:color w:val="1F4E79"/>
        </w:rPr>
        <w:t xml:space="preserve">• Missing Data Diagnostics &amp; Domain Imputation: </w:t>
      </w:r>
      <w:r>
        <w:t>Isolated 11 records containing blank strings in TotalCharges. By cross-examining account tenure, I verified that all 11 instances belonged to brand-new subscribers with 0 months tenure. Imputing zero accurately preserved these records without distorting cumulative billing metrics.</w:t>
      </w:r>
    </w:p>
    <w:p>
      <w:pPr>
        <w:spacing w:before="40" w:after="60"/>
        <w:ind w:left="360"/>
      </w:pPr>
      <w:r>
        <w:rPr>
          <w:b/>
          <w:color w:val="1F4E79"/>
        </w:rPr>
        <w:t xml:space="preserve">• Outlier Audit &amp; Distributional Inspection: </w:t>
      </w:r>
      <w:r>
        <w:t>Conducted formal outlier evaluations using Tukey's 1.5 x IQR methodology across tenure, MonthlyCharges, and TotalCharges. Confirmed that observed extremes reflect genuine market segmentation rather than instrumentation errors.</w:t>
      </w:r>
    </w:p>
    <w:p>
      <w:pPr>
        <w:spacing w:before="40" w:after="60"/>
        <w:ind w:left="360"/>
      </w:pPr>
      <w:r>
        <w:rPr>
          <w:b/>
          <w:color w:val="1F4E79"/>
        </w:rPr>
        <w:t xml:space="preserve">• Feature Transformations &amp; Categorical Recoding: </w:t>
      </w:r>
      <w:r>
        <w:t>Engineered log-transformed variables (log1p) to reduce severe right-skewness (+0.96 down to -0.74), implemented Min-Max scaling and Z-score standardization, recoded binary indicators, and constructed one-hot dummy matrices for nominal variables.</w:t>
      </w:r>
    </w:p>
    <w:p>
      <w:pPr>
        <w:spacing w:before="40" w:after="60"/>
        <w:ind w:left="360"/>
      </w:pPr>
      <w:r>
        <w:rPr>
          <w:b/>
          <w:color w:val="1F4E79"/>
        </w:rPr>
        <w:t xml:space="preserve">• Exploratory Data Analysis &amp; Bivariate Testing: </w:t>
      </w:r>
      <w:r>
        <w:t>Identified a baseline churn rate of 26.54%. Uncovered vital operational risk factors: Month-to-month contracts experience a staggering 42.71% churn rate (compared to 2.83% for two-year commitments), and customer tenure correlates strongly with retention (r = -0.352).</w:t>
      </w:r>
    </w:p>
    <w:tbl>
      <w:tblPr>
        <w:tblW w:type="auto" w:w="0"/>
        <w:jc w:val="center"/>
        <w:tblLook w:firstColumn="1" w:firstRow="1" w:lastColumn="0" w:lastRow="0" w:noHBand="0" w:noVBand="1" w:val="04A0"/>
      </w:tblPr>
      <w:tblGrid>
        <w:gridCol w:w="9360"/>
      </w:tblGrid>
      <w:tr>
        <w:tc>
          <w:tcPr>
            <w:tcW w:type="dxa" w:w="9360"/>
            <w:shd w:val="clear" w:color="auto" w:fill="F2F5F9"/>
            <w:tcMar>
              <w:top w:w="140" w:type="dxa"/>
              <w:bottom w:w="140" w:type="dxa"/>
              <w:left w:w="200" w:type="dxa"/>
              <w:right w:w="200" w:type="dxa"/>
            </w:tcMar>
            <w:tcBorders>
              <w:left w:val="single" w:sz="24" w:space="0" w:color="1F4E79"/>
              <w:top w:val="none"/>
              <w:bottom w:val="none"/>
              <w:right w:val="none"/>
            </w:tcBorders>
          </w:tcPr>
          <w:p>
            <w:pPr>
              <w:spacing w:before="40" w:after="40"/>
            </w:pPr>
            <w:r>
              <w:rPr>
                <w:rFonts w:ascii="Calibri" w:hAnsi="Calibri"/>
                <w:b/>
                <w:color w:val="1F4E79"/>
                <w:sz w:val="20"/>
              </w:rPr>
              <w:t xml:space="preserve">[METHODOLOGICAL COMMITMENT] </w:t>
            </w:r>
            <w:r>
              <w:rPr>
                <w:rFonts w:ascii="Calibri" w:hAnsi="Calibri"/>
                <w:i/>
                <w:color w:val="333333"/>
                <w:sz w:val="20"/>
              </w:rPr>
              <w:t>All cleaning steps and transformations were implemented strictly using reproducible R scripts, ensuring zero data leakage and maintaining absolute traceability between raw records and downstream analytical outputs.</w:t>
            </w:r>
          </w:p>
        </w:tc>
      </w:tr>
    </w:tbl>
    <w:p>
      <w:pPr>
        <w:spacing w:after="80"/>
      </w:pPr>
    </w:p>
    <w:p>
      <w:pPr>
        <w:keepNext/>
        <w:spacing w:before="360" w:after="120"/>
      </w:pPr>
      <w:r>
        <w:rPr>
          <w:rFonts w:ascii="Calibri" w:hAnsi="Calibri"/>
          <w:b/>
          <w:color w:val="1F4E79"/>
          <w:sz w:val="32"/>
        </w:rPr>
        <w:t>2. Dataset Selection &amp; Architectural Overview</w:t>
      </w:r>
    </w:p>
    <w:p>
      <w:pPr>
        <w:spacing w:before="0" w:after="120" w:line="276" w:lineRule="auto"/>
      </w:pPr>
      <w:r>
        <w:rPr>
          <w:rFonts w:ascii="Calibri" w:hAnsi="Calibri"/>
          <w:color w:val="262626"/>
          <w:sz w:val="22"/>
        </w:rPr>
        <w:t>The chosen dataset comprises historical account details, subscription portfolios, billing histories, and retention outcomes from a telecommunications provider. Telecommunications customer churn provides an exemplary analytical environment because customer behaviors are multifaceted: subscribers frequently switch plans, adopt ancillary add-ons, or cancel contracts when dissatisfied with pricing or service quality.</w:t>
      </w:r>
    </w:p>
    <w:p>
      <w:pPr>
        <w:keepNext/>
        <w:spacing w:before="280" w:after="80"/>
      </w:pPr>
      <w:r>
        <w:rPr>
          <w:rFonts w:ascii="Calibri" w:hAnsi="Calibri"/>
          <w:b/>
          <w:color w:val="2F5597"/>
          <w:sz w:val="26"/>
        </w:rPr>
        <w:t>2.1 Data Architecture &amp; Variable Dictionary</w:t>
      </w:r>
    </w:p>
    <w:p>
      <w:pPr>
        <w:spacing w:before="0" w:after="120" w:line="276" w:lineRule="auto"/>
      </w:pPr>
      <w:r>
        <w:rPr>
          <w:rFonts w:ascii="Calibri" w:hAnsi="Calibri"/>
          <w:color w:val="262626"/>
          <w:sz w:val="22"/>
        </w:rPr>
        <w:t>The dataset contains 7,043 rows and 21 columns. The table below delineates the attribute schema, data types, operational roles, and sample values observed during the initial ingestion audit: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4E79"/>
            <w:tcMar>
              <w:top w:w="120" w:type="dxa"/>
              <w:bottom w:w="120" w:type="dxa"/>
              <w:left w:w="120" w:type="dxa"/>
              <w:right w:w="120" w:type="dxa"/>
            </w:tcMar>
          </w:tcPr>
          <w:p>
            <w:pPr>
              <w:jc w:val="left"/>
            </w:pPr>
            <w:r>
              <w:rPr>
                <w:rFonts w:ascii="Calibri" w:hAnsi="Calibri"/>
                <w:b/>
                <w:color w:val="FFFFFF"/>
                <w:sz w:val="20"/>
              </w:rPr>
              <w:t>Attribute Name</w:t>
            </w:r>
          </w:p>
        </w:tc>
        <w:tc>
          <w:tcPr>
            <w:tcW w:type="dxa" w:w="1296"/>
            <w:shd w:val="clear" w:color="auto" w:fill="1F4E79"/>
            <w:tcMar>
              <w:top w:w="120" w:type="dxa"/>
              <w:bottom w:w="120" w:type="dxa"/>
              <w:left w:w="120" w:type="dxa"/>
              <w:right w:w="120" w:type="dxa"/>
            </w:tcMar>
          </w:tcPr>
          <w:p>
            <w:pPr>
              <w:jc w:val="left"/>
            </w:pPr>
            <w:r>
              <w:rPr>
                <w:rFonts w:ascii="Calibri" w:hAnsi="Calibri"/>
                <w:b/>
                <w:color w:val="FFFFFF"/>
                <w:sz w:val="20"/>
              </w:rPr>
              <w:t>Original Type</w:t>
            </w:r>
          </w:p>
        </w:tc>
        <w:tc>
          <w:tcPr>
            <w:tcW w:type="dxa" w:w="1584"/>
            <w:shd w:val="clear" w:color="auto" w:fill="1F4E79"/>
            <w:tcMar>
              <w:top w:w="120" w:type="dxa"/>
              <w:bottom w:w="120" w:type="dxa"/>
              <w:left w:w="120" w:type="dxa"/>
              <w:right w:w="120" w:type="dxa"/>
            </w:tcMar>
          </w:tcPr>
          <w:p>
            <w:pPr>
              <w:jc w:val="left"/>
            </w:pPr>
            <w:r>
              <w:rPr>
                <w:rFonts w:ascii="Calibri" w:hAnsi="Calibri"/>
                <w:b/>
                <w:color w:val="FFFFFF"/>
                <w:sz w:val="20"/>
              </w:rPr>
              <w:t>Target R Type</w:t>
            </w:r>
          </w:p>
        </w:tc>
        <w:tc>
          <w:tcPr>
            <w:tcW w:type="dxa" w:w="2880"/>
            <w:shd w:val="clear" w:color="auto" w:fill="1F4E79"/>
            <w:tcMar>
              <w:top w:w="120" w:type="dxa"/>
              <w:bottom w:w="120" w:type="dxa"/>
              <w:left w:w="120" w:type="dxa"/>
              <w:right w:w="120" w:type="dxa"/>
            </w:tcMar>
          </w:tcPr>
          <w:p>
            <w:pPr>
              <w:jc w:val="left"/>
            </w:pPr>
            <w:r>
              <w:rPr>
                <w:rFonts w:ascii="Calibri" w:hAnsi="Calibri"/>
                <w:b/>
                <w:color w:val="FFFFFF"/>
                <w:sz w:val="20"/>
              </w:rPr>
              <w:t>Domain Description</w:t>
            </w:r>
          </w:p>
        </w:tc>
        <w:tc>
          <w:tcPr>
            <w:tcW w:type="dxa" w:w="1728"/>
            <w:shd w:val="clear" w:color="auto" w:fill="1F4E79"/>
            <w:tcMar>
              <w:top w:w="120" w:type="dxa"/>
              <w:bottom w:w="120" w:type="dxa"/>
              <w:left w:w="120" w:type="dxa"/>
              <w:right w:w="120" w:type="dxa"/>
            </w:tcMar>
          </w:tcPr>
          <w:p>
            <w:pPr>
              <w:jc w:val="left"/>
            </w:pPr>
            <w:r>
              <w:rPr>
                <w:rFonts w:ascii="Calibri" w:hAnsi="Calibri"/>
                <w:b/>
                <w:color w:val="FFFFFF"/>
                <w:sz w:val="20"/>
              </w:rPr>
              <w:t>Sample Values</w:t>
            </w:r>
          </w:p>
        </w:tc>
      </w:tr>
      <w:tr>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customerID</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character</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character / ID</w:t>
            </w:r>
          </w:p>
        </w:tc>
        <w:tc>
          <w:tcPr>
            <w:tcW w:type="dxa" w:w="2880"/>
            <w:shd w:val="clear" w:color="auto" w:fill="FFFFFF"/>
            <w:tcMar>
              <w:top w:w="80" w:type="dxa"/>
              <w:bottom w:w="80" w:type="dxa"/>
              <w:left w:w="100" w:type="dxa"/>
              <w:right w:w="100" w:type="dxa"/>
            </w:tcMar>
          </w:tcPr>
          <w:p>
            <w:pPr>
              <w:jc w:val="left"/>
            </w:pPr>
            <w:r>
              <w:rPr>
                <w:rFonts w:ascii="Calibri" w:hAnsi="Calibri"/>
                <w:color w:val="262626"/>
                <w:sz w:val="19"/>
              </w:rPr>
              <w:t>Unique alphanumeric customer identifier</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7590-VHVEG, 5575-GNVDE</w:t>
            </w:r>
          </w:p>
        </w:tc>
      </w:tr>
      <w:tr>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gender</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character</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factor (2 levels)</w:t>
            </w:r>
          </w:p>
        </w:tc>
        <w:tc>
          <w:tcPr>
            <w:tcW w:type="dxa" w:w="2880"/>
            <w:shd w:val="clear" w:color="auto" w:fill="F7F9FC"/>
            <w:tcMar>
              <w:top w:w="80" w:type="dxa"/>
              <w:bottom w:w="80" w:type="dxa"/>
              <w:left w:w="100" w:type="dxa"/>
              <w:right w:w="100" w:type="dxa"/>
            </w:tcMar>
          </w:tcPr>
          <w:p>
            <w:pPr>
              <w:jc w:val="left"/>
            </w:pPr>
            <w:r>
              <w:rPr>
                <w:rFonts w:ascii="Calibri" w:hAnsi="Calibri"/>
                <w:color w:val="262626"/>
                <w:sz w:val="19"/>
              </w:rPr>
              <w:t>Customer biological gender</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Female, Male</w:t>
            </w:r>
          </w:p>
        </w:tc>
      </w:tr>
      <w:tr>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SeniorCitizen</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integer</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factor (2 levels)</w:t>
            </w:r>
          </w:p>
        </w:tc>
        <w:tc>
          <w:tcPr>
            <w:tcW w:type="dxa" w:w="2880"/>
            <w:shd w:val="clear" w:color="auto" w:fill="FFFFFF"/>
            <w:tcMar>
              <w:top w:w="80" w:type="dxa"/>
              <w:bottom w:w="80" w:type="dxa"/>
              <w:left w:w="100" w:type="dxa"/>
              <w:right w:w="100" w:type="dxa"/>
            </w:tcMar>
          </w:tcPr>
          <w:p>
            <w:pPr>
              <w:jc w:val="left"/>
            </w:pPr>
            <w:r>
              <w:rPr>
                <w:rFonts w:ascii="Calibri" w:hAnsi="Calibri"/>
                <w:color w:val="262626"/>
                <w:sz w:val="19"/>
              </w:rPr>
              <w:t>Binary flag for senior citizen status (65+)</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0 (No), 1 (Yes)</w:t>
            </w:r>
          </w:p>
        </w:tc>
      </w:tr>
      <w:tr>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Partner</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character</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factor (2 levels)</w:t>
            </w:r>
          </w:p>
        </w:tc>
        <w:tc>
          <w:tcPr>
            <w:tcW w:type="dxa" w:w="2880"/>
            <w:shd w:val="clear" w:color="auto" w:fill="F7F9FC"/>
            <w:tcMar>
              <w:top w:w="80" w:type="dxa"/>
              <w:bottom w:w="80" w:type="dxa"/>
              <w:left w:w="100" w:type="dxa"/>
              <w:right w:w="100" w:type="dxa"/>
            </w:tcMar>
          </w:tcPr>
          <w:p>
            <w:pPr>
              <w:jc w:val="left"/>
            </w:pPr>
            <w:r>
              <w:rPr>
                <w:rFonts w:ascii="Calibri" w:hAnsi="Calibri"/>
                <w:color w:val="262626"/>
                <w:sz w:val="19"/>
              </w:rPr>
              <w:t>Whether the customer has a domestic partner</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Yes, No</w:t>
            </w:r>
          </w:p>
        </w:tc>
      </w:tr>
      <w:tr>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Dependents</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character</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factor (2 levels)</w:t>
            </w:r>
          </w:p>
        </w:tc>
        <w:tc>
          <w:tcPr>
            <w:tcW w:type="dxa" w:w="2880"/>
            <w:shd w:val="clear" w:color="auto" w:fill="FFFFFF"/>
            <w:tcMar>
              <w:top w:w="80" w:type="dxa"/>
              <w:bottom w:w="80" w:type="dxa"/>
              <w:left w:w="100" w:type="dxa"/>
              <w:right w:w="100" w:type="dxa"/>
            </w:tcMar>
          </w:tcPr>
          <w:p>
            <w:pPr>
              <w:jc w:val="left"/>
            </w:pPr>
            <w:r>
              <w:rPr>
                <w:rFonts w:ascii="Calibri" w:hAnsi="Calibri"/>
                <w:color w:val="262626"/>
                <w:sz w:val="19"/>
              </w:rPr>
              <w:t>Whether the customer has dependents/children</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Yes, No</w:t>
            </w:r>
          </w:p>
        </w:tc>
      </w:tr>
      <w:tr>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tenure</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integer</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numeric (months)</w:t>
            </w:r>
          </w:p>
        </w:tc>
        <w:tc>
          <w:tcPr>
            <w:tcW w:type="dxa" w:w="2880"/>
            <w:shd w:val="clear" w:color="auto" w:fill="F7F9FC"/>
            <w:tcMar>
              <w:top w:w="80" w:type="dxa"/>
              <w:bottom w:w="80" w:type="dxa"/>
              <w:left w:w="100" w:type="dxa"/>
              <w:right w:w="100" w:type="dxa"/>
            </w:tcMar>
          </w:tcPr>
          <w:p>
            <w:pPr>
              <w:jc w:val="left"/>
            </w:pPr>
            <w:r>
              <w:rPr>
                <w:rFonts w:ascii="Calibri" w:hAnsi="Calibri"/>
                <w:color w:val="262626"/>
                <w:sz w:val="19"/>
              </w:rPr>
              <w:t>Number of elapsed billing months with company</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1, 34, 2, 45, 72</w:t>
            </w:r>
          </w:p>
        </w:tc>
      </w:tr>
      <w:tr>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PhoneService</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character</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factor (2 levels)</w:t>
            </w:r>
          </w:p>
        </w:tc>
        <w:tc>
          <w:tcPr>
            <w:tcW w:type="dxa" w:w="2880"/>
            <w:shd w:val="clear" w:color="auto" w:fill="FFFFFF"/>
            <w:tcMar>
              <w:top w:w="80" w:type="dxa"/>
              <w:bottom w:w="80" w:type="dxa"/>
              <w:left w:w="100" w:type="dxa"/>
              <w:right w:w="100" w:type="dxa"/>
            </w:tcMar>
          </w:tcPr>
          <w:p>
            <w:pPr>
              <w:jc w:val="left"/>
            </w:pPr>
            <w:r>
              <w:rPr>
                <w:rFonts w:ascii="Calibri" w:hAnsi="Calibri"/>
                <w:color w:val="262626"/>
                <w:sz w:val="19"/>
              </w:rPr>
              <w:t>Subscription to landline telephone service</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Yes, No</w:t>
            </w:r>
          </w:p>
        </w:tc>
      </w:tr>
      <w:tr>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MultipleLines</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character</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factor (3 levels)</w:t>
            </w:r>
          </w:p>
        </w:tc>
        <w:tc>
          <w:tcPr>
            <w:tcW w:type="dxa" w:w="2880"/>
            <w:shd w:val="clear" w:color="auto" w:fill="F7F9FC"/>
            <w:tcMar>
              <w:top w:w="80" w:type="dxa"/>
              <w:bottom w:w="80" w:type="dxa"/>
              <w:left w:w="100" w:type="dxa"/>
              <w:right w:w="100" w:type="dxa"/>
            </w:tcMar>
          </w:tcPr>
          <w:p>
            <w:pPr>
              <w:jc w:val="left"/>
            </w:pPr>
            <w:r>
              <w:rPr>
                <w:rFonts w:ascii="Calibri" w:hAnsi="Calibri"/>
                <w:color w:val="262626"/>
                <w:sz w:val="19"/>
              </w:rPr>
              <w:t>Multiple phone lines (Yes, No, No phone)</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No, Yes, No phone service</w:t>
            </w:r>
          </w:p>
        </w:tc>
      </w:tr>
      <w:tr>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InternetService</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character</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factor (3 levels)</w:t>
            </w:r>
          </w:p>
        </w:tc>
        <w:tc>
          <w:tcPr>
            <w:tcW w:type="dxa" w:w="2880"/>
            <w:shd w:val="clear" w:color="auto" w:fill="FFFFFF"/>
            <w:tcMar>
              <w:top w:w="80" w:type="dxa"/>
              <w:bottom w:w="80" w:type="dxa"/>
              <w:left w:w="100" w:type="dxa"/>
              <w:right w:w="100" w:type="dxa"/>
            </w:tcMar>
          </w:tcPr>
          <w:p>
            <w:pPr>
              <w:jc w:val="left"/>
            </w:pPr>
            <w:r>
              <w:rPr>
                <w:rFonts w:ascii="Calibri" w:hAnsi="Calibri"/>
                <w:color w:val="262626"/>
                <w:sz w:val="19"/>
              </w:rPr>
              <w:t>Type of broadband connection</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DSL, Fiber optic, No</w:t>
            </w:r>
          </w:p>
        </w:tc>
      </w:tr>
      <w:tr>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OnlineSecurity</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character</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factor (3 levels)</w:t>
            </w:r>
          </w:p>
        </w:tc>
        <w:tc>
          <w:tcPr>
            <w:tcW w:type="dxa" w:w="2880"/>
            <w:shd w:val="clear" w:color="auto" w:fill="F7F9FC"/>
            <w:tcMar>
              <w:top w:w="80" w:type="dxa"/>
              <w:bottom w:w="80" w:type="dxa"/>
              <w:left w:w="100" w:type="dxa"/>
              <w:right w:w="100" w:type="dxa"/>
            </w:tcMar>
          </w:tcPr>
          <w:p>
            <w:pPr>
              <w:jc w:val="left"/>
            </w:pPr>
            <w:r>
              <w:rPr>
                <w:rFonts w:ascii="Calibri" w:hAnsi="Calibri"/>
                <w:color w:val="262626"/>
                <w:sz w:val="19"/>
              </w:rPr>
              <w:t>Add-on cybersecurity subscription</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Yes, No, No internet service</w:t>
            </w:r>
          </w:p>
        </w:tc>
      </w:tr>
      <w:tr>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OnlineBackup</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character</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factor (3 levels)</w:t>
            </w:r>
          </w:p>
        </w:tc>
        <w:tc>
          <w:tcPr>
            <w:tcW w:type="dxa" w:w="2880"/>
            <w:shd w:val="clear" w:color="auto" w:fill="FFFFFF"/>
            <w:tcMar>
              <w:top w:w="80" w:type="dxa"/>
              <w:bottom w:w="80" w:type="dxa"/>
              <w:left w:w="100" w:type="dxa"/>
              <w:right w:w="100" w:type="dxa"/>
            </w:tcMar>
          </w:tcPr>
          <w:p>
            <w:pPr>
              <w:jc w:val="left"/>
            </w:pPr>
            <w:r>
              <w:rPr>
                <w:rFonts w:ascii="Calibri" w:hAnsi="Calibri"/>
                <w:color w:val="262626"/>
                <w:sz w:val="19"/>
              </w:rPr>
              <w:t>Add-on cloud backup subscription</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Yes, No, No internet service</w:t>
            </w:r>
          </w:p>
        </w:tc>
      </w:tr>
      <w:tr>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DeviceProtection</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character</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factor (3 levels)</w:t>
            </w:r>
          </w:p>
        </w:tc>
        <w:tc>
          <w:tcPr>
            <w:tcW w:type="dxa" w:w="2880"/>
            <w:shd w:val="clear" w:color="auto" w:fill="F7F9FC"/>
            <w:tcMar>
              <w:top w:w="80" w:type="dxa"/>
              <w:bottom w:w="80" w:type="dxa"/>
              <w:left w:w="100" w:type="dxa"/>
              <w:right w:w="100" w:type="dxa"/>
            </w:tcMar>
          </w:tcPr>
          <w:p>
            <w:pPr>
              <w:jc w:val="left"/>
            </w:pPr>
            <w:r>
              <w:rPr>
                <w:rFonts w:ascii="Calibri" w:hAnsi="Calibri"/>
                <w:color w:val="262626"/>
                <w:sz w:val="19"/>
              </w:rPr>
              <w:t>Add-on equipment insurance warranty</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Yes, No, No internet service</w:t>
            </w:r>
          </w:p>
        </w:tc>
      </w:tr>
      <w:tr>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TechSupport</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character</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factor (3 levels)</w:t>
            </w:r>
          </w:p>
        </w:tc>
        <w:tc>
          <w:tcPr>
            <w:tcW w:type="dxa" w:w="2880"/>
            <w:shd w:val="clear" w:color="auto" w:fill="FFFFFF"/>
            <w:tcMar>
              <w:top w:w="80" w:type="dxa"/>
              <w:bottom w:w="80" w:type="dxa"/>
              <w:left w:w="100" w:type="dxa"/>
              <w:right w:w="100" w:type="dxa"/>
            </w:tcMar>
          </w:tcPr>
          <w:p>
            <w:pPr>
              <w:jc w:val="left"/>
            </w:pPr>
            <w:r>
              <w:rPr>
                <w:rFonts w:ascii="Calibri" w:hAnsi="Calibri"/>
                <w:color w:val="262626"/>
                <w:sz w:val="19"/>
              </w:rPr>
              <w:t>Dedicated premium technical assistance</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Yes, No, No internet service</w:t>
            </w:r>
          </w:p>
        </w:tc>
      </w:tr>
      <w:tr>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StreamingTV</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character</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factor (3 levels)</w:t>
            </w:r>
          </w:p>
        </w:tc>
        <w:tc>
          <w:tcPr>
            <w:tcW w:type="dxa" w:w="2880"/>
            <w:shd w:val="clear" w:color="auto" w:fill="F7F9FC"/>
            <w:tcMar>
              <w:top w:w="80" w:type="dxa"/>
              <w:bottom w:w="80" w:type="dxa"/>
              <w:left w:w="100" w:type="dxa"/>
              <w:right w:w="100" w:type="dxa"/>
            </w:tcMar>
          </w:tcPr>
          <w:p>
            <w:pPr>
              <w:jc w:val="left"/>
            </w:pPr>
            <w:r>
              <w:rPr>
                <w:rFonts w:ascii="Calibri" w:hAnsi="Calibri"/>
                <w:color w:val="262626"/>
                <w:sz w:val="19"/>
              </w:rPr>
              <w:t>IPTV streaming television add-on</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Yes, No, No internet service</w:t>
            </w:r>
          </w:p>
        </w:tc>
      </w:tr>
      <w:tr>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StreamingMovies</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character</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factor (3 levels)</w:t>
            </w:r>
          </w:p>
        </w:tc>
        <w:tc>
          <w:tcPr>
            <w:tcW w:type="dxa" w:w="2880"/>
            <w:shd w:val="clear" w:color="auto" w:fill="FFFFFF"/>
            <w:tcMar>
              <w:top w:w="80" w:type="dxa"/>
              <w:bottom w:w="80" w:type="dxa"/>
              <w:left w:w="100" w:type="dxa"/>
              <w:right w:w="100" w:type="dxa"/>
            </w:tcMar>
          </w:tcPr>
          <w:p>
            <w:pPr>
              <w:jc w:val="left"/>
            </w:pPr>
            <w:r>
              <w:rPr>
                <w:rFonts w:ascii="Calibri" w:hAnsi="Calibri"/>
                <w:color w:val="262626"/>
                <w:sz w:val="19"/>
              </w:rPr>
              <w:t>Digital movie streaming add-on</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Yes, No, No internet service</w:t>
            </w:r>
          </w:p>
        </w:tc>
      </w:tr>
      <w:tr>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Contract</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character</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ordered factor</w:t>
            </w:r>
          </w:p>
        </w:tc>
        <w:tc>
          <w:tcPr>
            <w:tcW w:type="dxa" w:w="2880"/>
            <w:shd w:val="clear" w:color="auto" w:fill="F7F9FC"/>
            <w:tcMar>
              <w:top w:w="80" w:type="dxa"/>
              <w:bottom w:w="80" w:type="dxa"/>
              <w:left w:w="100" w:type="dxa"/>
              <w:right w:w="100" w:type="dxa"/>
            </w:tcMar>
          </w:tcPr>
          <w:p>
            <w:pPr>
              <w:jc w:val="left"/>
            </w:pPr>
            <w:r>
              <w:rPr>
                <w:rFonts w:ascii="Calibri" w:hAnsi="Calibri"/>
                <w:color w:val="262626"/>
                <w:sz w:val="19"/>
              </w:rPr>
              <w:t>Contractual commitment period</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Month-to-month, One year, Two year</w:t>
            </w:r>
          </w:p>
        </w:tc>
      </w:tr>
      <w:tr>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PaperlessBilling</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character</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factor (2 levels)</w:t>
            </w:r>
          </w:p>
        </w:tc>
        <w:tc>
          <w:tcPr>
            <w:tcW w:type="dxa" w:w="2880"/>
            <w:shd w:val="clear" w:color="auto" w:fill="FFFFFF"/>
            <w:tcMar>
              <w:top w:w="80" w:type="dxa"/>
              <w:bottom w:w="80" w:type="dxa"/>
              <w:left w:w="100" w:type="dxa"/>
              <w:right w:w="100" w:type="dxa"/>
            </w:tcMar>
          </w:tcPr>
          <w:p>
            <w:pPr>
              <w:jc w:val="left"/>
            </w:pPr>
            <w:r>
              <w:rPr>
                <w:rFonts w:ascii="Calibri" w:hAnsi="Calibri"/>
                <w:color w:val="262626"/>
                <w:sz w:val="19"/>
              </w:rPr>
              <w:t>Electronic invoicing opted-in</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Yes, No</w:t>
            </w:r>
          </w:p>
        </w:tc>
      </w:tr>
      <w:tr>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PaymentMethod</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character</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factor (4 levels)</w:t>
            </w:r>
          </w:p>
        </w:tc>
        <w:tc>
          <w:tcPr>
            <w:tcW w:type="dxa" w:w="2880"/>
            <w:shd w:val="clear" w:color="auto" w:fill="F7F9FC"/>
            <w:tcMar>
              <w:top w:w="80" w:type="dxa"/>
              <w:bottom w:w="80" w:type="dxa"/>
              <w:left w:w="100" w:type="dxa"/>
              <w:right w:w="100" w:type="dxa"/>
            </w:tcMar>
          </w:tcPr>
          <w:p>
            <w:pPr>
              <w:jc w:val="left"/>
            </w:pPr>
            <w:r>
              <w:rPr>
                <w:rFonts w:ascii="Calibri" w:hAnsi="Calibri"/>
                <w:color w:val="262626"/>
                <w:sz w:val="19"/>
              </w:rPr>
              <w:t>Primary billing transaction medium</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Electronic check, Mailed check, etc.</w:t>
            </w:r>
          </w:p>
        </w:tc>
      </w:tr>
      <w:tr>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MonthlyCharges</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numeric</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numeric ($)</w:t>
            </w:r>
          </w:p>
        </w:tc>
        <w:tc>
          <w:tcPr>
            <w:tcW w:type="dxa" w:w="2880"/>
            <w:shd w:val="clear" w:color="auto" w:fill="FFFFFF"/>
            <w:tcMar>
              <w:top w:w="80" w:type="dxa"/>
              <w:bottom w:w="80" w:type="dxa"/>
              <w:left w:w="100" w:type="dxa"/>
              <w:right w:w="100" w:type="dxa"/>
            </w:tcMar>
          </w:tcPr>
          <w:p>
            <w:pPr>
              <w:jc w:val="left"/>
            </w:pPr>
            <w:r>
              <w:rPr>
                <w:rFonts w:ascii="Calibri" w:hAnsi="Calibri"/>
                <w:color w:val="262626"/>
                <w:sz w:val="19"/>
              </w:rPr>
              <w:t>Current recurring monthly charge amount</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29.85, 56.95, 53.85, 42.30</w:t>
            </w:r>
          </w:p>
        </w:tc>
      </w:tr>
      <w:tr>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TotalCharges</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character (!)</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numeric ($)</w:t>
            </w:r>
          </w:p>
        </w:tc>
        <w:tc>
          <w:tcPr>
            <w:tcW w:type="dxa" w:w="2880"/>
            <w:shd w:val="clear" w:color="auto" w:fill="F7F9FC"/>
            <w:tcMar>
              <w:top w:w="80" w:type="dxa"/>
              <w:bottom w:w="80" w:type="dxa"/>
              <w:left w:w="100" w:type="dxa"/>
              <w:right w:w="100" w:type="dxa"/>
            </w:tcMar>
          </w:tcPr>
          <w:p>
            <w:pPr>
              <w:jc w:val="left"/>
            </w:pPr>
            <w:r>
              <w:rPr>
                <w:rFonts w:ascii="Calibri" w:hAnsi="Calibri"/>
                <w:color w:val="262626"/>
                <w:sz w:val="19"/>
              </w:rPr>
              <w:t>Cumulative lifetime bill amount (contains blanks)</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'29.85', '1889.5', ' ' (blank)</w:t>
            </w:r>
          </w:p>
        </w:tc>
      </w:tr>
      <w:tr>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Churn</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character</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factor / Binary</w:t>
            </w:r>
          </w:p>
        </w:tc>
        <w:tc>
          <w:tcPr>
            <w:tcW w:type="dxa" w:w="2880"/>
            <w:shd w:val="clear" w:color="auto" w:fill="FFFFFF"/>
            <w:tcMar>
              <w:top w:w="80" w:type="dxa"/>
              <w:bottom w:w="80" w:type="dxa"/>
              <w:left w:w="100" w:type="dxa"/>
              <w:right w:w="100" w:type="dxa"/>
            </w:tcMar>
          </w:tcPr>
          <w:p>
            <w:pPr>
              <w:jc w:val="left"/>
            </w:pPr>
            <w:r>
              <w:rPr>
                <w:rFonts w:ascii="Calibri" w:hAnsi="Calibri"/>
                <w:color w:val="262626"/>
                <w:sz w:val="19"/>
              </w:rPr>
              <w:t>Target event: account cancelled in past month</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No, Yes</w:t>
            </w:r>
          </w:p>
        </w:tc>
      </w:tr>
    </w:tbl>
    <w:p>
      <w:pPr>
        <w:spacing w:after="120"/>
      </w:pPr>
    </w:p>
    <w:p>
      <w:pPr>
        <w:keepNext/>
        <w:spacing w:before="280" w:after="80"/>
      </w:pPr>
      <w:r>
        <w:rPr>
          <w:rFonts w:ascii="Calibri" w:hAnsi="Calibri"/>
          <w:b/>
          <w:color w:val="2F5597"/>
          <w:sz w:val="26"/>
        </w:rPr>
        <w:t>2.2 Initial Structural Inspection via R</w:t>
      </w:r>
    </w:p>
    <w:p>
      <w:pPr>
        <w:spacing w:before="0" w:after="120" w:line="276" w:lineRule="auto"/>
      </w:pPr>
      <w:r>
        <w:rPr>
          <w:rFonts w:ascii="Calibri" w:hAnsi="Calibri"/>
          <w:color w:val="262626"/>
          <w:sz w:val="22"/>
        </w:rPr>
        <w:t>To examine the raw file, I utilized base R's str() and summary() functions. Below is the code snippet used to inspect dataset dimensions and variable types:</w:t>
      </w: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60" w:type="dxa"/>
              <w:right w:w="160" w:type="dxa"/>
            </w:tcMar>
            <w:tcBorders>
              <w:top w:val="single" w:sz="4" w:space="0" w:color="D0D7DE"/>
              <w:bottom w:val="single" w:sz="4" w:space="0" w:color="D0D7DE"/>
              <w:left w:val="single" w:sz="4" w:space="0" w:color="D0D7DE"/>
              <w:right w:val="single" w:sz="4" w:space="0" w:color="D0D7DE"/>
            </w:tcBorders>
          </w:tcPr>
          <w:p>
            <w:pPr>
              <w:spacing w:before="40" w:after="40"/>
            </w:pPr>
            <w:r>
              <w:rPr>
                <w:rFonts w:ascii="Consolas" w:hAnsi="Consolas"/>
                <w:color w:val="1A1A1A"/>
                <w:sz w:val="18"/>
              </w:rPr>
              <w:t># Step 1: Read raw CSV with string handling</w:t>
              <w:br/>
              <w:t>raw_df &lt;- read.csv('WA_Fn-UseC_-Telco-Customer-Churn.csv', stringsAsFactors = FALSE)</w:t>
              <w:br/>
              <w:br/>
              <w:t># Verify structural dimensions</w:t>
              <w:br/>
              <w:t>dim(raw_df)</w:t>
              <w:br/>
              <w:t># [1] 7043   21</w:t>
              <w:br/>
              <w:br/>
              <w:t># Display internal structure</w:t>
              <w:br/>
              <w:t>str(raw_df, list.len = 6)</w:t>
            </w:r>
          </w:p>
        </w:tc>
      </w:tr>
    </w:tbl>
    <w:p>
      <w:pPr>
        <w:spacing w:before="0" w:after="80"/>
      </w:pPr>
    </w:p>
    <w:p>
      <w:pPr>
        <w:spacing w:before="0" w:after="120" w:line="276" w:lineRule="auto"/>
      </w:pPr>
      <w:r>
        <w:rPr>
          <w:rFonts w:ascii="Calibri" w:hAnsi="Calibri"/>
          <w:color w:val="262626"/>
          <w:sz w:val="22"/>
        </w:rPr>
        <w:t>Execution output confirmed 7,043 rows and 21 columns. Crucially, the inspection highlighted that TotalCharges was parsed as character rather than numeric. This immediately signaled the presence of non-numeric characters or whitespace entries requiring programmatic isolation.</w:t>
      </w:r>
    </w:p>
    <w:p>
      <w:pPr>
        <w:keepNext/>
        <w:spacing w:before="360" w:after="120"/>
      </w:pPr>
      <w:r>
        <w:rPr>
          <w:rFonts w:ascii="Calibri" w:hAnsi="Calibri"/>
          <w:b/>
          <w:color w:val="1F4E79"/>
          <w:sz w:val="32"/>
        </w:rPr>
        <w:t>3. Data Cleaning &amp; Preprocessing Methodology</w:t>
      </w:r>
    </w:p>
    <w:p>
      <w:pPr>
        <w:spacing w:before="0" w:after="120" w:line="276" w:lineRule="auto"/>
      </w:pPr>
      <w:r>
        <w:rPr>
          <w:rFonts w:ascii="Calibri" w:hAnsi="Calibri"/>
          <w:color w:val="262626"/>
          <w:sz w:val="22"/>
        </w:rPr>
        <w:t>Data cleaning is the bedrock of dependable statistical inference. In corporate environments, applying careless automated procedures—such as dropping all incomplete rows or blindly imputing column medians—can introduce severe sample selection bias. My approach prioritized root-cause diagnosis prior to any data manipulation.</w:t>
      </w:r>
    </w:p>
    <w:p>
      <w:pPr>
        <w:keepNext/>
        <w:spacing w:before="280" w:after="80"/>
      </w:pPr>
      <w:r>
        <w:rPr>
          <w:rFonts w:ascii="Calibri" w:hAnsi="Calibri"/>
          <w:b/>
          <w:color w:val="2F5597"/>
          <w:sz w:val="26"/>
        </w:rPr>
        <w:t>3.1 Forensic Diagnosis of Missing Values in TotalCharges</w:t>
      </w:r>
    </w:p>
    <w:p>
      <w:pPr>
        <w:spacing w:before="0" w:after="120" w:line="276" w:lineRule="auto"/>
      </w:pPr>
      <w:r>
        <w:rPr>
          <w:rFonts w:ascii="Calibri" w:hAnsi="Calibri"/>
          <w:color w:val="262626"/>
          <w:sz w:val="22"/>
        </w:rPr>
        <w:t>I converted empty strings and whitespace in TotalCharges to NA values, which revealed exactly 11 missing records. To determine whether these missing values were Missing Completely at Random (MCAR) or Missing Systematically (MAR), I filtered and cross-tabulated them against other customer attributes:</w:t>
      </w: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60" w:type="dxa"/>
              <w:right w:w="160" w:type="dxa"/>
            </w:tcMar>
            <w:tcBorders>
              <w:top w:val="single" w:sz="4" w:space="0" w:color="D0D7DE"/>
              <w:bottom w:val="single" w:sz="4" w:space="0" w:color="D0D7DE"/>
              <w:left w:val="single" w:sz="4" w:space="0" w:color="D0D7DE"/>
              <w:right w:val="single" w:sz="4" w:space="0" w:color="D0D7DE"/>
            </w:tcBorders>
          </w:tcPr>
          <w:p>
            <w:pPr>
              <w:spacing w:before="40" w:after="40"/>
            </w:pPr>
            <w:r>
              <w:rPr>
                <w:rFonts w:ascii="Consolas" w:hAnsi="Consolas"/>
                <w:color w:val="1A1A1A"/>
                <w:sz w:val="18"/>
              </w:rPr>
              <w:t># Isolate records where TotalCharges is blank or whitespace</w:t>
              <w:br/>
              <w:t>blank_mask &lt;- trimws(raw_df$TotalCharges) == '' | is.na(raw_df$TotalCharges)</w:t>
              <w:br/>
              <w:t>cat('Number of blank TotalCharges entries:', sum(blank_mask), '\n')</w:t>
              <w:br/>
              <w:br/>
              <w:t># Inspect tenure for these specific accounts</w:t>
              <w:br/>
              <w:t>table(raw_df$tenure[blank_mask])</w:t>
              <w:br/>
              <w:t># tenure</w:t>
              <w:br/>
              <w:t xml:space="preserve">#  0 </w:t>
              <w:br/>
              <w:t># 11</w:t>
            </w:r>
          </w:p>
        </w:tc>
      </w:tr>
    </w:tbl>
    <w:p>
      <w:pPr>
        <w:spacing w:before="0" w:after="80"/>
      </w:pPr>
    </w:p>
    <w:p>
      <w:pPr>
        <w:spacing w:before="0" w:after="120" w:line="276" w:lineRule="auto"/>
      </w:pPr>
      <w:r>
        <w:rPr>
          <w:rFonts w:ascii="Calibri" w:hAnsi="Calibri"/>
          <w:color w:val="262626"/>
          <w:sz w:val="22"/>
        </w:rPr>
        <w:t>The result was conclusive: all 11 customers with missing TotalCharges had a tenure of exactly 0 months. This represents a distinct business reality: these accounts were onboarded during the active billing cycle and had not yet completed their first month of service. Because they had not received an initial bill, their cumulative expenditure was naturally zero.</w:t>
      </w:r>
    </w:p>
    <w:p>
      <w:pPr>
        <w:spacing w:before="160" w:after="80"/>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fig1_missing_values.png"/>
                    <pic:cNvPicPr/>
                  </pic:nvPicPr>
                  <pic:blipFill>
                    <a:blip r:embed="rId9"/>
                    <a:stretch>
                      <a:fillRect/>
                    </a:stretch>
                  </pic:blipFill>
                  <pic:spPr>
                    <a:xfrm>
                      <a:off x="0" y="0"/>
                      <a:ext cx="5486400" cy="3086100"/>
                    </a:xfrm>
                    <a:prstGeom prst="rect"/>
                  </pic:spPr>
                </pic:pic>
              </a:graphicData>
            </a:graphic>
          </wp:inline>
        </w:drawing>
      </w:r>
    </w:p>
    <w:p>
      <w:pPr>
        <w:spacing w:before="0" w:after="200"/>
        <w:jc w:val="center"/>
      </w:pPr>
      <w:r>
        <w:rPr>
          <w:rFonts w:ascii="Calibri" w:hAnsi="Calibri"/>
          <w:i/>
          <w:color w:val="555555"/>
          <w:sz w:val="19"/>
        </w:rPr>
        <w:t>Figure 1: Missing Data Audit in TotalCharges Column (N = 7,043). Every missing record correlates with tenure = 0.</w:t>
      </w:r>
    </w:p>
    <w:p>
      <w:pPr>
        <w:spacing w:before="0" w:after="120" w:line="276" w:lineRule="auto"/>
      </w:pPr>
      <w:r>
        <w:rPr>
          <w:rFonts w:ascii="Calibri" w:hAnsi="Calibri"/>
          <w:color w:val="262626"/>
          <w:sz w:val="22"/>
        </w:rPr>
        <w:t>Handling Decision: Imputing the overall median ($1,397.48) or mean ($2,283.30) would have fabricated significant lifetime spending for customers who had been active for zero days. Dropping the rows would unnecessarily discard 11 valid observations. Therefore, the analytically sound decision was to impute TotalCharges = 0 for all records where tenure == 0:</w:t>
      </w: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60" w:type="dxa"/>
              <w:right w:w="160" w:type="dxa"/>
            </w:tcMar>
            <w:tcBorders>
              <w:top w:val="single" w:sz="4" w:space="0" w:color="D0D7DE"/>
              <w:bottom w:val="single" w:sz="4" w:space="0" w:color="D0D7DE"/>
              <w:left w:val="single" w:sz="4" w:space="0" w:color="D0D7DE"/>
              <w:right w:val="single" w:sz="4" w:space="0" w:color="D0D7DE"/>
            </w:tcBorders>
          </w:tcPr>
          <w:p>
            <w:pPr>
              <w:spacing w:before="40" w:after="40"/>
            </w:pPr>
            <w:r>
              <w:rPr>
                <w:rFonts w:ascii="Consolas" w:hAnsi="Consolas"/>
                <w:color w:val="1A1A1A"/>
                <w:sz w:val="18"/>
              </w:rPr>
              <w:t># Clean conversion and domain-grounded imputation</w:t>
              <w:br/>
              <w:t>clean_df &lt;- raw_df</w:t>
              <w:br/>
              <w:t>clean_df$TotalCharges &lt;- as.numeric(trimws(clean_df$TotalCharges))</w:t>
              <w:br/>
              <w:t>clean_df$TotalCharges[is.na(clean_df$TotalCharges)] &lt;- 0</w:t>
              <w:br/>
              <w:br/>
              <w:t># Verify zero remaining NAs across the entire dataframe</w:t>
              <w:br/>
              <w:t>sum(is.na(clean_df))</w:t>
              <w:br/>
              <w:t># [1] 0</w:t>
            </w:r>
          </w:p>
        </w:tc>
      </w:tr>
    </w:tbl>
    <w:p>
      <w:pPr>
        <w:spacing w:before="0" w:after="80"/>
      </w:pPr>
    </w:p>
    <w:p>
      <w:pPr>
        <w:keepNext/>
        <w:spacing w:before="280" w:after="80"/>
      </w:pPr>
      <w:r>
        <w:rPr>
          <w:rFonts w:ascii="Calibri" w:hAnsi="Calibri"/>
          <w:b/>
          <w:color w:val="2F5597"/>
          <w:sz w:val="26"/>
        </w:rPr>
        <w:t>3.2 Categorical Recoding &amp; Inconsistent Sub-Levels</w:t>
      </w:r>
    </w:p>
    <w:p>
      <w:pPr>
        <w:spacing w:before="0" w:after="120" w:line="276" w:lineRule="auto"/>
      </w:pPr>
      <w:r>
        <w:rPr>
          <w:rFonts w:ascii="Calibri" w:hAnsi="Calibri"/>
          <w:color w:val="262626"/>
          <w:sz w:val="22"/>
        </w:rPr>
        <w:t>Several categorical variables contained redundant sub-levels that unnecessarily inflated dimensionality without adding informational value:</w:t>
      </w:r>
    </w:p>
    <w:p>
      <w:pPr>
        <w:spacing w:before="40" w:after="60"/>
        <w:ind w:left="360"/>
      </w:pPr>
      <w:r>
        <w:rPr>
          <w:b/>
          <w:color w:val="1F4E79"/>
        </w:rPr>
        <w:t xml:space="preserve">• SeniorCitizen Recoding: </w:t>
      </w:r>
      <w:r>
        <w:t>SeniorCitizen was initially coded as an integer (0 or 1). While mathematically functional, it is conceptually a binary demographic factor. I converted it to a descriptive factor with levels 'No' and 'Yes' for cleaner cross-tabulations and human-readable charting.</w:t>
      </w:r>
    </w:p>
    <w:p>
      <w:pPr>
        <w:spacing w:before="40" w:after="60"/>
        <w:ind w:left="360"/>
      </w:pPr>
      <w:r>
        <w:rPr>
          <w:b/>
          <w:color w:val="1F4E79"/>
        </w:rPr>
        <w:t xml:space="preserve">• Redundant Service Flags: </w:t>
      </w:r>
      <w:r>
        <w:t>Features such as MultipleLines, OnlineSecurity, OnlineBackup, DeviceProtection, TechSupport, StreamingTV, and StreamingMovies contained three distinct levels: 'Yes', 'No', and 'No phone service' / 'No internet service'. Because the primary service status is already captured in the PhoneService and InternetService columns, having these secondary negative flags creates collinearity. For binary feature modeling, these negative sub-levels were harmonized into 'No'.</w:t>
      </w:r>
    </w:p>
    <w:p>
      <w:pPr>
        <w:spacing w:before="40" w:after="60"/>
        <w:ind w:left="360"/>
      </w:pPr>
      <w:r>
        <w:rPr>
          <w:b/>
          <w:color w:val="1F4E79"/>
        </w:rPr>
        <w:t xml:space="preserve">• Target Variable Harmonization: </w:t>
      </w:r>
      <w:r>
        <w:t>The response variable Churn was maintained as a 2-level factor ('No', 'Yes') for descriptive analysis, and an auxiliary binary integer column (Churn_Binary: 0 for No, 1 for Yes) was generated for correlation matrix computation.</w:t>
      </w:r>
    </w:p>
    <w:p>
      <w:pPr>
        <w:keepNext/>
        <w:spacing w:before="360" w:after="120"/>
      </w:pPr>
      <w:r>
        <w:rPr>
          <w:rFonts w:ascii="Calibri" w:hAnsi="Calibri"/>
          <w:b/>
          <w:color w:val="1F4E79"/>
          <w:sz w:val="32"/>
        </w:rPr>
        <w:t>4. Outlier Detection &amp; Anomaly Audit</w:t>
      </w:r>
    </w:p>
    <w:p>
      <w:pPr>
        <w:spacing w:before="0" w:after="120" w:line="276" w:lineRule="auto"/>
      </w:pPr>
      <w:r>
        <w:rPr>
          <w:rFonts w:ascii="Calibri" w:hAnsi="Calibri"/>
          <w:color w:val="262626"/>
          <w:sz w:val="22"/>
        </w:rPr>
        <w:t>To evaluate whether the continuous numerical variables (tenure, MonthlyCharges, TotalCharges) contained erroneous anomalies or distortive outliers, I applied Tukey's standard 1.5 x Interquartile Range (IQR) fence rule.</w:t>
      </w:r>
    </w:p>
    <w:p>
      <w:pPr>
        <w:keepNext/>
        <w:spacing w:before="280" w:after="80"/>
      </w:pPr>
      <w:r>
        <w:rPr>
          <w:rFonts w:ascii="Calibri" w:hAnsi="Calibri"/>
          <w:b/>
          <w:color w:val="2F5597"/>
          <w:sz w:val="26"/>
        </w:rPr>
        <w:t>4.1 Tukey's 1.5 x IQR Evaluation</w:t>
      </w:r>
    </w:p>
    <w:p>
      <w:pPr>
        <w:spacing w:before="0" w:after="120" w:line="276" w:lineRule="auto"/>
      </w:pPr>
      <w:r>
        <w:rPr>
          <w:rFonts w:ascii="Calibri" w:hAnsi="Calibri"/>
          <w:color w:val="262626"/>
          <w:sz w:val="22"/>
        </w:rPr>
        <w:t>The table below documents the calculated first quartile (Q1), third quartile (Q3), IQR, and corresponding inner fences for each continuous feature: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shd w:val="clear" w:color="auto" w:fill="1F4E79"/>
            <w:tcMar>
              <w:top w:w="120" w:type="dxa"/>
              <w:bottom w:w="120" w:type="dxa"/>
              <w:left w:w="120" w:type="dxa"/>
              <w:right w:w="120" w:type="dxa"/>
            </w:tcMar>
          </w:tcPr>
          <w:p>
            <w:pPr>
              <w:jc w:val="left"/>
            </w:pPr>
            <w:r>
              <w:rPr>
                <w:rFonts w:ascii="Calibri" w:hAnsi="Calibri"/>
                <w:b/>
                <w:color w:val="FFFFFF"/>
                <w:sz w:val="20"/>
              </w:rPr>
              <w:t>Continuous Variable</w:t>
            </w:r>
          </w:p>
        </w:tc>
        <w:tc>
          <w:tcPr>
            <w:tcW w:type="dxa" w:w="1152"/>
            <w:shd w:val="clear" w:color="auto" w:fill="1F4E79"/>
            <w:tcMar>
              <w:top w:w="120" w:type="dxa"/>
              <w:bottom w:w="120" w:type="dxa"/>
              <w:left w:w="120" w:type="dxa"/>
              <w:right w:w="120" w:type="dxa"/>
            </w:tcMar>
          </w:tcPr>
          <w:p>
            <w:pPr>
              <w:jc w:val="left"/>
            </w:pPr>
            <w:r>
              <w:rPr>
                <w:rFonts w:ascii="Calibri" w:hAnsi="Calibri"/>
                <w:b/>
                <w:color w:val="FFFFFF"/>
                <w:sz w:val="20"/>
              </w:rPr>
              <w:t>Q1 (25th)</w:t>
            </w:r>
          </w:p>
        </w:tc>
        <w:tc>
          <w:tcPr>
            <w:tcW w:type="dxa" w:w="1152"/>
            <w:shd w:val="clear" w:color="auto" w:fill="1F4E79"/>
            <w:tcMar>
              <w:top w:w="120" w:type="dxa"/>
              <w:bottom w:w="120" w:type="dxa"/>
              <w:left w:w="120" w:type="dxa"/>
              <w:right w:w="120" w:type="dxa"/>
            </w:tcMar>
          </w:tcPr>
          <w:p>
            <w:pPr>
              <w:jc w:val="left"/>
            </w:pPr>
            <w:r>
              <w:rPr>
                <w:rFonts w:ascii="Calibri" w:hAnsi="Calibri"/>
                <w:b/>
                <w:color w:val="FFFFFF"/>
                <w:sz w:val="20"/>
              </w:rPr>
              <w:t>Q3 (75th)</w:t>
            </w:r>
          </w:p>
        </w:tc>
        <w:tc>
          <w:tcPr>
            <w:tcW w:type="dxa" w:w="1152"/>
            <w:shd w:val="clear" w:color="auto" w:fill="1F4E79"/>
            <w:tcMar>
              <w:top w:w="120" w:type="dxa"/>
              <w:bottom w:w="120" w:type="dxa"/>
              <w:left w:w="120" w:type="dxa"/>
              <w:right w:w="120" w:type="dxa"/>
            </w:tcMar>
          </w:tcPr>
          <w:p>
            <w:pPr>
              <w:jc w:val="left"/>
            </w:pPr>
            <w:r>
              <w:rPr>
                <w:rFonts w:ascii="Calibri" w:hAnsi="Calibri"/>
                <w:b/>
                <w:color w:val="FFFFFF"/>
                <w:sz w:val="20"/>
              </w:rPr>
              <w:t>IQR</w:t>
            </w:r>
          </w:p>
        </w:tc>
        <w:tc>
          <w:tcPr>
            <w:tcW w:type="dxa" w:w="1728"/>
            <w:shd w:val="clear" w:color="auto" w:fill="1F4E79"/>
            <w:tcMar>
              <w:top w:w="120" w:type="dxa"/>
              <w:bottom w:w="120" w:type="dxa"/>
              <w:left w:w="120" w:type="dxa"/>
              <w:right w:w="120" w:type="dxa"/>
            </w:tcMar>
          </w:tcPr>
          <w:p>
            <w:pPr>
              <w:jc w:val="left"/>
            </w:pPr>
            <w:r>
              <w:rPr>
                <w:rFonts w:ascii="Calibri" w:hAnsi="Calibri"/>
                <w:b/>
                <w:color w:val="FFFFFF"/>
                <w:sz w:val="20"/>
              </w:rPr>
              <w:t>Lower Fence (Q1 - 1.5*IQR)</w:t>
            </w:r>
          </w:p>
        </w:tc>
        <w:tc>
          <w:tcPr>
            <w:tcW w:type="dxa" w:w="1728"/>
            <w:shd w:val="clear" w:color="auto" w:fill="1F4E79"/>
            <w:tcMar>
              <w:top w:w="120" w:type="dxa"/>
              <w:bottom w:w="120" w:type="dxa"/>
              <w:left w:w="120" w:type="dxa"/>
              <w:right w:w="120" w:type="dxa"/>
            </w:tcMar>
          </w:tcPr>
          <w:p>
            <w:pPr>
              <w:jc w:val="left"/>
            </w:pPr>
            <w:r>
              <w:rPr>
                <w:rFonts w:ascii="Calibri" w:hAnsi="Calibri"/>
                <w:b/>
                <w:color w:val="FFFFFF"/>
                <w:sz w:val="20"/>
              </w:rPr>
              <w:t>Upper Fence (Q3 + 1.5*IQR)</w:t>
            </w:r>
          </w:p>
        </w:tc>
        <w:tc>
          <w:tcPr>
            <w:tcW w:type="dxa" w:w="1296"/>
            <w:shd w:val="clear" w:color="auto" w:fill="1F4E79"/>
            <w:tcMar>
              <w:top w:w="120" w:type="dxa"/>
              <w:bottom w:w="120" w:type="dxa"/>
              <w:left w:w="120" w:type="dxa"/>
              <w:right w:w="120" w:type="dxa"/>
            </w:tcMar>
          </w:tcPr>
          <w:p>
            <w:pPr>
              <w:jc w:val="left"/>
            </w:pPr>
            <w:r>
              <w:rPr>
                <w:rFonts w:ascii="Calibri" w:hAnsi="Calibri"/>
                <w:b/>
                <w:color w:val="FFFFFF"/>
                <w:sz w:val="20"/>
              </w:rPr>
              <w:t>Outlier Count</w:t>
            </w:r>
          </w:p>
        </w:tc>
      </w:tr>
      <w:tr>
        <w:tc>
          <w:tcPr>
            <w:tcW w:type="dxa" w:w="2160"/>
            <w:shd w:val="clear" w:color="auto" w:fill="FFFFFF"/>
            <w:tcMar>
              <w:top w:w="80" w:type="dxa"/>
              <w:bottom w:w="80" w:type="dxa"/>
              <w:left w:w="100" w:type="dxa"/>
              <w:right w:w="100" w:type="dxa"/>
            </w:tcMar>
          </w:tcPr>
          <w:p>
            <w:pPr>
              <w:jc w:val="left"/>
            </w:pPr>
            <w:r>
              <w:rPr>
                <w:rFonts w:ascii="Calibri" w:hAnsi="Calibri"/>
                <w:color w:val="262626"/>
                <w:sz w:val="19"/>
              </w:rPr>
              <w:t>tenure (months)</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9.00</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55.00</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46.00</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-60.00</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124.00</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0 (0.00%)</w:t>
            </w:r>
          </w:p>
        </w:tc>
      </w:tr>
      <w:tr>
        <w:tc>
          <w:tcPr>
            <w:tcW w:type="dxa" w:w="2160"/>
            <w:shd w:val="clear" w:color="auto" w:fill="F7F9FC"/>
            <w:tcMar>
              <w:top w:w="80" w:type="dxa"/>
              <w:bottom w:w="80" w:type="dxa"/>
              <w:left w:w="100" w:type="dxa"/>
              <w:right w:w="100" w:type="dxa"/>
            </w:tcMar>
          </w:tcPr>
          <w:p>
            <w:pPr>
              <w:jc w:val="left"/>
            </w:pPr>
            <w:r>
              <w:rPr>
                <w:rFonts w:ascii="Calibri" w:hAnsi="Calibri"/>
                <w:color w:val="262626"/>
                <w:sz w:val="19"/>
              </w:rPr>
              <w:t>MonthlyCharges ($)</w:t>
            </w:r>
          </w:p>
        </w:tc>
        <w:tc>
          <w:tcPr>
            <w:tcW w:type="dxa" w:w="1152"/>
            <w:shd w:val="clear" w:color="auto" w:fill="F7F9FC"/>
            <w:tcMar>
              <w:top w:w="80" w:type="dxa"/>
              <w:bottom w:w="80" w:type="dxa"/>
              <w:left w:w="100" w:type="dxa"/>
              <w:right w:w="100" w:type="dxa"/>
            </w:tcMar>
          </w:tcPr>
          <w:p>
            <w:pPr>
              <w:jc w:val="left"/>
            </w:pPr>
            <w:r>
              <w:rPr>
                <w:rFonts w:ascii="Calibri" w:hAnsi="Calibri"/>
                <w:color w:val="262626"/>
                <w:sz w:val="19"/>
              </w:rPr>
              <w:t>35.50</w:t>
            </w:r>
          </w:p>
        </w:tc>
        <w:tc>
          <w:tcPr>
            <w:tcW w:type="dxa" w:w="1152"/>
            <w:shd w:val="clear" w:color="auto" w:fill="F7F9FC"/>
            <w:tcMar>
              <w:top w:w="80" w:type="dxa"/>
              <w:bottom w:w="80" w:type="dxa"/>
              <w:left w:w="100" w:type="dxa"/>
              <w:right w:w="100" w:type="dxa"/>
            </w:tcMar>
          </w:tcPr>
          <w:p>
            <w:pPr>
              <w:jc w:val="left"/>
            </w:pPr>
            <w:r>
              <w:rPr>
                <w:rFonts w:ascii="Calibri" w:hAnsi="Calibri"/>
                <w:color w:val="262626"/>
                <w:sz w:val="19"/>
              </w:rPr>
              <w:t>89.85</w:t>
            </w:r>
          </w:p>
        </w:tc>
        <w:tc>
          <w:tcPr>
            <w:tcW w:type="dxa" w:w="1152"/>
            <w:shd w:val="clear" w:color="auto" w:fill="F7F9FC"/>
            <w:tcMar>
              <w:top w:w="80" w:type="dxa"/>
              <w:bottom w:w="80" w:type="dxa"/>
              <w:left w:w="100" w:type="dxa"/>
              <w:right w:w="100" w:type="dxa"/>
            </w:tcMar>
          </w:tcPr>
          <w:p>
            <w:pPr>
              <w:jc w:val="left"/>
            </w:pPr>
            <w:r>
              <w:rPr>
                <w:rFonts w:ascii="Calibri" w:hAnsi="Calibri"/>
                <w:color w:val="262626"/>
                <w:sz w:val="19"/>
              </w:rPr>
              <w:t>54.35</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-46.02</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171.38</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0 (0.00%)</w:t>
            </w:r>
          </w:p>
        </w:tc>
      </w:tr>
      <w:tr>
        <w:tc>
          <w:tcPr>
            <w:tcW w:type="dxa" w:w="2160"/>
            <w:shd w:val="clear" w:color="auto" w:fill="FFFFFF"/>
            <w:tcMar>
              <w:top w:w="80" w:type="dxa"/>
              <w:bottom w:w="80" w:type="dxa"/>
              <w:left w:w="100" w:type="dxa"/>
              <w:right w:w="100" w:type="dxa"/>
            </w:tcMar>
          </w:tcPr>
          <w:p>
            <w:pPr>
              <w:jc w:val="left"/>
            </w:pPr>
            <w:r>
              <w:rPr>
                <w:rFonts w:ascii="Calibri" w:hAnsi="Calibri"/>
                <w:color w:val="262626"/>
                <w:sz w:val="19"/>
              </w:rPr>
              <w:t>TotalCharges ($)</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401.45</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3,794.74</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3,393.29</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-4,688.48</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8,884.67</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0 (0.00%)</w:t>
            </w:r>
          </w:p>
        </w:tc>
      </w:tr>
    </w:tbl>
    <w:p>
      <w:pPr>
        <w:spacing w:after="120"/>
      </w:pPr>
    </w:p>
    <w:p>
      <w:pPr>
        <w:spacing w:before="0" w:after="120" w:line="276" w:lineRule="auto"/>
      </w:pPr>
      <w:r>
        <w:rPr>
          <w:rFonts w:ascii="Calibri" w:hAnsi="Calibri"/>
          <w:color w:val="262626"/>
          <w:sz w:val="22"/>
        </w:rPr>
        <w:t>From a strict global IQR standpoint, zero records exceeded the theoretical fences. However, relying purely on summary metrics can mask important distributional characteristics. As illustrated in Figure 2, the distributions exhibit pronounced non-normality:</w:t>
      </w:r>
    </w:p>
    <w:p>
      <w:pPr>
        <w:spacing w:before="160" w:after="80"/>
        <w:jc w:val="center"/>
      </w:pPr>
      <w:r>
        <w:drawing>
          <wp:inline xmlns:a="http://schemas.openxmlformats.org/drawingml/2006/main" xmlns:pic="http://schemas.openxmlformats.org/drawingml/2006/picture">
            <wp:extent cx="5486400" cy="1645920"/>
            <wp:docPr id="2" name="Picture 2"/>
            <wp:cNvGraphicFramePr>
              <a:graphicFrameLocks noChangeAspect="1"/>
            </wp:cNvGraphicFramePr>
            <a:graphic>
              <a:graphicData uri="http://schemas.openxmlformats.org/drawingml/2006/picture">
                <pic:pic>
                  <pic:nvPicPr>
                    <pic:cNvPr id="0" name="fig2_distributions.png"/>
                    <pic:cNvPicPr/>
                  </pic:nvPicPr>
                  <pic:blipFill>
                    <a:blip r:embed="rId10"/>
                    <a:stretch>
                      <a:fillRect/>
                    </a:stretch>
                  </pic:blipFill>
                  <pic:spPr>
                    <a:xfrm>
                      <a:off x="0" y="0"/>
                      <a:ext cx="5486400" cy="1645920"/>
                    </a:xfrm>
                    <a:prstGeom prst="rect"/>
                  </pic:spPr>
                </pic:pic>
              </a:graphicData>
            </a:graphic>
          </wp:inline>
        </w:drawing>
      </w:r>
    </w:p>
    <w:p>
      <w:pPr>
        <w:spacing w:before="0" w:after="200"/>
        <w:jc w:val="center"/>
      </w:pPr>
      <w:r>
        <w:rPr>
          <w:rFonts w:ascii="Calibri" w:hAnsi="Calibri"/>
          <w:i/>
          <w:color w:val="555555"/>
          <w:sz w:val="19"/>
        </w:rPr>
        <w:t>Figure 2: Empirical Distributions of Key Continuous Numerical Attributes (tenure, MonthlyCharges, TotalCharges).</w:t>
      </w:r>
    </w:p>
    <w:p>
      <w:pPr>
        <w:spacing w:before="0" w:after="120" w:line="276" w:lineRule="auto"/>
      </w:pPr>
      <w:r>
        <w:rPr>
          <w:rFonts w:ascii="Calibri" w:hAnsi="Calibri"/>
          <w:color w:val="262626"/>
          <w:sz w:val="22"/>
        </w:rPr>
        <w:t>Detailed Distribution Observations:</w:t>
      </w:r>
    </w:p>
    <w:p>
      <w:pPr>
        <w:spacing w:before="40" w:after="60"/>
        <w:ind w:left="360"/>
      </w:pPr>
      <w:r>
        <w:rPr>
          <w:b/>
          <w:color w:val="1F4E79"/>
        </w:rPr>
        <w:t xml:space="preserve">• Bimodal Customer Tenure: </w:t>
      </w:r>
      <w:r>
        <w:t>Tenure displays two distinct surges: a massive cluster of new accounts (1–5 months) and another large cohort of long-tenured subscribers (65–72 months). This reflects a typical subscription life cycle where early-stage churn is high, but survivors remain loyal indefinitely.</w:t>
      </w:r>
    </w:p>
    <w:p>
      <w:pPr>
        <w:spacing w:before="40" w:after="60"/>
        <w:ind w:left="360"/>
      </w:pPr>
      <w:r>
        <w:rPr>
          <w:b/>
          <w:color w:val="1F4E79"/>
        </w:rPr>
        <w:t xml:space="preserve">• Bimodal Monthly Charges: </w:t>
      </w:r>
      <w:r>
        <w:t>MonthlyCharges exhibits a low-cost cluster around $20 (customers subscribing only to basic landline telephone service) and a secondary wide band between $70 and $105 (customers bundling high-speed fiber internet with streaming add-ons).</w:t>
      </w:r>
    </w:p>
    <w:p>
      <w:pPr>
        <w:spacing w:before="40" w:after="60"/>
        <w:ind w:left="360"/>
      </w:pPr>
      <w:r>
        <w:rPr>
          <w:b/>
          <w:color w:val="1F4E79"/>
        </w:rPr>
        <w:t xml:space="preserve">• Heavy Right-Skew in TotalCharges: </w:t>
      </w:r>
      <w:r>
        <w:t>TotalCharges is heavily right-skewed (+0.96 skewness). The bulk of subscribers have low cumulative spend, while long-tenured customers extend into an elongated right tail up to $8,684.80.</w:t>
      </w:r>
    </w:p>
    <w:p>
      <w:pPr>
        <w:spacing w:before="160" w:after="80"/>
        <w:jc w:val="center"/>
      </w:pPr>
      <w:r>
        <w:drawing>
          <wp:inline xmlns:a="http://schemas.openxmlformats.org/drawingml/2006/main" xmlns:pic="http://schemas.openxmlformats.org/drawingml/2006/picture">
            <wp:extent cx="5486400" cy="1763486"/>
            <wp:docPr id="3" name="Picture 3"/>
            <wp:cNvGraphicFramePr>
              <a:graphicFrameLocks noChangeAspect="1"/>
            </wp:cNvGraphicFramePr>
            <a:graphic>
              <a:graphicData uri="http://schemas.openxmlformats.org/drawingml/2006/picture">
                <pic:pic>
                  <pic:nvPicPr>
                    <pic:cNvPr id="0" name="fig4_outliers_boxplots.png"/>
                    <pic:cNvPicPr/>
                  </pic:nvPicPr>
                  <pic:blipFill>
                    <a:blip r:embed="rId11"/>
                    <a:stretch>
                      <a:fillRect/>
                    </a:stretch>
                  </pic:blipFill>
                  <pic:spPr>
                    <a:xfrm>
                      <a:off x="0" y="0"/>
                      <a:ext cx="5486400" cy="1763486"/>
                    </a:xfrm>
                    <a:prstGeom prst="rect"/>
                  </pic:spPr>
                </pic:pic>
              </a:graphicData>
            </a:graphic>
          </wp:inline>
        </w:drawing>
      </w:r>
    </w:p>
    <w:p>
      <w:pPr>
        <w:spacing w:before="0" w:after="200"/>
        <w:jc w:val="center"/>
      </w:pPr>
      <w:r>
        <w:rPr>
          <w:rFonts w:ascii="Calibri" w:hAnsi="Calibri"/>
          <w:i/>
          <w:color w:val="555555"/>
          <w:sz w:val="19"/>
        </w:rPr>
        <w:t>Figure 4: Bivariate Distribution and Outlier Assessment Across Churn Subgroups. Churned customers show significantly lower tenure and higher monthly fees.</w:t>
      </w:r>
    </w:p>
    <w:p>
      <w:pPr>
        <w:keepNext/>
        <w:spacing w:before="360" w:after="120"/>
      </w:pPr>
      <w:r>
        <w:rPr>
          <w:rFonts w:ascii="Calibri" w:hAnsi="Calibri"/>
          <w:b/>
          <w:color w:val="1F4E79"/>
          <w:sz w:val="32"/>
        </w:rPr>
        <w:t>5. Feature Transformation, Normalization &amp; Encoding</w:t>
      </w:r>
    </w:p>
    <w:p>
      <w:pPr>
        <w:spacing w:before="0" w:after="120" w:line="276" w:lineRule="auto"/>
      </w:pPr>
      <w:r>
        <w:rPr>
          <w:rFonts w:ascii="Calibri" w:hAnsi="Calibri"/>
          <w:color w:val="262626"/>
          <w:sz w:val="22"/>
        </w:rPr>
        <w:t>Parametric statistical models, regression algorithms, and distance-based classifiers (e.g., k-NN, SVM, Neural Networks) assume standardized feature variances and near-symmetrical distributions. To ready the data for downstream tasks, I implemented three transformation techniques:</w:t>
      </w:r>
    </w:p>
    <w:p>
      <w:pPr>
        <w:keepNext/>
        <w:spacing w:before="280" w:after="80"/>
      </w:pPr>
      <w:r>
        <w:rPr>
          <w:rFonts w:ascii="Calibri" w:hAnsi="Calibri"/>
          <w:b/>
          <w:color w:val="2F5597"/>
          <w:sz w:val="26"/>
        </w:rPr>
        <w:t>5.1 Logarithmic Transformation of Skewed Cumulative Charges</w:t>
      </w:r>
    </w:p>
    <w:p>
      <w:pPr>
        <w:spacing w:before="0" w:after="120" w:line="276" w:lineRule="auto"/>
      </w:pPr>
      <w:r>
        <w:rPr>
          <w:rFonts w:ascii="Calibri" w:hAnsi="Calibri"/>
          <w:color w:val="262626"/>
          <w:sz w:val="22"/>
        </w:rPr>
        <w:t>Because TotalCharges includes values of zero (from new accounts) and spans several orders of magnitude, I applied the natural logarithmic transformation with an offset of 1: y' = ln(1 + y), implemented in R via the log1p() function:</w:t>
      </w: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60" w:type="dxa"/>
              <w:right w:w="160" w:type="dxa"/>
            </w:tcMar>
            <w:tcBorders>
              <w:top w:val="single" w:sz="4" w:space="0" w:color="D0D7DE"/>
              <w:bottom w:val="single" w:sz="4" w:space="0" w:color="D0D7DE"/>
              <w:left w:val="single" w:sz="4" w:space="0" w:color="D0D7DE"/>
              <w:right w:val="single" w:sz="4" w:space="0" w:color="D0D7DE"/>
            </w:tcBorders>
          </w:tcPr>
          <w:p>
            <w:pPr>
              <w:spacing w:before="40" w:after="40"/>
            </w:pPr>
            <w:r>
              <w:rPr>
                <w:rFonts w:ascii="Consolas" w:hAnsi="Consolas"/>
                <w:color w:val="1A1A1A"/>
                <w:sz w:val="18"/>
              </w:rPr>
              <w:t># Log transformation to mitigate positive skew</w:t>
              <w:br/>
              <w:t>clean_df$TotalCharges_log &lt;- log1p(clean_df$TotalCharges)</w:t>
              <w:br/>
              <w:br/>
              <w:t># Compare Skewness (using e1071 or moments package)</w:t>
              <w:br/>
              <w:t># Raw TotalCharges Skewness:      +0.961</w:t>
              <w:br/>
              <w:t># Transformed Log Skewness:      -0.743</w:t>
            </w:r>
          </w:p>
        </w:tc>
      </w:tr>
    </w:tbl>
    <w:p>
      <w:pPr>
        <w:spacing w:before="0" w:after="80"/>
      </w:pPr>
    </w:p>
    <w:p>
      <w:pPr>
        <w:spacing w:before="160" w:after="80"/>
        <w:jc w:val="center"/>
      </w:pPr>
      <w:r>
        <w:drawing>
          <wp:inline xmlns:a="http://schemas.openxmlformats.org/drawingml/2006/main" xmlns:pic="http://schemas.openxmlformats.org/drawingml/2006/picture">
            <wp:extent cx="5486400" cy="2094807"/>
            <wp:docPr id="4" name="Picture 4"/>
            <wp:cNvGraphicFramePr>
              <a:graphicFrameLocks noChangeAspect="1"/>
            </wp:cNvGraphicFramePr>
            <a:graphic>
              <a:graphicData uri="http://schemas.openxmlformats.org/drawingml/2006/picture">
                <pic:pic>
                  <pic:nvPicPr>
                    <pic:cNvPr id="0" name="fig3_log_transformation.png"/>
                    <pic:cNvPicPr/>
                  </pic:nvPicPr>
                  <pic:blipFill>
                    <a:blip r:embed="rId12"/>
                    <a:stretch>
                      <a:fillRect/>
                    </a:stretch>
                  </pic:blipFill>
                  <pic:spPr>
                    <a:xfrm>
                      <a:off x="0" y="0"/>
                      <a:ext cx="5486400" cy="2094807"/>
                    </a:xfrm>
                    <a:prstGeom prst="rect"/>
                  </pic:spPr>
                </pic:pic>
              </a:graphicData>
            </a:graphic>
          </wp:inline>
        </w:drawing>
      </w:r>
    </w:p>
    <w:p>
      <w:pPr>
        <w:spacing w:before="0" w:after="200"/>
        <w:jc w:val="center"/>
      </w:pPr>
      <w:r>
        <w:rPr>
          <w:rFonts w:ascii="Calibri" w:hAnsi="Calibri"/>
          <w:i/>
          <w:color w:val="555555"/>
          <w:sz w:val="19"/>
        </w:rPr>
        <w:t>Figure 3: Preprocessing Transformation — Reducing Skewness via Logarithmic Scaling (Raw vs. Log-Transformed TotalCharges).</w:t>
      </w:r>
    </w:p>
    <w:p>
      <w:pPr>
        <w:keepNext/>
        <w:spacing w:before="280" w:after="80"/>
      </w:pPr>
      <w:r>
        <w:rPr>
          <w:rFonts w:ascii="Calibri" w:hAnsi="Calibri"/>
          <w:b/>
          <w:color w:val="2F5597"/>
          <w:sz w:val="26"/>
        </w:rPr>
        <w:t>5.2 Min-Max Normalization &amp; Z-Score Standardization</w:t>
      </w:r>
    </w:p>
    <w:p>
      <w:pPr>
        <w:spacing w:before="0" w:after="120" w:line="276" w:lineRule="auto"/>
      </w:pPr>
      <w:r>
        <w:rPr>
          <w:rFonts w:ascii="Calibri" w:hAnsi="Calibri"/>
          <w:color w:val="262626"/>
          <w:sz w:val="22"/>
        </w:rPr>
        <w:t>To avoid feature dominance caused by disparate measurement scales (e.g., tenure ranging from 0 to 72 months versus MonthlyCharges ranging from $18.25 to $118.75), I implemented both Min-Max and Z-Score scaling in R:</w:t>
      </w:r>
    </w:p>
    <w:tbl>
      <w:tblPr>
        <w:tblW w:type="auto" w:w="0"/>
        <w:jc w:val="center"/>
        <w:tblLook w:firstColumn="1" w:firstRow="1" w:lastColumn="0" w:lastRow="0" w:noHBand="0" w:noVBand="1" w:val="04A0"/>
      </w:tblPr>
      <w:tblGrid>
        <w:gridCol w:w="2340"/>
        <w:gridCol w:w="2340"/>
        <w:gridCol w:w="2340"/>
        <w:gridCol w:w="2340"/>
      </w:tblGrid>
      <w:tr>
        <w:tc>
          <w:tcPr>
            <w:tcW w:type="dxa" w:w="2160"/>
            <w:shd w:val="clear" w:color="auto" w:fill="1F4E79"/>
            <w:tcMar>
              <w:top w:w="120" w:type="dxa"/>
              <w:bottom w:w="120" w:type="dxa"/>
              <w:left w:w="120" w:type="dxa"/>
              <w:right w:w="120" w:type="dxa"/>
            </w:tcMar>
          </w:tcPr>
          <w:p>
            <w:pPr>
              <w:jc w:val="left"/>
            </w:pPr>
            <w:r>
              <w:rPr>
                <w:rFonts w:ascii="Calibri" w:hAnsi="Calibri"/>
                <w:b/>
                <w:color w:val="FFFFFF"/>
                <w:sz w:val="20"/>
              </w:rPr>
              <w:t>Scaling Method</w:t>
            </w:r>
          </w:p>
        </w:tc>
        <w:tc>
          <w:tcPr>
            <w:tcW w:type="dxa" w:w="3168"/>
            <w:shd w:val="clear" w:color="auto" w:fill="1F4E79"/>
            <w:tcMar>
              <w:top w:w="120" w:type="dxa"/>
              <w:bottom w:w="120" w:type="dxa"/>
              <w:left w:w="120" w:type="dxa"/>
              <w:right w:w="120" w:type="dxa"/>
            </w:tcMar>
          </w:tcPr>
          <w:p>
            <w:pPr>
              <w:jc w:val="left"/>
            </w:pPr>
            <w:r>
              <w:rPr>
                <w:rFonts w:ascii="Calibri" w:hAnsi="Calibri"/>
                <w:b/>
                <w:color w:val="FFFFFF"/>
                <w:sz w:val="20"/>
              </w:rPr>
              <w:t>Mathematical Formulation</w:t>
            </w:r>
          </w:p>
        </w:tc>
        <w:tc>
          <w:tcPr>
            <w:tcW w:type="dxa" w:w="1584"/>
            <w:shd w:val="clear" w:color="auto" w:fill="1F4E79"/>
            <w:tcMar>
              <w:top w:w="120" w:type="dxa"/>
              <w:bottom w:w="120" w:type="dxa"/>
              <w:left w:w="120" w:type="dxa"/>
              <w:right w:w="120" w:type="dxa"/>
            </w:tcMar>
          </w:tcPr>
          <w:p>
            <w:pPr>
              <w:jc w:val="left"/>
            </w:pPr>
            <w:r>
              <w:rPr>
                <w:rFonts w:ascii="Calibri" w:hAnsi="Calibri"/>
                <w:b/>
                <w:color w:val="FFFFFF"/>
                <w:sz w:val="20"/>
              </w:rPr>
              <w:t>Target Range</w:t>
            </w:r>
          </w:p>
        </w:tc>
        <w:tc>
          <w:tcPr>
            <w:tcW w:type="dxa" w:w="2880"/>
            <w:shd w:val="clear" w:color="auto" w:fill="1F4E79"/>
            <w:tcMar>
              <w:top w:w="120" w:type="dxa"/>
              <w:bottom w:w="120" w:type="dxa"/>
              <w:left w:w="120" w:type="dxa"/>
              <w:right w:w="120" w:type="dxa"/>
            </w:tcMar>
          </w:tcPr>
          <w:p>
            <w:pPr>
              <w:jc w:val="left"/>
            </w:pPr>
            <w:r>
              <w:rPr>
                <w:rFonts w:ascii="Calibri" w:hAnsi="Calibri"/>
                <w:b/>
                <w:color w:val="FFFFFF"/>
                <w:sz w:val="20"/>
              </w:rPr>
              <w:t>Practical Analytics Use Case</w:t>
            </w:r>
          </w:p>
        </w:tc>
      </w:tr>
      <w:tr>
        <w:tc>
          <w:tcPr>
            <w:tcW w:type="dxa" w:w="2160"/>
            <w:shd w:val="clear" w:color="auto" w:fill="FFFFFF"/>
            <w:tcMar>
              <w:top w:w="80" w:type="dxa"/>
              <w:bottom w:w="80" w:type="dxa"/>
              <w:left w:w="100" w:type="dxa"/>
              <w:right w:w="100" w:type="dxa"/>
            </w:tcMar>
          </w:tcPr>
          <w:p>
            <w:pPr>
              <w:jc w:val="left"/>
            </w:pPr>
            <w:r>
              <w:rPr>
                <w:rFonts w:ascii="Calibri" w:hAnsi="Calibri"/>
                <w:color w:val="262626"/>
                <w:sz w:val="19"/>
              </w:rPr>
              <w:t>Min-Max Scaling</w:t>
            </w:r>
          </w:p>
        </w:tc>
        <w:tc>
          <w:tcPr>
            <w:tcW w:type="dxa" w:w="3168"/>
            <w:shd w:val="clear" w:color="auto" w:fill="FFFFFF"/>
            <w:tcMar>
              <w:top w:w="80" w:type="dxa"/>
              <w:bottom w:w="80" w:type="dxa"/>
              <w:left w:w="100" w:type="dxa"/>
              <w:right w:w="100" w:type="dxa"/>
            </w:tcMar>
          </w:tcPr>
          <w:p>
            <w:pPr>
              <w:jc w:val="left"/>
            </w:pPr>
            <w:r>
              <w:rPr>
                <w:rFonts w:ascii="Calibri" w:hAnsi="Calibri"/>
                <w:color w:val="262626"/>
                <w:sz w:val="19"/>
              </w:rPr>
              <w:t>x_scaled = (x - min(x)) / (max(x) - min(x))</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[0.0, 1.0]</w:t>
            </w:r>
          </w:p>
        </w:tc>
        <w:tc>
          <w:tcPr>
            <w:tcW w:type="dxa" w:w="2880"/>
            <w:shd w:val="clear" w:color="auto" w:fill="FFFFFF"/>
            <w:tcMar>
              <w:top w:w="80" w:type="dxa"/>
              <w:bottom w:w="80" w:type="dxa"/>
              <w:left w:w="100" w:type="dxa"/>
              <w:right w:w="100" w:type="dxa"/>
            </w:tcMar>
          </w:tcPr>
          <w:p>
            <w:pPr>
              <w:jc w:val="left"/>
            </w:pPr>
            <w:r>
              <w:rPr>
                <w:rFonts w:ascii="Calibri" w:hAnsi="Calibri"/>
                <w:color w:val="262626"/>
                <w:sz w:val="19"/>
              </w:rPr>
              <w:t>Ideal for neural networks, k-nearest neighbors, and bounded scoring algorithms.</w:t>
            </w:r>
          </w:p>
        </w:tc>
      </w:tr>
      <w:tr>
        <w:tc>
          <w:tcPr>
            <w:tcW w:type="dxa" w:w="2160"/>
            <w:shd w:val="clear" w:color="auto" w:fill="F7F9FC"/>
            <w:tcMar>
              <w:top w:w="80" w:type="dxa"/>
              <w:bottom w:w="80" w:type="dxa"/>
              <w:left w:w="100" w:type="dxa"/>
              <w:right w:w="100" w:type="dxa"/>
            </w:tcMar>
          </w:tcPr>
          <w:p>
            <w:pPr>
              <w:jc w:val="left"/>
            </w:pPr>
            <w:r>
              <w:rPr>
                <w:rFonts w:ascii="Calibri" w:hAnsi="Calibri"/>
                <w:color w:val="262626"/>
                <w:sz w:val="19"/>
              </w:rPr>
              <w:t>Z-Score Standardization</w:t>
            </w:r>
          </w:p>
        </w:tc>
        <w:tc>
          <w:tcPr>
            <w:tcW w:type="dxa" w:w="3168"/>
            <w:shd w:val="clear" w:color="auto" w:fill="F7F9FC"/>
            <w:tcMar>
              <w:top w:w="80" w:type="dxa"/>
              <w:bottom w:w="80" w:type="dxa"/>
              <w:left w:w="100" w:type="dxa"/>
              <w:right w:w="100" w:type="dxa"/>
            </w:tcMar>
          </w:tcPr>
          <w:p>
            <w:pPr>
              <w:jc w:val="left"/>
            </w:pPr>
            <w:r>
              <w:rPr>
                <w:rFonts w:ascii="Calibri" w:hAnsi="Calibri"/>
                <w:color w:val="262626"/>
                <w:sz w:val="19"/>
              </w:rPr>
              <w:t>z = (x - mean(x)) / sd(x)</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Mean = 0, SD = 1</w:t>
            </w:r>
          </w:p>
        </w:tc>
        <w:tc>
          <w:tcPr>
            <w:tcW w:type="dxa" w:w="2880"/>
            <w:shd w:val="clear" w:color="auto" w:fill="F7F9FC"/>
            <w:tcMar>
              <w:top w:w="80" w:type="dxa"/>
              <w:bottom w:w="80" w:type="dxa"/>
              <w:left w:w="100" w:type="dxa"/>
              <w:right w:w="100" w:type="dxa"/>
            </w:tcMar>
          </w:tcPr>
          <w:p>
            <w:pPr>
              <w:jc w:val="left"/>
            </w:pPr>
            <w:r>
              <w:rPr>
                <w:rFonts w:ascii="Calibri" w:hAnsi="Calibri"/>
                <w:color w:val="262626"/>
                <w:sz w:val="19"/>
              </w:rPr>
              <w:t>Preferred for Principal Component Analysis (PCA), Logistic Regression, and linear models.</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60" w:type="dxa"/>
              <w:right w:w="160" w:type="dxa"/>
            </w:tcMar>
            <w:tcBorders>
              <w:top w:val="single" w:sz="4" w:space="0" w:color="D0D7DE"/>
              <w:bottom w:val="single" w:sz="4" w:space="0" w:color="D0D7DE"/>
              <w:left w:val="single" w:sz="4" w:space="0" w:color="D0D7DE"/>
              <w:right w:val="single" w:sz="4" w:space="0" w:color="D0D7DE"/>
            </w:tcBorders>
          </w:tcPr>
          <w:p>
            <w:pPr>
              <w:spacing w:before="40" w:after="40"/>
            </w:pPr>
            <w:r>
              <w:rPr>
                <w:rFonts w:ascii="Consolas" w:hAnsi="Consolas"/>
                <w:color w:val="1A1A1A"/>
                <w:sz w:val="18"/>
              </w:rPr>
              <w:t># 1. Min-Max Normalization</w:t>
              <w:br/>
              <w:t>min_max_scale &lt;- function(x) { (x - min(x)) / (max(x) - min(x)) }</w:t>
              <w:br/>
              <w:t>clean_df$tenure_minmax &lt;- min_max_scale(clean_df$tenure)</w:t>
              <w:br/>
              <w:t>clean_df$MonthlyCharges_minmax &lt;- min_max_scale(clean_df$MonthlyCharges)</w:t>
              <w:br/>
              <w:br/>
              <w:t># 2. Z-Score Standardization</w:t>
              <w:br/>
              <w:t>clean_df$tenure_zscore &lt;- as.vector(scale(clean_df$tenure))</w:t>
              <w:br/>
              <w:t>clean_df$MonthlyCharges_zscore &lt;- as.vector(scale(clean_df$MonthlyCharges))</w:t>
              <w:br/>
              <w:t>clean_df$TotalCharges_zscore &lt;- as.vector(scale(clean_df$TotalCharges))</w:t>
            </w:r>
          </w:p>
        </w:tc>
      </w:tr>
    </w:tbl>
    <w:p>
      <w:pPr>
        <w:spacing w:before="0" w:after="80"/>
      </w:pPr>
    </w:p>
    <w:p>
      <w:pPr>
        <w:keepNext/>
        <w:spacing w:before="280" w:after="80"/>
      </w:pPr>
      <w:r>
        <w:rPr>
          <w:rFonts w:ascii="Calibri" w:hAnsi="Calibri"/>
          <w:b/>
          <w:color w:val="2F5597"/>
          <w:sz w:val="26"/>
        </w:rPr>
        <w:t>5.3 Categorical Encoding Architectures</w:t>
      </w:r>
    </w:p>
    <w:p>
      <w:pPr>
        <w:spacing w:before="0" w:after="120" w:line="276" w:lineRule="auto"/>
      </w:pPr>
      <w:r>
        <w:rPr>
          <w:rFonts w:ascii="Calibri" w:hAnsi="Calibri"/>
          <w:color w:val="262626"/>
          <w:sz w:val="22"/>
        </w:rPr>
        <w:t>Categorical variables were systematically mapped to mathematical representations suitable for algorithmic consumption:</w:t>
      </w:r>
    </w:p>
    <w:p>
      <w:pPr>
        <w:spacing w:before="40" w:after="60"/>
        <w:ind w:left="360"/>
      </w:pPr>
      <w:r>
        <w:rPr>
          <w:b/>
          <w:color w:val="1F4E79"/>
        </w:rPr>
        <w:t xml:space="preserve">• Ordinal Integer Mapping: </w:t>
      </w:r>
      <w:r>
        <w:t>Contract duration contains an inherent logical progression: Month-to-month (1) &lt; One year (2) &lt; Two year (3). Preserving this hierarchy enables tree models and ordinal regressions to exploit rank order.</w:t>
      </w:r>
    </w:p>
    <w:p>
      <w:pPr>
        <w:spacing w:before="40" w:after="60"/>
        <w:ind w:left="360"/>
      </w:pPr>
      <w:r>
        <w:rPr>
          <w:b/>
          <w:color w:val="1F4E79"/>
        </w:rPr>
        <w:t xml:space="preserve">• Binary Factor Encoding: </w:t>
      </w:r>
      <w:r>
        <w:t>Target variable Churn ('No' -&gt; 0, 'Yes' -&gt; 1) and demographic indicators (SeniorCitizen, Partner, Dependents, PaperlessBilling) were converted to standardized binary 0/1 integers.</w:t>
      </w:r>
    </w:p>
    <w:p>
      <w:pPr>
        <w:spacing w:before="40" w:after="60"/>
        <w:ind w:left="360"/>
      </w:pPr>
      <w:r>
        <w:rPr>
          <w:b/>
          <w:color w:val="1F4E79"/>
        </w:rPr>
        <w:t xml:space="preserve">• One-Hot Dummy Matrix: </w:t>
      </w:r>
      <w:r>
        <w:t>Multi-level nominal attributes without inherent order (InternetService: DSL, Fiber optic, None; PaymentMethod: Electronic check, Mailed check, Bank transfer, Credit card) were expanded into dummy indicator columns using R's model.matrix() function, creating k dummy columns for downstream modeling.</w:t>
      </w: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60" w:type="dxa"/>
              <w:right w:w="160" w:type="dxa"/>
            </w:tcMar>
            <w:tcBorders>
              <w:top w:val="single" w:sz="4" w:space="0" w:color="D0D7DE"/>
              <w:bottom w:val="single" w:sz="4" w:space="0" w:color="D0D7DE"/>
              <w:left w:val="single" w:sz="4" w:space="0" w:color="D0D7DE"/>
              <w:right w:val="single" w:sz="4" w:space="0" w:color="D0D7DE"/>
            </w:tcBorders>
          </w:tcPr>
          <w:p>
            <w:pPr>
              <w:spacing w:before="40" w:after="40"/>
            </w:pPr>
            <w:r>
              <w:rPr>
                <w:rFonts w:ascii="Consolas" w:hAnsi="Consolas"/>
                <w:color w:val="1A1A1A"/>
                <w:sz w:val="18"/>
              </w:rPr>
              <w:t># Construct Full Dummy Encoding Matrix for Nominal Features</w:t>
              <w:br/>
              <w:t>dummy_matrix &lt;- model.matrix(~ InternetService + PaymentMethod - 1, data = clean_df)</w:t>
              <w:br/>
              <w:t>head(dummy_matrix, 2)</w:t>
            </w:r>
          </w:p>
        </w:tc>
      </w:tr>
    </w:tbl>
    <w:p>
      <w:pPr>
        <w:spacing w:before="0" w:after="80"/>
      </w:pPr>
    </w:p>
    <w:p>
      <w:pPr>
        <w:keepNext/>
        <w:spacing w:before="360" w:after="120"/>
      </w:pPr>
      <w:r>
        <w:rPr>
          <w:rFonts w:ascii="Calibri" w:hAnsi="Calibri"/>
          <w:b/>
          <w:color w:val="1F4E79"/>
          <w:sz w:val="32"/>
        </w:rPr>
        <w:t>6. Exploratory Data Analysis &amp; Empirical Insights</w:t>
      </w:r>
    </w:p>
    <w:p>
      <w:pPr>
        <w:spacing w:before="0" w:after="120" w:line="276" w:lineRule="auto"/>
      </w:pPr>
      <w:r>
        <w:rPr>
          <w:rFonts w:ascii="Calibri" w:hAnsi="Calibri"/>
          <w:color w:val="262626"/>
          <w:sz w:val="22"/>
        </w:rPr>
        <w:t>With the dataset cleaned and preprocessed, I conducted univariate, bivariate, and correlation analyses to uncover underlying patterns driving customer retention.</w:t>
      </w:r>
    </w:p>
    <w:p>
      <w:pPr>
        <w:keepNext/>
        <w:spacing w:before="280" w:after="80"/>
      </w:pPr>
      <w:r>
        <w:rPr>
          <w:rFonts w:ascii="Calibri" w:hAnsi="Calibri"/>
          <w:b/>
          <w:color w:val="2F5597"/>
          <w:sz w:val="26"/>
        </w:rPr>
        <w:t>6.1 Descriptive Statistical Summary</w:t>
      </w:r>
    </w:p>
    <w:p>
      <w:pPr>
        <w:spacing w:before="0" w:after="120" w:line="276" w:lineRule="auto"/>
      </w:pPr>
      <w:r>
        <w:rPr>
          <w:rFonts w:ascii="Calibri" w:hAnsi="Calibri"/>
          <w:color w:val="262626"/>
          <w:sz w:val="22"/>
        </w:rPr>
        <w:t>The table below details the central tendency, dispersion, and range metrics for all continuous variables post-cleaning:</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val="clear" w:color="auto" w:fill="1F4E79"/>
            <w:tcMar>
              <w:top w:w="120" w:type="dxa"/>
              <w:bottom w:w="120" w:type="dxa"/>
              <w:left w:w="120" w:type="dxa"/>
              <w:right w:w="120" w:type="dxa"/>
            </w:tcMar>
          </w:tcPr>
          <w:p>
            <w:pPr>
              <w:jc w:val="left"/>
            </w:pPr>
            <w:r>
              <w:rPr>
                <w:rFonts w:ascii="Calibri" w:hAnsi="Calibri"/>
                <w:b/>
                <w:color w:val="FFFFFF"/>
                <w:sz w:val="20"/>
              </w:rPr>
              <w:t>Metric</w:t>
            </w:r>
          </w:p>
        </w:tc>
        <w:tc>
          <w:tcPr>
            <w:tcW w:type="dxa" w:w="1728"/>
            <w:shd w:val="clear" w:color="auto" w:fill="1F4E79"/>
            <w:tcMar>
              <w:top w:w="120" w:type="dxa"/>
              <w:bottom w:w="120" w:type="dxa"/>
              <w:left w:w="120" w:type="dxa"/>
              <w:right w:w="120" w:type="dxa"/>
            </w:tcMar>
          </w:tcPr>
          <w:p>
            <w:pPr>
              <w:jc w:val="left"/>
            </w:pPr>
            <w:r>
              <w:rPr>
                <w:rFonts w:ascii="Calibri" w:hAnsi="Calibri"/>
                <w:b/>
                <w:color w:val="FFFFFF"/>
                <w:sz w:val="20"/>
              </w:rPr>
              <w:t>tenure (Months)</w:t>
            </w:r>
          </w:p>
        </w:tc>
        <w:tc>
          <w:tcPr>
            <w:tcW w:type="dxa" w:w="1872"/>
            <w:shd w:val="clear" w:color="auto" w:fill="1F4E79"/>
            <w:tcMar>
              <w:top w:w="120" w:type="dxa"/>
              <w:bottom w:w="120" w:type="dxa"/>
              <w:left w:w="120" w:type="dxa"/>
              <w:right w:w="120" w:type="dxa"/>
            </w:tcMar>
          </w:tcPr>
          <w:p>
            <w:pPr>
              <w:jc w:val="left"/>
            </w:pPr>
            <w:r>
              <w:rPr>
                <w:rFonts w:ascii="Calibri" w:hAnsi="Calibri"/>
                <w:b/>
                <w:color w:val="FFFFFF"/>
                <w:sz w:val="20"/>
              </w:rPr>
              <w:t>MonthlyCharges ($)</w:t>
            </w:r>
          </w:p>
        </w:tc>
        <w:tc>
          <w:tcPr>
            <w:tcW w:type="dxa" w:w="1872"/>
            <w:shd w:val="clear" w:color="auto" w:fill="1F4E79"/>
            <w:tcMar>
              <w:top w:w="120" w:type="dxa"/>
              <w:bottom w:w="120" w:type="dxa"/>
              <w:left w:w="120" w:type="dxa"/>
              <w:right w:w="120" w:type="dxa"/>
            </w:tcMar>
          </w:tcPr>
          <w:p>
            <w:pPr>
              <w:jc w:val="left"/>
            </w:pPr>
            <w:r>
              <w:rPr>
                <w:rFonts w:ascii="Calibri" w:hAnsi="Calibri"/>
                <w:b/>
                <w:color w:val="FFFFFF"/>
                <w:sz w:val="20"/>
              </w:rPr>
              <w:t>TotalCharges ($)</w:t>
            </w:r>
          </w:p>
        </w:tc>
        <w:tc>
          <w:tcPr>
            <w:tcW w:type="dxa" w:w="1872"/>
            <w:shd w:val="clear" w:color="auto" w:fill="1F4E79"/>
            <w:tcMar>
              <w:top w:w="120" w:type="dxa"/>
              <w:bottom w:w="120" w:type="dxa"/>
              <w:left w:w="120" w:type="dxa"/>
              <w:right w:w="120" w:type="dxa"/>
            </w:tcMar>
          </w:tcPr>
          <w:p>
            <w:pPr>
              <w:jc w:val="left"/>
            </w:pPr>
            <w:r>
              <w:rPr>
                <w:rFonts w:ascii="Calibri" w:hAnsi="Calibri"/>
                <w:b/>
                <w:color w:val="FFFFFF"/>
                <w:sz w:val="20"/>
              </w:rPr>
              <w:t>Log(TotalCharges)</w:t>
            </w:r>
          </w:p>
        </w:tc>
      </w:tr>
      <w:tr>
        <w:tc>
          <w:tcPr>
            <w:tcW w:type="dxa" w:w="2592"/>
            <w:shd w:val="clear" w:color="auto" w:fill="FFFFFF"/>
            <w:tcMar>
              <w:top w:w="80" w:type="dxa"/>
              <w:bottom w:w="80" w:type="dxa"/>
              <w:left w:w="100" w:type="dxa"/>
              <w:right w:w="100" w:type="dxa"/>
            </w:tcMar>
          </w:tcPr>
          <w:p>
            <w:pPr>
              <w:jc w:val="left"/>
            </w:pPr>
            <w:r>
              <w:rPr>
                <w:rFonts w:ascii="Calibri" w:hAnsi="Calibri"/>
                <w:color w:val="262626"/>
                <w:sz w:val="19"/>
              </w:rPr>
              <w:t>Sample Size (N)</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7,043</w:t>
            </w:r>
          </w:p>
        </w:tc>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7,043</w:t>
            </w:r>
          </w:p>
        </w:tc>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7,043</w:t>
            </w:r>
          </w:p>
        </w:tc>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7,043</w:t>
            </w:r>
          </w:p>
        </w:tc>
      </w:tr>
      <w:tr>
        <w:tc>
          <w:tcPr>
            <w:tcW w:type="dxa" w:w="2592"/>
            <w:shd w:val="clear" w:color="auto" w:fill="F7F9FC"/>
            <w:tcMar>
              <w:top w:w="80" w:type="dxa"/>
              <w:bottom w:w="80" w:type="dxa"/>
              <w:left w:w="100" w:type="dxa"/>
              <w:right w:w="100" w:type="dxa"/>
            </w:tcMar>
          </w:tcPr>
          <w:p>
            <w:pPr>
              <w:jc w:val="left"/>
            </w:pPr>
            <w:r>
              <w:rPr>
                <w:rFonts w:ascii="Calibri" w:hAnsi="Calibri"/>
                <w:color w:val="262626"/>
                <w:sz w:val="19"/>
              </w:rPr>
              <w:t>Arithmetic Mean</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32.37</w:t>
            </w:r>
          </w:p>
        </w:tc>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64.76</w:t>
            </w:r>
          </w:p>
        </w:tc>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2,279.73</w:t>
            </w:r>
          </w:p>
        </w:tc>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6.75</w:t>
            </w:r>
          </w:p>
        </w:tc>
      </w:tr>
      <w:tr>
        <w:tc>
          <w:tcPr>
            <w:tcW w:type="dxa" w:w="2592"/>
            <w:shd w:val="clear" w:color="auto" w:fill="FFFFFF"/>
            <w:tcMar>
              <w:top w:w="80" w:type="dxa"/>
              <w:bottom w:w="80" w:type="dxa"/>
              <w:left w:w="100" w:type="dxa"/>
              <w:right w:w="100" w:type="dxa"/>
            </w:tcMar>
          </w:tcPr>
          <w:p>
            <w:pPr>
              <w:jc w:val="left"/>
            </w:pPr>
            <w:r>
              <w:rPr>
                <w:rFonts w:ascii="Calibri" w:hAnsi="Calibri"/>
                <w:color w:val="262626"/>
                <w:sz w:val="19"/>
              </w:rPr>
              <w:t>Median (50th percentile)</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29.00</w:t>
            </w:r>
          </w:p>
        </w:tc>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70.35</w:t>
            </w:r>
          </w:p>
        </w:tc>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1,394.55</w:t>
            </w:r>
          </w:p>
        </w:tc>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7.24</w:t>
            </w:r>
          </w:p>
        </w:tc>
      </w:tr>
      <w:tr>
        <w:tc>
          <w:tcPr>
            <w:tcW w:type="dxa" w:w="2592"/>
            <w:shd w:val="clear" w:color="auto" w:fill="F7F9FC"/>
            <w:tcMar>
              <w:top w:w="80" w:type="dxa"/>
              <w:bottom w:w="80" w:type="dxa"/>
              <w:left w:w="100" w:type="dxa"/>
              <w:right w:w="100" w:type="dxa"/>
            </w:tcMar>
          </w:tcPr>
          <w:p>
            <w:pPr>
              <w:jc w:val="left"/>
            </w:pPr>
            <w:r>
              <w:rPr>
                <w:rFonts w:ascii="Calibri" w:hAnsi="Calibri"/>
                <w:color w:val="262626"/>
                <w:sz w:val="19"/>
              </w:rPr>
              <w:t>Standard Deviation</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24.56</w:t>
            </w:r>
          </w:p>
        </w:tc>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30.09</w:t>
            </w:r>
          </w:p>
        </w:tc>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2,266.79</w:t>
            </w:r>
          </w:p>
        </w:tc>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2.17</w:t>
            </w:r>
          </w:p>
        </w:tc>
      </w:tr>
      <w:tr>
        <w:tc>
          <w:tcPr>
            <w:tcW w:type="dxa" w:w="2592"/>
            <w:shd w:val="clear" w:color="auto" w:fill="FFFFFF"/>
            <w:tcMar>
              <w:top w:w="80" w:type="dxa"/>
              <w:bottom w:w="80" w:type="dxa"/>
              <w:left w:w="100" w:type="dxa"/>
              <w:right w:w="100" w:type="dxa"/>
            </w:tcMar>
          </w:tcPr>
          <w:p>
            <w:pPr>
              <w:jc w:val="left"/>
            </w:pPr>
            <w:r>
              <w:rPr>
                <w:rFonts w:ascii="Calibri" w:hAnsi="Calibri"/>
                <w:color w:val="262626"/>
                <w:sz w:val="19"/>
              </w:rPr>
              <w:t>Interquartile Range (IQR)</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46.00</w:t>
            </w:r>
          </w:p>
        </w:tc>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54.35</w:t>
            </w:r>
          </w:p>
        </w:tc>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3,393.29</w:t>
            </w:r>
          </w:p>
        </w:tc>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3.08</w:t>
            </w:r>
          </w:p>
        </w:tc>
      </w:tr>
      <w:tr>
        <w:tc>
          <w:tcPr>
            <w:tcW w:type="dxa" w:w="2592"/>
            <w:shd w:val="clear" w:color="auto" w:fill="F7F9FC"/>
            <w:tcMar>
              <w:top w:w="80" w:type="dxa"/>
              <w:bottom w:w="80" w:type="dxa"/>
              <w:left w:w="100" w:type="dxa"/>
              <w:right w:w="100" w:type="dxa"/>
            </w:tcMar>
          </w:tcPr>
          <w:p>
            <w:pPr>
              <w:jc w:val="left"/>
            </w:pPr>
            <w:r>
              <w:rPr>
                <w:rFonts w:ascii="Calibri" w:hAnsi="Calibri"/>
                <w:color w:val="262626"/>
                <w:sz w:val="19"/>
              </w:rPr>
              <w:t>Minimum Value</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0.00</w:t>
            </w:r>
          </w:p>
        </w:tc>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18.25</w:t>
            </w:r>
          </w:p>
        </w:tc>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0.00</w:t>
            </w:r>
          </w:p>
        </w:tc>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0.00</w:t>
            </w:r>
          </w:p>
        </w:tc>
      </w:tr>
      <w:tr>
        <w:tc>
          <w:tcPr>
            <w:tcW w:type="dxa" w:w="2592"/>
            <w:shd w:val="clear" w:color="auto" w:fill="FFFFFF"/>
            <w:tcMar>
              <w:top w:w="80" w:type="dxa"/>
              <w:bottom w:w="80" w:type="dxa"/>
              <w:left w:w="100" w:type="dxa"/>
              <w:right w:w="100" w:type="dxa"/>
            </w:tcMar>
          </w:tcPr>
          <w:p>
            <w:pPr>
              <w:jc w:val="left"/>
            </w:pPr>
            <w:r>
              <w:rPr>
                <w:rFonts w:ascii="Calibri" w:hAnsi="Calibri"/>
                <w:color w:val="262626"/>
                <w:sz w:val="19"/>
              </w:rPr>
              <w:t>Maximum Value</w:t>
            </w:r>
          </w:p>
        </w:tc>
        <w:tc>
          <w:tcPr>
            <w:tcW w:type="dxa" w:w="1728"/>
            <w:shd w:val="clear" w:color="auto" w:fill="FFFFFF"/>
            <w:tcMar>
              <w:top w:w="80" w:type="dxa"/>
              <w:bottom w:w="80" w:type="dxa"/>
              <w:left w:w="100" w:type="dxa"/>
              <w:right w:w="100" w:type="dxa"/>
            </w:tcMar>
          </w:tcPr>
          <w:p>
            <w:pPr>
              <w:jc w:val="left"/>
            </w:pPr>
            <w:r>
              <w:rPr>
                <w:rFonts w:ascii="Calibri" w:hAnsi="Calibri"/>
                <w:color w:val="262626"/>
                <w:sz w:val="19"/>
              </w:rPr>
              <w:t>72.00</w:t>
            </w:r>
          </w:p>
        </w:tc>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118.75</w:t>
            </w:r>
          </w:p>
        </w:tc>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8,684.80</w:t>
            </w:r>
          </w:p>
        </w:tc>
        <w:tc>
          <w:tcPr>
            <w:tcW w:type="dxa" w:w="1872"/>
            <w:shd w:val="clear" w:color="auto" w:fill="FFFFFF"/>
            <w:tcMar>
              <w:top w:w="80" w:type="dxa"/>
              <w:bottom w:w="80" w:type="dxa"/>
              <w:left w:w="100" w:type="dxa"/>
              <w:right w:w="100" w:type="dxa"/>
            </w:tcMar>
          </w:tcPr>
          <w:p>
            <w:pPr>
              <w:jc w:val="left"/>
            </w:pPr>
            <w:r>
              <w:rPr>
                <w:rFonts w:ascii="Calibri" w:hAnsi="Calibri"/>
                <w:color w:val="262626"/>
                <w:sz w:val="19"/>
              </w:rPr>
              <w:t>9.07</w:t>
            </w:r>
          </w:p>
        </w:tc>
      </w:tr>
      <w:tr>
        <w:tc>
          <w:tcPr>
            <w:tcW w:type="dxa" w:w="2592"/>
            <w:shd w:val="clear" w:color="auto" w:fill="F7F9FC"/>
            <w:tcMar>
              <w:top w:w="80" w:type="dxa"/>
              <w:bottom w:w="80" w:type="dxa"/>
              <w:left w:w="100" w:type="dxa"/>
              <w:right w:w="100" w:type="dxa"/>
            </w:tcMar>
          </w:tcPr>
          <w:p>
            <w:pPr>
              <w:jc w:val="left"/>
            </w:pPr>
            <w:r>
              <w:rPr>
                <w:rFonts w:ascii="Calibri" w:hAnsi="Calibri"/>
                <w:color w:val="262626"/>
                <w:sz w:val="19"/>
              </w:rPr>
              <w:t>Skewness Index</w:t>
            </w:r>
          </w:p>
        </w:tc>
        <w:tc>
          <w:tcPr>
            <w:tcW w:type="dxa" w:w="1728"/>
            <w:shd w:val="clear" w:color="auto" w:fill="F7F9FC"/>
            <w:tcMar>
              <w:top w:w="80" w:type="dxa"/>
              <w:bottom w:w="80" w:type="dxa"/>
              <w:left w:w="100" w:type="dxa"/>
              <w:right w:w="100" w:type="dxa"/>
            </w:tcMar>
          </w:tcPr>
          <w:p>
            <w:pPr>
              <w:jc w:val="left"/>
            </w:pPr>
            <w:r>
              <w:rPr>
                <w:rFonts w:ascii="Calibri" w:hAnsi="Calibri"/>
                <w:color w:val="262626"/>
                <w:sz w:val="19"/>
              </w:rPr>
              <w:t>+0.239</w:t>
            </w:r>
          </w:p>
        </w:tc>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-0.220</w:t>
            </w:r>
          </w:p>
        </w:tc>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+0.961</w:t>
            </w:r>
          </w:p>
        </w:tc>
        <w:tc>
          <w:tcPr>
            <w:tcW w:type="dxa" w:w="1872"/>
            <w:shd w:val="clear" w:color="auto" w:fill="F7F9FC"/>
            <w:tcMar>
              <w:top w:w="80" w:type="dxa"/>
              <w:bottom w:w="80" w:type="dxa"/>
              <w:left w:w="100" w:type="dxa"/>
              <w:right w:w="100" w:type="dxa"/>
            </w:tcMar>
          </w:tcPr>
          <w:p>
            <w:pPr>
              <w:jc w:val="left"/>
            </w:pPr>
            <w:r>
              <w:rPr>
                <w:rFonts w:ascii="Calibri" w:hAnsi="Calibri"/>
                <w:color w:val="262626"/>
                <w:sz w:val="19"/>
              </w:rPr>
              <w:t>-0.743</w:t>
            </w:r>
          </w:p>
        </w:tc>
      </w:tr>
    </w:tbl>
    <w:p>
      <w:pPr>
        <w:spacing w:after="120"/>
      </w:pPr>
    </w:p>
    <w:p>
      <w:pPr>
        <w:keepNext/>
        <w:spacing w:before="280" w:after="80"/>
      </w:pPr>
      <w:r>
        <w:rPr>
          <w:rFonts w:ascii="Calibri" w:hAnsi="Calibri"/>
          <w:b/>
          <w:color w:val="2F5597"/>
          <w:sz w:val="26"/>
        </w:rPr>
        <w:t>6.2 Baseline Churn Rate &amp; Contractual Stability</w:t>
      </w:r>
    </w:p>
    <w:p>
      <w:pPr>
        <w:spacing w:before="0" w:after="120" w:line="276" w:lineRule="auto"/>
      </w:pPr>
      <w:r>
        <w:rPr>
          <w:rFonts w:ascii="Calibri" w:hAnsi="Calibri"/>
          <w:color w:val="262626"/>
          <w:sz w:val="22"/>
        </w:rPr>
        <w:t>The overall customer attrition rate across the 7,043 accounts stands at 26.54% (1,869 churned customers versus 5,174 retained customers). However, segmenting churn across contractual terms exposes dramatic disparities:</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val="clear" w:color="auto" w:fill="1F4E79"/>
            <w:tcMar>
              <w:top w:w="120" w:type="dxa"/>
              <w:bottom w:w="120" w:type="dxa"/>
              <w:left w:w="120" w:type="dxa"/>
              <w:right w:w="120" w:type="dxa"/>
            </w:tcMar>
          </w:tcPr>
          <w:p>
            <w:pPr>
              <w:jc w:val="left"/>
            </w:pPr>
            <w:r>
              <w:rPr>
                <w:rFonts w:ascii="Calibri" w:hAnsi="Calibri"/>
                <w:b/>
                <w:color w:val="FFFFFF"/>
                <w:sz w:val="20"/>
              </w:rPr>
              <w:t>Contract Commitment Type</w:t>
            </w:r>
          </w:p>
        </w:tc>
        <w:tc>
          <w:tcPr>
            <w:tcW w:type="dxa" w:w="1584"/>
            <w:shd w:val="clear" w:color="auto" w:fill="1F4E79"/>
            <w:tcMar>
              <w:top w:w="120" w:type="dxa"/>
              <w:bottom w:w="120" w:type="dxa"/>
              <w:left w:w="120" w:type="dxa"/>
              <w:right w:w="120" w:type="dxa"/>
            </w:tcMar>
          </w:tcPr>
          <w:p>
            <w:pPr>
              <w:jc w:val="left"/>
            </w:pPr>
            <w:r>
              <w:rPr>
                <w:rFonts w:ascii="Calibri" w:hAnsi="Calibri"/>
                <w:b/>
                <w:color w:val="FFFFFF"/>
                <w:sz w:val="20"/>
              </w:rPr>
              <w:t>Total Customers</w:t>
            </w:r>
          </w:p>
        </w:tc>
        <w:tc>
          <w:tcPr>
            <w:tcW w:type="dxa" w:w="1584"/>
            <w:shd w:val="clear" w:color="auto" w:fill="1F4E79"/>
            <w:tcMar>
              <w:top w:w="120" w:type="dxa"/>
              <w:bottom w:w="120" w:type="dxa"/>
              <w:left w:w="120" w:type="dxa"/>
              <w:right w:w="120" w:type="dxa"/>
            </w:tcMar>
          </w:tcPr>
          <w:p>
            <w:pPr>
              <w:jc w:val="left"/>
            </w:pPr>
            <w:r>
              <w:rPr>
                <w:rFonts w:ascii="Calibri" w:hAnsi="Calibri"/>
                <w:b/>
                <w:color w:val="FFFFFF"/>
                <w:sz w:val="20"/>
              </w:rPr>
              <w:t>Retained (No)</w:t>
            </w:r>
          </w:p>
        </w:tc>
        <w:tc>
          <w:tcPr>
            <w:tcW w:type="dxa" w:w="1584"/>
            <w:shd w:val="clear" w:color="auto" w:fill="1F4E79"/>
            <w:tcMar>
              <w:top w:w="120" w:type="dxa"/>
              <w:bottom w:w="120" w:type="dxa"/>
              <w:left w:w="120" w:type="dxa"/>
              <w:right w:w="120" w:type="dxa"/>
            </w:tcMar>
          </w:tcPr>
          <w:p>
            <w:pPr>
              <w:jc w:val="left"/>
            </w:pPr>
            <w:r>
              <w:rPr>
                <w:rFonts w:ascii="Calibri" w:hAnsi="Calibri"/>
                <w:b/>
                <w:color w:val="FFFFFF"/>
                <w:sz w:val="20"/>
              </w:rPr>
              <w:t>Churned (Yes)</w:t>
            </w:r>
          </w:p>
        </w:tc>
        <w:tc>
          <w:tcPr>
            <w:tcW w:type="dxa" w:w="2016"/>
            <w:shd w:val="clear" w:color="auto" w:fill="1F4E79"/>
            <w:tcMar>
              <w:top w:w="120" w:type="dxa"/>
              <w:bottom w:w="120" w:type="dxa"/>
              <w:left w:w="120" w:type="dxa"/>
              <w:right w:w="120" w:type="dxa"/>
            </w:tcMar>
          </w:tcPr>
          <w:p>
            <w:pPr>
              <w:jc w:val="left"/>
            </w:pPr>
            <w:r>
              <w:rPr>
                <w:rFonts w:ascii="Calibri" w:hAnsi="Calibri"/>
                <w:b/>
                <w:color w:val="FFFFFF"/>
                <w:sz w:val="20"/>
              </w:rPr>
              <w:t>Group Churn Rate (%)</w:t>
            </w:r>
          </w:p>
        </w:tc>
      </w:tr>
      <w:tr>
        <w:tc>
          <w:tcPr>
            <w:tcW w:type="dxa" w:w="2592"/>
            <w:shd w:val="clear" w:color="auto" w:fill="FFFFFF"/>
            <w:tcMar>
              <w:top w:w="80" w:type="dxa"/>
              <w:bottom w:w="80" w:type="dxa"/>
              <w:left w:w="100" w:type="dxa"/>
              <w:right w:w="100" w:type="dxa"/>
            </w:tcMar>
          </w:tcPr>
          <w:p>
            <w:pPr>
              <w:jc w:val="left"/>
            </w:pPr>
            <w:r>
              <w:rPr>
                <w:rFonts w:ascii="Calibri" w:hAnsi="Calibri"/>
                <w:color w:val="262626"/>
                <w:sz w:val="19"/>
              </w:rPr>
              <w:t>Month-to-month</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3,875</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2,220</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1,655</w:t>
            </w:r>
          </w:p>
        </w:tc>
        <w:tc>
          <w:tcPr>
            <w:tcW w:type="dxa" w:w="2016"/>
            <w:shd w:val="clear" w:color="auto" w:fill="FFFFFF"/>
            <w:tcMar>
              <w:top w:w="80" w:type="dxa"/>
              <w:bottom w:w="80" w:type="dxa"/>
              <w:left w:w="100" w:type="dxa"/>
              <w:right w:w="100" w:type="dxa"/>
            </w:tcMar>
          </w:tcPr>
          <w:p>
            <w:pPr>
              <w:jc w:val="left"/>
            </w:pPr>
            <w:r>
              <w:rPr>
                <w:rFonts w:ascii="Calibri" w:hAnsi="Calibri"/>
                <w:color w:val="262626"/>
                <w:sz w:val="19"/>
              </w:rPr>
              <w:t>42.71%</w:t>
            </w:r>
          </w:p>
        </w:tc>
      </w:tr>
      <w:tr>
        <w:tc>
          <w:tcPr>
            <w:tcW w:type="dxa" w:w="2592"/>
            <w:shd w:val="clear" w:color="auto" w:fill="F7F9FC"/>
            <w:tcMar>
              <w:top w:w="80" w:type="dxa"/>
              <w:bottom w:w="80" w:type="dxa"/>
              <w:left w:w="100" w:type="dxa"/>
              <w:right w:w="100" w:type="dxa"/>
            </w:tcMar>
          </w:tcPr>
          <w:p>
            <w:pPr>
              <w:jc w:val="left"/>
            </w:pPr>
            <w:r>
              <w:rPr>
                <w:rFonts w:ascii="Calibri" w:hAnsi="Calibri"/>
                <w:color w:val="262626"/>
                <w:sz w:val="19"/>
              </w:rPr>
              <w:t>One year</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1,473</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1,307</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166</w:t>
            </w:r>
          </w:p>
        </w:tc>
        <w:tc>
          <w:tcPr>
            <w:tcW w:type="dxa" w:w="2016"/>
            <w:shd w:val="clear" w:color="auto" w:fill="F7F9FC"/>
            <w:tcMar>
              <w:top w:w="80" w:type="dxa"/>
              <w:bottom w:w="80" w:type="dxa"/>
              <w:left w:w="100" w:type="dxa"/>
              <w:right w:w="100" w:type="dxa"/>
            </w:tcMar>
          </w:tcPr>
          <w:p>
            <w:pPr>
              <w:jc w:val="left"/>
            </w:pPr>
            <w:r>
              <w:rPr>
                <w:rFonts w:ascii="Calibri" w:hAnsi="Calibri"/>
                <w:color w:val="262626"/>
                <w:sz w:val="19"/>
              </w:rPr>
              <w:t>11.27%</w:t>
            </w:r>
          </w:p>
        </w:tc>
      </w:tr>
      <w:tr>
        <w:tc>
          <w:tcPr>
            <w:tcW w:type="dxa" w:w="2592"/>
            <w:shd w:val="clear" w:color="auto" w:fill="FFFFFF"/>
            <w:tcMar>
              <w:top w:w="80" w:type="dxa"/>
              <w:bottom w:w="80" w:type="dxa"/>
              <w:left w:w="100" w:type="dxa"/>
              <w:right w:w="100" w:type="dxa"/>
            </w:tcMar>
          </w:tcPr>
          <w:p>
            <w:pPr>
              <w:jc w:val="left"/>
            </w:pPr>
            <w:r>
              <w:rPr>
                <w:rFonts w:ascii="Calibri" w:hAnsi="Calibri"/>
                <w:color w:val="262626"/>
                <w:sz w:val="19"/>
              </w:rPr>
              <w:t>Two year</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1,695</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1,647</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48</w:t>
            </w:r>
          </w:p>
        </w:tc>
        <w:tc>
          <w:tcPr>
            <w:tcW w:type="dxa" w:w="2016"/>
            <w:shd w:val="clear" w:color="auto" w:fill="FFFFFF"/>
            <w:tcMar>
              <w:top w:w="80" w:type="dxa"/>
              <w:bottom w:w="80" w:type="dxa"/>
              <w:left w:w="100" w:type="dxa"/>
              <w:right w:w="100" w:type="dxa"/>
            </w:tcMar>
          </w:tcPr>
          <w:p>
            <w:pPr>
              <w:jc w:val="left"/>
            </w:pPr>
            <w:r>
              <w:rPr>
                <w:rFonts w:ascii="Calibri" w:hAnsi="Calibri"/>
                <w:color w:val="262626"/>
                <w:sz w:val="19"/>
              </w:rPr>
              <w:t>2.83%</w:t>
            </w:r>
          </w:p>
        </w:tc>
      </w:tr>
      <w:tr>
        <w:tc>
          <w:tcPr>
            <w:tcW w:type="dxa" w:w="2592"/>
            <w:shd w:val="clear" w:color="auto" w:fill="F7F9FC"/>
            <w:tcMar>
              <w:top w:w="80" w:type="dxa"/>
              <w:bottom w:w="80" w:type="dxa"/>
              <w:left w:w="100" w:type="dxa"/>
              <w:right w:w="100" w:type="dxa"/>
            </w:tcMar>
          </w:tcPr>
          <w:p>
            <w:pPr>
              <w:jc w:val="left"/>
            </w:pPr>
            <w:r>
              <w:rPr>
                <w:rFonts w:ascii="Calibri" w:hAnsi="Calibri"/>
                <w:color w:val="262626"/>
                <w:sz w:val="19"/>
              </w:rPr>
              <w:t>Total / Portfolio Average</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7,043</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5,174</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1,869</w:t>
            </w:r>
          </w:p>
        </w:tc>
        <w:tc>
          <w:tcPr>
            <w:tcW w:type="dxa" w:w="2016"/>
            <w:shd w:val="clear" w:color="auto" w:fill="F7F9FC"/>
            <w:tcMar>
              <w:top w:w="80" w:type="dxa"/>
              <w:bottom w:w="80" w:type="dxa"/>
              <w:left w:w="100" w:type="dxa"/>
              <w:right w:w="100" w:type="dxa"/>
            </w:tcMar>
          </w:tcPr>
          <w:p>
            <w:pPr>
              <w:jc w:val="left"/>
            </w:pPr>
            <w:r>
              <w:rPr>
                <w:rFonts w:ascii="Calibri" w:hAnsi="Calibri"/>
                <w:color w:val="262626"/>
                <w:sz w:val="19"/>
              </w:rPr>
              <w:t>26.54%</w:t>
            </w:r>
          </w:p>
        </w:tc>
      </w:tr>
    </w:tbl>
    <w:p>
      <w:pPr>
        <w:spacing w:after="120"/>
      </w:pPr>
    </w:p>
    <w:p>
      <w:pPr>
        <w:spacing w:before="160" w:after="8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fig6_contract_churn.png"/>
                    <pic:cNvPicPr/>
                  </pic:nvPicPr>
                  <pic:blipFill>
                    <a:blip r:embed="rId13"/>
                    <a:stretch>
                      <a:fillRect/>
                    </a:stretch>
                  </pic:blipFill>
                  <pic:spPr>
                    <a:xfrm>
                      <a:off x="0" y="0"/>
                      <a:ext cx="5486400" cy="3086100"/>
                    </a:xfrm>
                    <a:prstGeom prst="rect"/>
                  </pic:spPr>
                </pic:pic>
              </a:graphicData>
            </a:graphic>
          </wp:inline>
        </w:drawing>
      </w:r>
    </w:p>
    <w:p>
      <w:pPr>
        <w:spacing w:before="0" w:after="200"/>
        <w:jc w:val="center"/>
      </w:pPr>
      <w:r>
        <w:rPr>
          <w:rFonts w:ascii="Calibri" w:hAnsi="Calibri"/>
          <w:i/>
          <w:color w:val="555555"/>
          <w:sz w:val="19"/>
        </w:rPr>
        <w:t>Figure 6: Customer Churn Proportion by Contract Duration. Month-to-month subscribers represent 88.6% of all churned accounts.</w:t>
      </w:r>
    </w:p>
    <w:p>
      <w:pPr>
        <w:spacing w:before="0" w:after="120" w:line="276" w:lineRule="auto"/>
      </w:pPr>
      <w:r>
        <w:rPr>
          <w:rFonts w:ascii="Calibri" w:hAnsi="Calibri"/>
          <w:color w:val="262626"/>
          <w:sz w:val="22"/>
        </w:rPr>
        <w:t>Key Takeaway: Over 88.5% (1,655 out of 1,869) of all churned customers were enrolled in month-to-month plans. Transitioning customers from monthly billing to even a 1-year contract reduces attrition risk by nearly four-fold (from 42.71% down to 11.27%).</w:t>
      </w:r>
    </w:p>
    <w:p>
      <w:pPr>
        <w:keepNext/>
        <w:spacing w:before="280" w:after="80"/>
      </w:pPr>
      <w:r>
        <w:rPr>
          <w:rFonts w:ascii="Calibri" w:hAnsi="Calibri"/>
          <w:b/>
          <w:color w:val="2F5597"/>
          <w:sz w:val="26"/>
        </w:rPr>
        <w:t>6.3 Service Medium and Billing Method Attrition Patterns</w:t>
      </w:r>
    </w:p>
    <w:p>
      <w:pPr>
        <w:spacing w:before="0" w:after="120" w:line="276" w:lineRule="auto"/>
      </w:pPr>
      <w:r>
        <w:rPr>
          <w:rFonts w:ascii="Calibri" w:hAnsi="Calibri"/>
          <w:color w:val="262626"/>
          <w:sz w:val="22"/>
        </w:rPr>
        <w:t>Examining customer touchpoints further clarifies why subscribers churn:</w:t>
      </w:r>
    </w:p>
    <w:p>
      <w:pPr>
        <w:spacing w:before="160" w:after="80"/>
        <w:jc w:val="center"/>
      </w:pPr>
      <w:r>
        <w:drawing>
          <wp:inline xmlns:a="http://schemas.openxmlformats.org/drawingml/2006/main" xmlns:pic="http://schemas.openxmlformats.org/drawingml/2006/picture">
            <wp:extent cx="5486400" cy="1899138"/>
            <wp:docPr id="6" name="Picture 6"/>
            <wp:cNvGraphicFramePr>
              <a:graphicFrameLocks noChangeAspect="1"/>
            </wp:cNvGraphicFramePr>
            <a:graphic>
              <a:graphicData uri="http://schemas.openxmlformats.org/drawingml/2006/picture">
                <pic:pic>
                  <pic:nvPicPr>
                    <pic:cNvPr id="0" name="fig7_internetservice_payment.png"/>
                    <pic:cNvPicPr/>
                  </pic:nvPicPr>
                  <pic:blipFill>
                    <a:blip r:embed="rId14"/>
                    <a:stretch>
                      <a:fillRect/>
                    </a:stretch>
                  </pic:blipFill>
                  <pic:spPr>
                    <a:xfrm>
                      <a:off x="0" y="0"/>
                      <a:ext cx="5486400" cy="1899138"/>
                    </a:xfrm>
                    <a:prstGeom prst="rect"/>
                  </pic:spPr>
                </pic:pic>
              </a:graphicData>
            </a:graphic>
          </wp:inline>
        </w:drawing>
      </w:r>
    </w:p>
    <w:p>
      <w:pPr>
        <w:spacing w:before="0" w:after="200"/>
        <w:jc w:val="center"/>
      </w:pPr>
      <w:r>
        <w:rPr>
          <w:rFonts w:ascii="Calibri" w:hAnsi="Calibri"/>
          <w:i/>
          <w:color w:val="555555"/>
          <w:sz w:val="19"/>
        </w:rPr>
        <w:t>Figure 7: Exploratory Drivers — Influence of Service Medium and Payment Channel on Attrition.</w:t>
      </w:r>
    </w:p>
    <w:p>
      <w:pPr>
        <w:spacing w:before="40" w:after="60"/>
        <w:ind w:left="360"/>
      </w:pPr>
      <w:r>
        <w:rPr>
          <w:b/>
          <w:color w:val="1F4E79"/>
        </w:rPr>
        <w:t xml:space="preserve">• Fiber Optic Vulnerability: </w:t>
      </w:r>
      <w:r>
        <w:t>Subscribers on Fiber Optic broadband experience a 41.89% churn rate, compared to 18.96% for DSL users and 7.41% for customers without internet service. Because Fiber Optic plans carry higher baseline monthly fees (mean = $91.50 vs $58.10 for DSL), pricing pressure appears to be a direct catalyst for customer cancellations.</w:t>
      </w:r>
    </w:p>
    <w:p>
      <w:pPr>
        <w:spacing w:before="40" w:after="60"/>
        <w:ind w:left="360"/>
      </w:pPr>
      <w:r>
        <w:rPr>
          <w:b/>
          <w:color w:val="1F4E79"/>
        </w:rPr>
        <w:t xml:space="preserve">• Electronic Check Billing Inefficiency: </w:t>
      </w:r>
      <w:r>
        <w:t>Customers paying via Electronic Check display a 45.29% churn rate—nearly triple the churn rate observed among subscribers using automated payment methods (Bank Transfer: 16.71%, Credit Card: 15.24%). Non-automated payment methods require active monthly decisions, increasing the psychological friction of bill payments.</w:t>
      </w:r>
    </w:p>
    <w:p>
      <w:pPr>
        <w:keepNext/>
        <w:spacing w:before="280" w:after="80"/>
      </w:pPr>
      <w:r>
        <w:rPr>
          <w:rFonts w:ascii="Calibri" w:hAnsi="Calibri"/>
          <w:b/>
          <w:color w:val="2F5597"/>
          <w:sz w:val="26"/>
        </w:rPr>
        <w:t>6.4 Pearson Correlation Matrix</w:t>
      </w:r>
    </w:p>
    <w:p>
      <w:pPr>
        <w:spacing w:before="0" w:after="120" w:line="276" w:lineRule="auto"/>
      </w:pPr>
      <w:r>
        <w:rPr>
          <w:rFonts w:ascii="Calibri" w:hAnsi="Calibri"/>
          <w:color w:val="262626"/>
          <w:sz w:val="22"/>
        </w:rPr>
        <w:t>To quantify linear associations between numeric attributes, transformed metrics, and customer churn, I computed the Pearson correlation matrix in R:</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shd w:val="clear" w:color="auto" w:fill="1F4E79"/>
            <w:tcMar>
              <w:top w:w="120" w:type="dxa"/>
              <w:bottom w:w="120" w:type="dxa"/>
              <w:left w:w="120" w:type="dxa"/>
              <w:right w:w="120" w:type="dxa"/>
            </w:tcMar>
          </w:tcPr>
          <w:p>
            <w:pPr>
              <w:jc w:val="left"/>
            </w:pPr>
            <w:r>
              <w:rPr>
                <w:rFonts w:ascii="Calibri" w:hAnsi="Calibri"/>
                <w:b/>
                <w:color w:val="FFFFFF"/>
                <w:sz w:val="20"/>
              </w:rPr>
              <w:t>Feature</w:t>
            </w:r>
          </w:p>
        </w:tc>
        <w:tc>
          <w:tcPr>
            <w:tcW w:type="dxa" w:w="1152"/>
            <w:shd w:val="clear" w:color="auto" w:fill="1F4E79"/>
            <w:tcMar>
              <w:top w:w="120" w:type="dxa"/>
              <w:bottom w:w="120" w:type="dxa"/>
              <w:left w:w="120" w:type="dxa"/>
              <w:right w:w="120" w:type="dxa"/>
            </w:tcMar>
          </w:tcPr>
          <w:p>
            <w:pPr>
              <w:jc w:val="left"/>
            </w:pPr>
            <w:r>
              <w:rPr>
                <w:rFonts w:ascii="Calibri" w:hAnsi="Calibri"/>
                <w:b/>
                <w:color w:val="FFFFFF"/>
                <w:sz w:val="20"/>
              </w:rPr>
              <w:t>tenure</w:t>
            </w:r>
          </w:p>
        </w:tc>
        <w:tc>
          <w:tcPr>
            <w:tcW w:type="dxa" w:w="1440"/>
            <w:shd w:val="clear" w:color="auto" w:fill="1F4E79"/>
            <w:tcMar>
              <w:top w:w="120" w:type="dxa"/>
              <w:bottom w:w="120" w:type="dxa"/>
              <w:left w:w="120" w:type="dxa"/>
              <w:right w:w="120" w:type="dxa"/>
            </w:tcMar>
          </w:tcPr>
          <w:p>
            <w:pPr>
              <w:jc w:val="left"/>
            </w:pPr>
            <w:r>
              <w:rPr>
                <w:rFonts w:ascii="Calibri" w:hAnsi="Calibri"/>
                <w:b/>
                <w:color w:val="FFFFFF"/>
                <w:sz w:val="20"/>
              </w:rPr>
              <w:t>MonthlyCharges</w:t>
            </w:r>
          </w:p>
        </w:tc>
        <w:tc>
          <w:tcPr>
            <w:tcW w:type="dxa" w:w="1440"/>
            <w:shd w:val="clear" w:color="auto" w:fill="1F4E79"/>
            <w:tcMar>
              <w:top w:w="120" w:type="dxa"/>
              <w:bottom w:w="120" w:type="dxa"/>
              <w:left w:w="120" w:type="dxa"/>
              <w:right w:w="120" w:type="dxa"/>
            </w:tcMar>
          </w:tcPr>
          <w:p>
            <w:pPr>
              <w:jc w:val="left"/>
            </w:pPr>
            <w:r>
              <w:rPr>
                <w:rFonts w:ascii="Calibri" w:hAnsi="Calibri"/>
                <w:b/>
                <w:color w:val="FFFFFF"/>
                <w:sz w:val="20"/>
              </w:rPr>
              <w:t>TotalCharges</w:t>
            </w:r>
          </w:p>
        </w:tc>
        <w:tc>
          <w:tcPr>
            <w:tcW w:type="dxa" w:w="1584"/>
            <w:shd w:val="clear" w:color="auto" w:fill="1F4E79"/>
            <w:tcMar>
              <w:top w:w="120" w:type="dxa"/>
              <w:bottom w:w="120" w:type="dxa"/>
              <w:left w:w="120" w:type="dxa"/>
              <w:right w:w="120" w:type="dxa"/>
            </w:tcMar>
          </w:tcPr>
          <w:p>
            <w:pPr>
              <w:jc w:val="left"/>
            </w:pPr>
            <w:r>
              <w:rPr>
                <w:rFonts w:ascii="Calibri" w:hAnsi="Calibri"/>
                <w:b/>
                <w:color w:val="FFFFFF"/>
                <w:sz w:val="20"/>
              </w:rPr>
              <w:t>Log(TotalCharges)</w:t>
            </w:r>
          </w:p>
        </w:tc>
        <w:tc>
          <w:tcPr>
            <w:tcW w:type="dxa" w:w="1296"/>
            <w:shd w:val="clear" w:color="auto" w:fill="1F4E79"/>
            <w:tcMar>
              <w:top w:w="120" w:type="dxa"/>
              <w:bottom w:w="120" w:type="dxa"/>
              <w:left w:w="120" w:type="dxa"/>
              <w:right w:w="120" w:type="dxa"/>
            </w:tcMar>
          </w:tcPr>
          <w:p>
            <w:pPr>
              <w:jc w:val="left"/>
            </w:pPr>
            <w:r>
              <w:rPr>
                <w:rFonts w:ascii="Calibri" w:hAnsi="Calibri"/>
                <w:b/>
                <w:color w:val="FFFFFF"/>
                <w:sz w:val="20"/>
              </w:rPr>
              <w:t>SeniorCitizen</w:t>
            </w:r>
          </w:p>
        </w:tc>
        <w:tc>
          <w:tcPr>
            <w:tcW w:type="dxa" w:w="1440"/>
            <w:shd w:val="clear" w:color="auto" w:fill="1F4E79"/>
            <w:tcMar>
              <w:top w:w="120" w:type="dxa"/>
              <w:bottom w:w="120" w:type="dxa"/>
              <w:left w:w="120" w:type="dxa"/>
              <w:right w:w="120" w:type="dxa"/>
            </w:tcMar>
          </w:tcPr>
          <w:p>
            <w:pPr>
              <w:jc w:val="left"/>
            </w:pPr>
            <w:r>
              <w:rPr>
                <w:rFonts w:ascii="Calibri" w:hAnsi="Calibri"/>
                <w:b/>
                <w:color w:val="FFFFFF"/>
                <w:sz w:val="20"/>
              </w:rPr>
              <w:t>Churn (Binary)</w:t>
            </w:r>
          </w:p>
        </w:tc>
      </w:tr>
      <w:tr>
        <w:tc>
          <w:tcPr>
            <w:tcW w:type="dxa" w:w="2160"/>
            <w:shd w:val="clear" w:color="auto" w:fill="FFFFFF"/>
            <w:tcMar>
              <w:top w:w="80" w:type="dxa"/>
              <w:bottom w:w="80" w:type="dxa"/>
              <w:left w:w="100" w:type="dxa"/>
              <w:right w:w="100" w:type="dxa"/>
            </w:tcMar>
          </w:tcPr>
          <w:p>
            <w:pPr>
              <w:jc w:val="left"/>
            </w:pPr>
            <w:r>
              <w:rPr>
                <w:rFonts w:ascii="Calibri" w:hAnsi="Calibri"/>
                <w:color w:val="262626"/>
                <w:sz w:val="19"/>
              </w:rPr>
              <w:t>tenure</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1.000</w:t>
            </w:r>
          </w:p>
        </w:tc>
        <w:tc>
          <w:tcPr>
            <w:tcW w:type="dxa" w:w="1440"/>
            <w:shd w:val="clear" w:color="auto" w:fill="FFFFFF"/>
            <w:tcMar>
              <w:top w:w="80" w:type="dxa"/>
              <w:bottom w:w="80" w:type="dxa"/>
              <w:left w:w="100" w:type="dxa"/>
              <w:right w:w="100" w:type="dxa"/>
            </w:tcMar>
          </w:tcPr>
          <w:p>
            <w:pPr>
              <w:jc w:val="left"/>
            </w:pPr>
            <w:r>
              <w:rPr>
                <w:rFonts w:ascii="Calibri" w:hAnsi="Calibri"/>
                <w:color w:val="262626"/>
                <w:sz w:val="19"/>
              </w:rPr>
              <w:t>+0.248</w:t>
            </w:r>
          </w:p>
        </w:tc>
        <w:tc>
          <w:tcPr>
            <w:tcW w:type="dxa" w:w="1440"/>
            <w:shd w:val="clear" w:color="auto" w:fill="FFFFFF"/>
            <w:tcMar>
              <w:top w:w="80" w:type="dxa"/>
              <w:bottom w:w="80" w:type="dxa"/>
              <w:left w:w="100" w:type="dxa"/>
              <w:right w:w="100" w:type="dxa"/>
            </w:tcMar>
          </w:tcPr>
          <w:p>
            <w:pPr>
              <w:jc w:val="left"/>
            </w:pPr>
            <w:r>
              <w:rPr>
                <w:rFonts w:ascii="Calibri" w:hAnsi="Calibri"/>
                <w:color w:val="262626"/>
                <w:sz w:val="19"/>
              </w:rPr>
              <w:t>+0.826</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+0.829</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+0.017</w:t>
            </w:r>
          </w:p>
        </w:tc>
        <w:tc>
          <w:tcPr>
            <w:tcW w:type="dxa" w:w="1440"/>
            <w:shd w:val="clear" w:color="auto" w:fill="FFFFFF"/>
            <w:tcMar>
              <w:top w:w="80" w:type="dxa"/>
              <w:bottom w:w="80" w:type="dxa"/>
              <w:left w:w="100" w:type="dxa"/>
              <w:right w:w="100" w:type="dxa"/>
            </w:tcMar>
          </w:tcPr>
          <w:p>
            <w:pPr>
              <w:jc w:val="left"/>
            </w:pPr>
            <w:r>
              <w:rPr>
                <w:rFonts w:ascii="Calibri" w:hAnsi="Calibri"/>
                <w:color w:val="262626"/>
                <w:sz w:val="19"/>
              </w:rPr>
              <w:t>-0.352</w:t>
            </w:r>
          </w:p>
        </w:tc>
      </w:tr>
      <w:tr>
        <w:tc>
          <w:tcPr>
            <w:tcW w:type="dxa" w:w="2160"/>
            <w:shd w:val="clear" w:color="auto" w:fill="F7F9FC"/>
            <w:tcMar>
              <w:top w:w="80" w:type="dxa"/>
              <w:bottom w:w="80" w:type="dxa"/>
              <w:left w:w="100" w:type="dxa"/>
              <w:right w:w="100" w:type="dxa"/>
            </w:tcMar>
          </w:tcPr>
          <w:p>
            <w:pPr>
              <w:jc w:val="left"/>
            </w:pPr>
            <w:r>
              <w:rPr>
                <w:rFonts w:ascii="Calibri" w:hAnsi="Calibri"/>
                <w:color w:val="262626"/>
                <w:sz w:val="19"/>
              </w:rPr>
              <w:t>MonthlyCharges</w:t>
            </w:r>
          </w:p>
        </w:tc>
        <w:tc>
          <w:tcPr>
            <w:tcW w:type="dxa" w:w="1152"/>
            <w:shd w:val="clear" w:color="auto" w:fill="F7F9FC"/>
            <w:tcMar>
              <w:top w:w="80" w:type="dxa"/>
              <w:bottom w:w="80" w:type="dxa"/>
              <w:left w:w="100" w:type="dxa"/>
              <w:right w:w="100" w:type="dxa"/>
            </w:tcMar>
          </w:tcPr>
          <w:p>
            <w:pPr>
              <w:jc w:val="left"/>
            </w:pPr>
            <w:r>
              <w:rPr>
                <w:rFonts w:ascii="Calibri" w:hAnsi="Calibri"/>
                <w:color w:val="262626"/>
                <w:sz w:val="19"/>
              </w:rPr>
              <w:t>+0.248</w:t>
            </w:r>
          </w:p>
        </w:tc>
        <w:tc>
          <w:tcPr>
            <w:tcW w:type="dxa" w:w="1440"/>
            <w:shd w:val="clear" w:color="auto" w:fill="F7F9FC"/>
            <w:tcMar>
              <w:top w:w="80" w:type="dxa"/>
              <w:bottom w:w="80" w:type="dxa"/>
              <w:left w:w="100" w:type="dxa"/>
              <w:right w:w="100" w:type="dxa"/>
            </w:tcMar>
          </w:tcPr>
          <w:p>
            <w:pPr>
              <w:jc w:val="left"/>
            </w:pPr>
            <w:r>
              <w:rPr>
                <w:rFonts w:ascii="Calibri" w:hAnsi="Calibri"/>
                <w:color w:val="262626"/>
                <w:sz w:val="19"/>
              </w:rPr>
              <w:t>1.000</w:t>
            </w:r>
          </w:p>
        </w:tc>
        <w:tc>
          <w:tcPr>
            <w:tcW w:type="dxa" w:w="1440"/>
            <w:shd w:val="clear" w:color="auto" w:fill="F7F9FC"/>
            <w:tcMar>
              <w:top w:w="80" w:type="dxa"/>
              <w:bottom w:w="80" w:type="dxa"/>
              <w:left w:w="100" w:type="dxa"/>
              <w:right w:w="100" w:type="dxa"/>
            </w:tcMar>
          </w:tcPr>
          <w:p>
            <w:pPr>
              <w:jc w:val="left"/>
            </w:pPr>
            <w:r>
              <w:rPr>
                <w:rFonts w:ascii="Calibri" w:hAnsi="Calibri"/>
                <w:color w:val="262626"/>
                <w:sz w:val="19"/>
              </w:rPr>
              <w:t>+0.651</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+0.571</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+0.220</w:t>
            </w:r>
          </w:p>
        </w:tc>
        <w:tc>
          <w:tcPr>
            <w:tcW w:type="dxa" w:w="1440"/>
            <w:shd w:val="clear" w:color="auto" w:fill="F7F9FC"/>
            <w:tcMar>
              <w:top w:w="80" w:type="dxa"/>
              <w:bottom w:w="80" w:type="dxa"/>
              <w:left w:w="100" w:type="dxa"/>
              <w:right w:w="100" w:type="dxa"/>
            </w:tcMar>
          </w:tcPr>
          <w:p>
            <w:pPr>
              <w:jc w:val="left"/>
            </w:pPr>
            <w:r>
              <w:rPr>
                <w:rFonts w:ascii="Calibri" w:hAnsi="Calibri"/>
                <w:color w:val="262626"/>
                <w:sz w:val="19"/>
              </w:rPr>
              <w:t>+0.193</w:t>
            </w:r>
          </w:p>
        </w:tc>
      </w:tr>
      <w:tr>
        <w:tc>
          <w:tcPr>
            <w:tcW w:type="dxa" w:w="2160"/>
            <w:shd w:val="clear" w:color="auto" w:fill="FFFFFF"/>
            <w:tcMar>
              <w:top w:w="80" w:type="dxa"/>
              <w:bottom w:w="80" w:type="dxa"/>
              <w:left w:w="100" w:type="dxa"/>
              <w:right w:w="100" w:type="dxa"/>
            </w:tcMar>
          </w:tcPr>
          <w:p>
            <w:pPr>
              <w:jc w:val="left"/>
            </w:pPr>
            <w:r>
              <w:rPr>
                <w:rFonts w:ascii="Calibri" w:hAnsi="Calibri"/>
                <w:color w:val="262626"/>
                <w:sz w:val="19"/>
              </w:rPr>
              <w:t>TotalCharges</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+0.826</w:t>
            </w:r>
          </w:p>
        </w:tc>
        <w:tc>
          <w:tcPr>
            <w:tcW w:type="dxa" w:w="1440"/>
            <w:shd w:val="clear" w:color="auto" w:fill="FFFFFF"/>
            <w:tcMar>
              <w:top w:w="80" w:type="dxa"/>
              <w:bottom w:w="80" w:type="dxa"/>
              <w:left w:w="100" w:type="dxa"/>
              <w:right w:w="100" w:type="dxa"/>
            </w:tcMar>
          </w:tcPr>
          <w:p>
            <w:pPr>
              <w:jc w:val="left"/>
            </w:pPr>
            <w:r>
              <w:rPr>
                <w:rFonts w:ascii="Calibri" w:hAnsi="Calibri"/>
                <w:color w:val="262626"/>
                <w:sz w:val="19"/>
              </w:rPr>
              <w:t>+0.651</w:t>
            </w:r>
          </w:p>
        </w:tc>
        <w:tc>
          <w:tcPr>
            <w:tcW w:type="dxa" w:w="1440"/>
            <w:shd w:val="clear" w:color="auto" w:fill="FFFFFF"/>
            <w:tcMar>
              <w:top w:w="80" w:type="dxa"/>
              <w:bottom w:w="80" w:type="dxa"/>
              <w:left w:w="100" w:type="dxa"/>
              <w:right w:w="100" w:type="dxa"/>
            </w:tcMar>
          </w:tcPr>
          <w:p>
            <w:pPr>
              <w:jc w:val="left"/>
            </w:pPr>
            <w:r>
              <w:rPr>
                <w:rFonts w:ascii="Calibri" w:hAnsi="Calibri"/>
                <w:color w:val="262626"/>
                <w:sz w:val="19"/>
              </w:rPr>
              <w:t>1.000</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+0.958</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+0.103</w:t>
            </w:r>
          </w:p>
        </w:tc>
        <w:tc>
          <w:tcPr>
            <w:tcW w:type="dxa" w:w="1440"/>
            <w:shd w:val="clear" w:color="auto" w:fill="FFFFFF"/>
            <w:tcMar>
              <w:top w:w="80" w:type="dxa"/>
              <w:bottom w:w="80" w:type="dxa"/>
              <w:left w:w="100" w:type="dxa"/>
              <w:right w:w="100" w:type="dxa"/>
            </w:tcMar>
          </w:tcPr>
          <w:p>
            <w:pPr>
              <w:jc w:val="left"/>
            </w:pPr>
            <w:r>
              <w:rPr>
                <w:rFonts w:ascii="Calibri" w:hAnsi="Calibri"/>
                <w:color w:val="262626"/>
                <w:sz w:val="19"/>
              </w:rPr>
              <w:t>-0.198</w:t>
            </w:r>
          </w:p>
        </w:tc>
      </w:tr>
      <w:tr>
        <w:tc>
          <w:tcPr>
            <w:tcW w:type="dxa" w:w="2160"/>
            <w:shd w:val="clear" w:color="auto" w:fill="F7F9FC"/>
            <w:tcMar>
              <w:top w:w="80" w:type="dxa"/>
              <w:bottom w:w="80" w:type="dxa"/>
              <w:left w:w="100" w:type="dxa"/>
              <w:right w:w="100" w:type="dxa"/>
            </w:tcMar>
          </w:tcPr>
          <w:p>
            <w:pPr>
              <w:jc w:val="left"/>
            </w:pPr>
            <w:r>
              <w:rPr>
                <w:rFonts w:ascii="Calibri" w:hAnsi="Calibri"/>
                <w:color w:val="262626"/>
                <w:sz w:val="19"/>
              </w:rPr>
              <w:t>Log(TotalCharges)</w:t>
            </w:r>
          </w:p>
        </w:tc>
        <w:tc>
          <w:tcPr>
            <w:tcW w:type="dxa" w:w="1152"/>
            <w:shd w:val="clear" w:color="auto" w:fill="F7F9FC"/>
            <w:tcMar>
              <w:top w:w="80" w:type="dxa"/>
              <w:bottom w:w="80" w:type="dxa"/>
              <w:left w:w="100" w:type="dxa"/>
              <w:right w:w="100" w:type="dxa"/>
            </w:tcMar>
          </w:tcPr>
          <w:p>
            <w:pPr>
              <w:jc w:val="left"/>
            </w:pPr>
            <w:r>
              <w:rPr>
                <w:rFonts w:ascii="Calibri" w:hAnsi="Calibri"/>
                <w:color w:val="262626"/>
                <w:sz w:val="19"/>
              </w:rPr>
              <w:t>+0.829</w:t>
            </w:r>
          </w:p>
        </w:tc>
        <w:tc>
          <w:tcPr>
            <w:tcW w:type="dxa" w:w="1440"/>
            <w:shd w:val="clear" w:color="auto" w:fill="F7F9FC"/>
            <w:tcMar>
              <w:top w:w="80" w:type="dxa"/>
              <w:bottom w:w="80" w:type="dxa"/>
              <w:left w:w="100" w:type="dxa"/>
              <w:right w:w="100" w:type="dxa"/>
            </w:tcMar>
          </w:tcPr>
          <w:p>
            <w:pPr>
              <w:jc w:val="left"/>
            </w:pPr>
            <w:r>
              <w:rPr>
                <w:rFonts w:ascii="Calibri" w:hAnsi="Calibri"/>
                <w:color w:val="262626"/>
                <w:sz w:val="19"/>
              </w:rPr>
              <w:t>+0.571</w:t>
            </w:r>
          </w:p>
        </w:tc>
        <w:tc>
          <w:tcPr>
            <w:tcW w:type="dxa" w:w="1440"/>
            <w:shd w:val="clear" w:color="auto" w:fill="F7F9FC"/>
            <w:tcMar>
              <w:top w:w="80" w:type="dxa"/>
              <w:bottom w:w="80" w:type="dxa"/>
              <w:left w:w="100" w:type="dxa"/>
              <w:right w:w="100" w:type="dxa"/>
            </w:tcMar>
          </w:tcPr>
          <w:p>
            <w:pPr>
              <w:jc w:val="left"/>
            </w:pPr>
            <w:r>
              <w:rPr>
                <w:rFonts w:ascii="Calibri" w:hAnsi="Calibri"/>
                <w:color w:val="262626"/>
                <w:sz w:val="19"/>
              </w:rPr>
              <w:t>+0.958</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1.000</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+0.102</w:t>
            </w:r>
          </w:p>
        </w:tc>
        <w:tc>
          <w:tcPr>
            <w:tcW w:type="dxa" w:w="1440"/>
            <w:shd w:val="clear" w:color="auto" w:fill="F7F9FC"/>
            <w:tcMar>
              <w:top w:w="80" w:type="dxa"/>
              <w:bottom w:w="80" w:type="dxa"/>
              <w:left w:w="100" w:type="dxa"/>
              <w:right w:w="100" w:type="dxa"/>
            </w:tcMar>
          </w:tcPr>
          <w:p>
            <w:pPr>
              <w:jc w:val="left"/>
            </w:pPr>
            <w:r>
              <w:rPr>
                <w:rFonts w:ascii="Calibri" w:hAnsi="Calibri"/>
                <w:color w:val="262626"/>
                <w:sz w:val="19"/>
              </w:rPr>
              <w:t>-0.234</w:t>
            </w:r>
          </w:p>
        </w:tc>
      </w:tr>
      <w:tr>
        <w:tc>
          <w:tcPr>
            <w:tcW w:type="dxa" w:w="2160"/>
            <w:shd w:val="clear" w:color="auto" w:fill="FFFFFF"/>
            <w:tcMar>
              <w:top w:w="80" w:type="dxa"/>
              <w:bottom w:w="80" w:type="dxa"/>
              <w:left w:w="100" w:type="dxa"/>
              <w:right w:w="100" w:type="dxa"/>
            </w:tcMar>
          </w:tcPr>
          <w:p>
            <w:pPr>
              <w:jc w:val="left"/>
            </w:pPr>
            <w:r>
              <w:rPr>
                <w:rFonts w:ascii="Calibri" w:hAnsi="Calibri"/>
                <w:color w:val="262626"/>
                <w:sz w:val="19"/>
              </w:rPr>
              <w:t>SeniorCitizen</w:t>
            </w:r>
          </w:p>
        </w:tc>
        <w:tc>
          <w:tcPr>
            <w:tcW w:type="dxa" w:w="1152"/>
            <w:shd w:val="clear" w:color="auto" w:fill="FFFFFF"/>
            <w:tcMar>
              <w:top w:w="80" w:type="dxa"/>
              <w:bottom w:w="80" w:type="dxa"/>
              <w:left w:w="100" w:type="dxa"/>
              <w:right w:w="100" w:type="dxa"/>
            </w:tcMar>
          </w:tcPr>
          <w:p>
            <w:pPr>
              <w:jc w:val="left"/>
            </w:pPr>
            <w:r>
              <w:rPr>
                <w:rFonts w:ascii="Calibri" w:hAnsi="Calibri"/>
                <w:color w:val="262626"/>
                <w:sz w:val="19"/>
              </w:rPr>
              <w:t>+0.017</w:t>
            </w:r>
          </w:p>
        </w:tc>
        <w:tc>
          <w:tcPr>
            <w:tcW w:type="dxa" w:w="1440"/>
            <w:shd w:val="clear" w:color="auto" w:fill="FFFFFF"/>
            <w:tcMar>
              <w:top w:w="80" w:type="dxa"/>
              <w:bottom w:w="80" w:type="dxa"/>
              <w:left w:w="100" w:type="dxa"/>
              <w:right w:w="100" w:type="dxa"/>
            </w:tcMar>
          </w:tcPr>
          <w:p>
            <w:pPr>
              <w:jc w:val="left"/>
            </w:pPr>
            <w:r>
              <w:rPr>
                <w:rFonts w:ascii="Calibri" w:hAnsi="Calibri"/>
                <w:color w:val="262626"/>
                <w:sz w:val="19"/>
              </w:rPr>
              <w:t>+0.220</w:t>
            </w:r>
          </w:p>
        </w:tc>
        <w:tc>
          <w:tcPr>
            <w:tcW w:type="dxa" w:w="1440"/>
            <w:shd w:val="clear" w:color="auto" w:fill="FFFFFF"/>
            <w:tcMar>
              <w:top w:w="80" w:type="dxa"/>
              <w:bottom w:w="80" w:type="dxa"/>
              <w:left w:w="100" w:type="dxa"/>
              <w:right w:w="100" w:type="dxa"/>
            </w:tcMar>
          </w:tcPr>
          <w:p>
            <w:pPr>
              <w:jc w:val="left"/>
            </w:pPr>
            <w:r>
              <w:rPr>
                <w:rFonts w:ascii="Calibri" w:hAnsi="Calibri"/>
                <w:color w:val="262626"/>
                <w:sz w:val="19"/>
              </w:rPr>
              <w:t>+0.103</w:t>
            </w:r>
          </w:p>
        </w:tc>
        <w:tc>
          <w:tcPr>
            <w:tcW w:type="dxa" w:w="1584"/>
            <w:shd w:val="clear" w:color="auto" w:fill="FFFFFF"/>
            <w:tcMar>
              <w:top w:w="80" w:type="dxa"/>
              <w:bottom w:w="80" w:type="dxa"/>
              <w:left w:w="100" w:type="dxa"/>
              <w:right w:w="100" w:type="dxa"/>
            </w:tcMar>
          </w:tcPr>
          <w:p>
            <w:pPr>
              <w:jc w:val="left"/>
            </w:pPr>
            <w:r>
              <w:rPr>
                <w:rFonts w:ascii="Calibri" w:hAnsi="Calibri"/>
                <w:color w:val="262626"/>
                <w:sz w:val="19"/>
              </w:rPr>
              <w:t>+0.102</w:t>
            </w:r>
          </w:p>
        </w:tc>
        <w:tc>
          <w:tcPr>
            <w:tcW w:type="dxa" w:w="1296"/>
            <w:shd w:val="clear" w:color="auto" w:fill="FFFFFF"/>
            <w:tcMar>
              <w:top w:w="80" w:type="dxa"/>
              <w:bottom w:w="80" w:type="dxa"/>
              <w:left w:w="100" w:type="dxa"/>
              <w:right w:w="100" w:type="dxa"/>
            </w:tcMar>
          </w:tcPr>
          <w:p>
            <w:pPr>
              <w:jc w:val="left"/>
            </w:pPr>
            <w:r>
              <w:rPr>
                <w:rFonts w:ascii="Calibri" w:hAnsi="Calibri"/>
                <w:color w:val="262626"/>
                <w:sz w:val="19"/>
              </w:rPr>
              <w:t>1.000</w:t>
            </w:r>
          </w:p>
        </w:tc>
        <w:tc>
          <w:tcPr>
            <w:tcW w:type="dxa" w:w="1440"/>
            <w:shd w:val="clear" w:color="auto" w:fill="FFFFFF"/>
            <w:tcMar>
              <w:top w:w="80" w:type="dxa"/>
              <w:bottom w:w="80" w:type="dxa"/>
              <w:left w:w="100" w:type="dxa"/>
              <w:right w:w="100" w:type="dxa"/>
            </w:tcMar>
          </w:tcPr>
          <w:p>
            <w:pPr>
              <w:jc w:val="left"/>
            </w:pPr>
            <w:r>
              <w:rPr>
                <w:rFonts w:ascii="Calibri" w:hAnsi="Calibri"/>
                <w:color w:val="262626"/>
                <w:sz w:val="19"/>
              </w:rPr>
              <w:t>+0.151</w:t>
            </w:r>
          </w:p>
        </w:tc>
      </w:tr>
      <w:tr>
        <w:tc>
          <w:tcPr>
            <w:tcW w:type="dxa" w:w="2160"/>
            <w:shd w:val="clear" w:color="auto" w:fill="F7F9FC"/>
            <w:tcMar>
              <w:top w:w="80" w:type="dxa"/>
              <w:bottom w:w="80" w:type="dxa"/>
              <w:left w:w="100" w:type="dxa"/>
              <w:right w:w="100" w:type="dxa"/>
            </w:tcMar>
          </w:tcPr>
          <w:p>
            <w:pPr>
              <w:jc w:val="left"/>
            </w:pPr>
            <w:r>
              <w:rPr>
                <w:rFonts w:ascii="Calibri" w:hAnsi="Calibri"/>
                <w:color w:val="262626"/>
                <w:sz w:val="19"/>
              </w:rPr>
              <w:t>Churn (Binary)</w:t>
            </w:r>
          </w:p>
        </w:tc>
        <w:tc>
          <w:tcPr>
            <w:tcW w:type="dxa" w:w="1152"/>
            <w:shd w:val="clear" w:color="auto" w:fill="F7F9FC"/>
            <w:tcMar>
              <w:top w:w="80" w:type="dxa"/>
              <w:bottom w:w="80" w:type="dxa"/>
              <w:left w:w="100" w:type="dxa"/>
              <w:right w:w="100" w:type="dxa"/>
            </w:tcMar>
          </w:tcPr>
          <w:p>
            <w:pPr>
              <w:jc w:val="left"/>
            </w:pPr>
            <w:r>
              <w:rPr>
                <w:rFonts w:ascii="Calibri" w:hAnsi="Calibri"/>
                <w:color w:val="262626"/>
                <w:sz w:val="19"/>
              </w:rPr>
              <w:t>-0.352</w:t>
            </w:r>
          </w:p>
        </w:tc>
        <w:tc>
          <w:tcPr>
            <w:tcW w:type="dxa" w:w="1440"/>
            <w:shd w:val="clear" w:color="auto" w:fill="F7F9FC"/>
            <w:tcMar>
              <w:top w:w="80" w:type="dxa"/>
              <w:bottom w:w="80" w:type="dxa"/>
              <w:left w:w="100" w:type="dxa"/>
              <w:right w:w="100" w:type="dxa"/>
            </w:tcMar>
          </w:tcPr>
          <w:p>
            <w:pPr>
              <w:jc w:val="left"/>
            </w:pPr>
            <w:r>
              <w:rPr>
                <w:rFonts w:ascii="Calibri" w:hAnsi="Calibri"/>
                <w:color w:val="262626"/>
                <w:sz w:val="19"/>
              </w:rPr>
              <w:t>+0.193</w:t>
            </w:r>
          </w:p>
        </w:tc>
        <w:tc>
          <w:tcPr>
            <w:tcW w:type="dxa" w:w="1440"/>
            <w:shd w:val="clear" w:color="auto" w:fill="F7F9FC"/>
            <w:tcMar>
              <w:top w:w="80" w:type="dxa"/>
              <w:bottom w:w="80" w:type="dxa"/>
              <w:left w:w="100" w:type="dxa"/>
              <w:right w:w="100" w:type="dxa"/>
            </w:tcMar>
          </w:tcPr>
          <w:p>
            <w:pPr>
              <w:jc w:val="left"/>
            </w:pPr>
            <w:r>
              <w:rPr>
                <w:rFonts w:ascii="Calibri" w:hAnsi="Calibri"/>
                <w:color w:val="262626"/>
                <w:sz w:val="19"/>
              </w:rPr>
              <w:t>-0.198</w:t>
            </w:r>
          </w:p>
        </w:tc>
        <w:tc>
          <w:tcPr>
            <w:tcW w:type="dxa" w:w="1584"/>
            <w:shd w:val="clear" w:color="auto" w:fill="F7F9FC"/>
            <w:tcMar>
              <w:top w:w="80" w:type="dxa"/>
              <w:bottom w:w="80" w:type="dxa"/>
              <w:left w:w="100" w:type="dxa"/>
              <w:right w:w="100" w:type="dxa"/>
            </w:tcMar>
          </w:tcPr>
          <w:p>
            <w:pPr>
              <w:jc w:val="left"/>
            </w:pPr>
            <w:r>
              <w:rPr>
                <w:rFonts w:ascii="Calibri" w:hAnsi="Calibri"/>
                <w:color w:val="262626"/>
                <w:sz w:val="19"/>
              </w:rPr>
              <w:t>-0.234</w:t>
            </w:r>
          </w:p>
        </w:tc>
        <w:tc>
          <w:tcPr>
            <w:tcW w:type="dxa" w:w="1296"/>
            <w:shd w:val="clear" w:color="auto" w:fill="F7F9FC"/>
            <w:tcMar>
              <w:top w:w="80" w:type="dxa"/>
              <w:bottom w:w="80" w:type="dxa"/>
              <w:left w:w="100" w:type="dxa"/>
              <w:right w:w="100" w:type="dxa"/>
            </w:tcMar>
          </w:tcPr>
          <w:p>
            <w:pPr>
              <w:jc w:val="left"/>
            </w:pPr>
            <w:r>
              <w:rPr>
                <w:rFonts w:ascii="Calibri" w:hAnsi="Calibri"/>
                <w:color w:val="262626"/>
                <w:sz w:val="19"/>
              </w:rPr>
              <w:t>+0.151</w:t>
            </w:r>
          </w:p>
        </w:tc>
        <w:tc>
          <w:tcPr>
            <w:tcW w:type="dxa" w:w="1440"/>
            <w:shd w:val="clear" w:color="auto" w:fill="F7F9FC"/>
            <w:tcMar>
              <w:top w:w="80" w:type="dxa"/>
              <w:bottom w:w="80" w:type="dxa"/>
              <w:left w:w="100" w:type="dxa"/>
              <w:right w:w="100" w:type="dxa"/>
            </w:tcMar>
          </w:tcPr>
          <w:p>
            <w:pPr>
              <w:jc w:val="left"/>
            </w:pPr>
            <w:r>
              <w:rPr>
                <w:rFonts w:ascii="Calibri" w:hAnsi="Calibri"/>
                <w:color w:val="262626"/>
                <w:sz w:val="19"/>
              </w:rPr>
              <w:t>1.000</w:t>
            </w:r>
          </w:p>
        </w:tc>
      </w:tr>
    </w:tbl>
    <w:p>
      <w:pPr>
        <w:spacing w:after="120"/>
      </w:pPr>
    </w:p>
    <w:p>
      <w:pPr>
        <w:spacing w:before="160" w:after="80"/>
        <w:jc w:val="center"/>
      </w:pPr>
      <w:r>
        <w:drawing>
          <wp:inline xmlns:a="http://schemas.openxmlformats.org/drawingml/2006/main" xmlns:pic="http://schemas.openxmlformats.org/drawingml/2006/picture">
            <wp:extent cx="5486400" cy="4389120"/>
            <wp:docPr id="7" name="Picture 7"/>
            <wp:cNvGraphicFramePr>
              <a:graphicFrameLocks noChangeAspect="1"/>
            </wp:cNvGraphicFramePr>
            <a:graphic>
              <a:graphicData uri="http://schemas.openxmlformats.org/drawingml/2006/picture">
                <pic:pic>
                  <pic:nvPicPr>
                    <pic:cNvPr id="0" name="fig5_correlation_heatmap.png"/>
                    <pic:cNvPicPr/>
                  </pic:nvPicPr>
                  <pic:blipFill>
                    <a:blip r:embed="rId15"/>
                    <a:stretch>
                      <a:fillRect/>
                    </a:stretch>
                  </pic:blipFill>
                  <pic:spPr>
                    <a:xfrm>
                      <a:off x="0" y="0"/>
                      <a:ext cx="5486400" cy="4389120"/>
                    </a:xfrm>
                    <a:prstGeom prst="rect"/>
                  </pic:spPr>
                </pic:pic>
              </a:graphicData>
            </a:graphic>
          </wp:inline>
        </w:drawing>
      </w:r>
    </w:p>
    <w:p>
      <w:pPr>
        <w:spacing w:before="0" w:after="200"/>
        <w:jc w:val="center"/>
      </w:pPr>
      <w:r>
        <w:rPr>
          <w:rFonts w:ascii="Calibri" w:hAnsi="Calibri"/>
          <w:i/>
          <w:color w:val="555555"/>
          <w:sz w:val="19"/>
        </w:rPr>
        <w:t>Figure 5: Pearson Correlation Heatmap of Numerical and Recoded Variables.</w:t>
      </w:r>
    </w:p>
    <w:p>
      <w:pPr>
        <w:spacing w:before="0" w:after="120" w:line="276" w:lineRule="auto"/>
      </w:pPr>
      <w:r>
        <w:rPr>
          <w:rFonts w:ascii="Calibri" w:hAnsi="Calibri"/>
          <w:color w:val="262626"/>
          <w:sz w:val="22"/>
        </w:rPr>
        <w:t>Correlation Insights:</w:t>
      </w:r>
    </w:p>
    <w:p>
      <w:pPr>
        <w:spacing w:before="40" w:after="60"/>
        <w:ind w:left="360"/>
      </w:pPr>
      <w:r>
        <w:rPr>
          <w:b/>
          <w:color w:val="1F4E79"/>
        </w:rPr>
        <w:t xml:space="preserve">• Tenure is the Strongest Negative Predictor (r = -0.352): </w:t>
      </w:r>
      <w:r>
        <w:t>As account tenure increases, churn probability drops substantially. Early customer retention programs deployed during months 1 through 6 will yield the highest return on investment.</w:t>
      </w:r>
    </w:p>
    <w:p>
      <w:pPr>
        <w:spacing w:before="40" w:after="60"/>
        <w:ind w:left="360"/>
      </w:pPr>
      <w:r>
        <w:rPr>
          <w:b/>
          <w:color w:val="1F4E79"/>
        </w:rPr>
        <w:t xml:space="preserve">• Monthly Charges Positive Association (r = +0.193): </w:t>
      </w:r>
      <w:r>
        <w:t>Higher recurring monthly bills correlate with higher churn probability, reinforcing that pricing sensitivity is an active driver of customer departures.</w:t>
      </w:r>
    </w:p>
    <w:p>
      <w:pPr>
        <w:spacing w:before="40" w:after="60"/>
        <w:ind w:left="360"/>
      </w:pPr>
      <w:r>
        <w:rPr>
          <w:b/>
          <w:color w:val="1F4E79"/>
        </w:rPr>
        <w:t xml:space="preserve">• Collinearity Between Tenure and Total Charges (r = +0.826): </w:t>
      </w:r>
      <w:r>
        <w:t>Because TotalCharges is essentially the product of tenure and monthly charges, strong collinearity exists. In predictive regression modeling, retaining both raw tenure and raw total charges without regularization or dimensionality reduction could lead to variance inflation.</w:t>
      </w:r>
    </w:p>
    <w:p>
      <w:pPr>
        <w:keepNext/>
        <w:spacing w:before="360" w:after="120"/>
      </w:pPr>
      <w:r>
        <w:rPr>
          <w:rFonts w:ascii="Calibri" w:hAnsi="Calibri"/>
          <w:b/>
          <w:color w:val="1F4E79"/>
          <w:sz w:val="32"/>
        </w:rPr>
        <w:t>7. Strategic Business Implications &amp; Internship Roadmap</w:t>
      </w:r>
    </w:p>
    <w:p>
      <w:pPr>
        <w:spacing w:before="0" w:after="120" w:line="276" w:lineRule="auto"/>
      </w:pPr>
      <w:r>
        <w:rPr>
          <w:rFonts w:ascii="Calibri" w:hAnsi="Calibri"/>
          <w:color w:val="262626"/>
          <w:sz w:val="22"/>
        </w:rPr>
        <w:t>Based on the data cleaning and preliminary exploratory findings, several concrete business recommendations emerge for telecommunication stakeholders:</w:t>
      </w:r>
    </w:p>
    <w:p>
      <w:pPr>
        <w:spacing w:before="40" w:after="60"/>
        <w:ind w:left="360"/>
      </w:pPr>
      <w:r>
        <w:rPr>
          <w:b/>
          <w:color w:val="1F4E79"/>
        </w:rPr>
        <w:t xml:space="preserve">• Incentivize Annual Commitments: </w:t>
      </w:r>
      <w:r>
        <w:t>With month-to-month contracts driving 88.5% of churn, the business should design onboarding promotions that encourage new customers to sign 1-year agreements (e.g., offering free streaming add-ons or discounted fiber installation in exchange for commitment).</w:t>
      </w:r>
    </w:p>
    <w:p>
      <w:pPr>
        <w:spacing w:before="40" w:after="60"/>
        <w:ind w:left="360"/>
      </w:pPr>
      <w:r>
        <w:rPr>
          <w:b/>
          <w:color w:val="1F4E79"/>
        </w:rPr>
        <w:t xml:space="preserve">• Re-evaluate Fiber Optic Pricing Tiers: </w:t>
      </w:r>
      <w:r>
        <w:t>The 41.89% churn rate among Fiber Optic customers indicates a potential value-to-cost mismatch. Conducting customer satisfaction surveys and unbundling unwanted premium services could mitigate churn in this high-revenue segment.</w:t>
      </w:r>
    </w:p>
    <w:p>
      <w:pPr>
        <w:spacing w:before="40" w:after="60"/>
        <w:ind w:left="360"/>
      </w:pPr>
      <w:r>
        <w:rPr>
          <w:b/>
          <w:color w:val="1F4E79"/>
        </w:rPr>
        <w:t xml:space="preserve">• Automate Billing Payment Channels: </w:t>
      </w:r>
      <w:r>
        <w:t>Promoting automated credit card and bank transfer payments—while phasing out friction-heavy manual electronic check processing—can cut attrition from 45% down to 15%.</w:t>
      </w:r>
    </w:p>
    <w:p>
      <w:pPr>
        <w:spacing w:before="40" w:after="60"/>
        <w:ind w:left="360"/>
      </w:pPr>
      <w:r>
        <w:rPr>
          <w:b/>
          <w:color w:val="1F4E79"/>
        </w:rPr>
        <w:t xml:space="preserve">• Target Early-Tenure Retention Programs: </w:t>
      </w:r>
      <w:r>
        <w:t>Because the median tenure of churned customers is just 10 months, customer success interventions must be concentrated within the first 90 to 180 days.</w:t>
      </w:r>
    </w:p>
    <w:p>
      <w:pPr>
        <w:keepNext/>
        <w:spacing w:before="280" w:after="80"/>
      </w:pPr>
      <w:r>
        <w:rPr>
          <w:rFonts w:ascii="Calibri" w:hAnsi="Calibri"/>
          <w:b/>
          <w:color w:val="2F5597"/>
          <w:sz w:val="26"/>
        </w:rPr>
        <w:t>7.1 Alignment with Subsequent Internship Tasks</w:t>
      </w:r>
    </w:p>
    <w:p>
      <w:pPr>
        <w:spacing w:before="0" w:after="120" w:line="276" w:lineRule="auto"/>
      </w:pPr>
      <w:r>
        <w:rPr>
          <w:rFonts w:ascii="Calibri" w:hAnsi="Calibri"/>
          <w:color w:val="262626"/>
          <w:sz w:val="22"/>
        </w:rPr>
        <w:t>The cleaned dataset, standardized features, and encoded dummy variables generated in this task establish an ideal foundation for subsequent internship modules, including multivariate hypothesis testing, logistic regression modeling, tree-based ensemble classification, and interactive Shiny dashboarding.</w:t>
      </w:r>
    </w:p>
    <w:p>
      <w:pPr>
        <w:keepNext/>
        <w:spacing w:before="360" w:after="120"/>
      </w:pPr>
      <w:r>
        <w:rPr>
          <w:rFonts w:ascii="Calibri" w:hAnsi="Calibri"/>
          <w:b/>
          <w:color w:val="1F4E79"/>
          <w:sz w:val="32"/>
        </w:rPr>
        <w:t>8. Complete Reproducible R Code Appendix</w:t>
      </w:r>
    </w:p>
    <w:p>
      <w:pPr>
        <w:spacing w:before="0" w:after="120" w:line="276" w:lineRule="auto"/>
      </w:pPr>
      <w:r>
        <w:rPr>
          <w:rFonts w:ascii="Calibri" w:hAnsi="Calibri"/>
          <w:color w:val="262626"/>
          <w:sz w:val="22"/>
        </w:rPr>
        <w:t>The script below represents the complete, end-to-end R implementation executed for this project. It is fully self-contained and reproducible:</w:t>
      </w:r>
    </w:p>
    <w:tbl>
      <w:tblPr>
        <w:tblW w:type="auto" w:w="0"/>
        <w:jc w:val="center"/>
        <w:tblLook w:firstColumn="1" w:firstRow="1" w:lastColumn="0" w:lastRow="0" w:noHBand="0" w:noVBand="1" w:val="04A0"/>
      </w:tblPr>
      <w:tblGrid>
        <w:gridCol w:w="9360"/>
      </w:tblGrid>
      <w:tr>
        <w:tc>
          <w:tcPr>
            <w:tcW w:type="dxa" w:w="9360"/>
            <w:shd w:val="clear" w:color="auto" w:fill="F8F9FA"/>
            <w:tcMar>
              <w:top w:w="100" w:type="dxa"/>
              <w:bottom w:w="100" w:type="dxa"/>
              <w:left w:w="160" w:type="dxa"/>
              <w:right w:w="160" w:type="dxa"/>
            </w:tcMar>
            <w:tcBorders>
              <w:top w:val="single" w:sz="4" w:space="0" w:color="D0D7DE"/>
              <w:bottom w:val="single" w:sz="4" w:space="0" w:color="D0D7DE"/>
              <w:left w:val="single" w:sz="4" w:space="0" w:color="D0D7DE"/>
              <w:right w:val="single" w:sz="4" w:space="0" w:color="D0D7DE"/>
            </w:tcBorders>
          </w:tcPr>
          <w:p>
            <w:pPr>
              <w:spacing w:before="40" w:after="40"/>
            </w:pPr>
            <w:r>
              <w:rPr>
                <w:rFonts w:ascii="Consolas" w:hAnsi="Consolas"/>
                <w:color w:val="1A1A1A"/>
                <w:sz w:val="18"/>
              </w:rPr>
              <w:t># ==============================================================================</w:t>
              <w:br/>
              <w:t># Yuva Intern - Virtual R Data Analyst Internship</w:t>
              <w:br/>
              <w:t># Task 1: Data Cleaning and Preliminary Analysis with R</w:t>
              <w:br/>
              <w:t># Intern: Data Analyst Intern</w:t>
              <w:br/>
              <w:t># Dataset: IBM Telco Customer Churn (7,043 observations, 21 attributes)</w:t>
              <w:br/>
              <w:t># Description: End-to-end data cleaning, handling missingness, outlier audit,</w:t>
              <w:br/>
              <w:t>#              feature transformation/scaling, encoding, and exploratory analysis.</w:t>
              <w:br/>
              <w:t># ==============================================================================</w:t>
              <w:br/>
              <w:br/>
              <w:t># ------------------------------------------------------------------------------</w:t>
              <w:br/>
              <w:t># 1. ENVIRONMENT SETUP &amp; PACKAGE MANAGEMENT</w:t>
              <w:br/>
              <w:t># ------------------------------------------------------------------------------</w:t>
              <w:br/>
              <w:t># List of required packages for data wrangling, transformation, and visualization</w:t>
              <w:br/>
              <w:t>required_packages &lt;- c("tidyverse", "data.table", "corrplot", "gridExtra", "scales")</w:t>
              <w:br/>
              <w:br/>
              <w:t># Install missing packages automatically if required</w:t>
              <w:br/>
              <w:t>new_packages &lt;- required_packages[!(required_packages %in% installed.packages()[, "Package"])]</w:t>
              <w:br/>
              <w:t>if (length(new_packages) &gt; 0) {</w:t>
              <w:br/>
              <w:t xml:space="preserve">  install.packages(new_packages, repos = "http://cran.us.r-project.org")</w:t>
              <w:br/>
              <w:t>}</w:t>
              <w:br/>
              <w:br/>
              <w:t># Load libraries silently</w:t>
              <w:br/>
              <w:t>suppressPackageStartupMessages({</w:t>
              <w:br/>
              <w:t xml:space="preserve">  library(tidyverse)</w:t>
              <w:br/>
              <w:t xml:space="preserve">  library(data.table)</w:t>
              <w:br/>
              <w:t xml:space="preserve">  library(corrplot)</w:t>
              <w:br/>
              <w:t xml:space="preserve">  library(gridExtra)</w:t>
              <w:br/>
              <w:t xml:space="preserve">  library(scales)</w:t>
              <w:br/>
              <w:t>})</w:t>
              <w:br/>
              <w:br/>
              <w:t>cat("&gt;&gt;&gt; Step 1: Packages loaded successfully.\n")</w:t>
              <w:br/>
              <w:br/>
              <w:t># ------------------------------------------------------------------------------</w:t>
              <w:br/>
              <w:t># 2. DATA INGESTION &amp; STRUCTURAL INSPECTION</w:t>
              <w:br/>
              <w:t># ------------------------------------------------------------------------------</w:t>
              <w:br/>
              <w:t># Ingest the raw customer churn dataset</w:t>
              <w:br/>
              <w:t>dataset_path &lt;- "WA_Fn-UseC_-Telco-Customer-Churn.csv"</w:t>
              <w:br/>
              <w:br/>
              <w:t># Fallback download if not present in working directory</w:t>
              <w:br/>
              <w:t>if (!file.exists(dataset_path)) {</w:t>
              <w:br/>
              <w:t xml:space="preserve">  dataset_url &lt;- "https://raw.githubusercontent.com/treselle-systems/customer_churn_analysis/master/WA_Fn-UseC_-Telco-Customer-Churn.csv"</w:t>
              <w:br/>
              <w:t xml:space="preserve">  download.file(dataset_url, destfile = dataset_path, mode = "wb")</w:t>
              <w:br/>
              <w:t>}</w:t>
              <w:br/>
              <w:br/>
              <w:t>raw_df &lt;- read.csv(dataset_path, stringsAsFactors = FALSE, na.strings = c("NA", ""))</w:t>
              <w:br/>
              <w:br/>
              <w:t>cat("&gt;&gt;&gt; Dimensions of Raw Dataset:\n")</w:t>
              <w:br/>
              <w:t>cat(sprintf("Rows: %d | Columns: %d\n\n", nrow(raw_df), ncol(raw_df)))</w:t>
              <w:br/>
              <w:br/>
              <w:t># Initial structural overview</w:t>
              <w:br/>
              <w:t>cat("&gt;&gt;&gt; Dataset Structure (str):\n")</w:t>
              <w:br/>
              <w:t>str(raw_df)</w:t>
              <w:br/>
              <w:br/>
              <w:t>cat("\n&gt;&gt;&gt; Initial Summary Statistics (summary):\n")</w:t>
              <w:br/>
              <w:t>summary(raw_df)</w:t>
              <w:br/>
              <w:br/>
              <w:t># Check head and tail</w:t>
              <w:br/>
              <w:t>head(raw_df, 3)</w:t>
              <w:br/>
              <w:br/>
              <w:t># ------------------------------------------------------------------------------</w:t>
              <w:br/>
              <w:t># 3. DATA CLEANING &amp; PREPROCESSING</w:t>
              <w:br/>
              <w:t># ------------------------------------------------------------------------------</w:t>
              <w:br/>
              <w:t># Working copy for data cleaning</w:t>
              <w:br/>
              <w:t>clean_df &lt;- raw_df</w:t>
              <w:br/>
              <w:br/>
              <w:t># 3.1 Data Type Auditing and Type Coercion</w:t>
              <w:br/>
              <w:t># Issue 1: TotalCharges is parsed as character due to blank strings for new accounts.</w:t>
              <w:br/>
              <w:t>cat("\n&gt;&gt;&gt; Investigating TotalCharges data type and whitespace entries...\n")</w:t>
              <w:br/>
              <w:t>blank_indices &lt;- which(trimws(clean_df$TotalCharges) == "" | is.na(clean_df$TotalCharges))</w:t>
              <w:br/>
              <w:t>cat(sprintf("Identified %d blank or missing entries in TotalCharges.\n", length(blank_indices)))</w:t>
              <w:br/>
              <w:br/>
              <w:t># Inspect the tenure of these specific records</w:t>
              <w:br/>
              <w:t>tenure_of_missing &lt;- clean_df$tenure[blank_indices]</w:t>
              <w:br/>
              <w:t>cat("Tenure values for accounts with missing TotalCharges:\n")</w:t>
              <w:br/>
              <w:t>print(table(tenure_of_missing))</w:t>
              <w:br/>
              <w:br/>
              <w:t># Convert TotalCharges to numeric</w:t>
              <w:br/>
              <w:t>clean_df$TotalCharges &lt;- as.numeric(clean_df$TotalCharges)</w:t>
              <w:br/>
              <w:br/>
              <w:t># 3.2 Handling Missing Values</w:t>
              <w:br/>
              <w:t xml:space="preserve"># Domain-driven rationale: All 11 records have tenure = 0, indicating brand new customers </w:t>
              <w:br/>
              <w:t># who have not completed their first billing cycle. Setting TotalCharges = 0 reflects reality.</w:t>
              <w:br/>
              <w:t>clean_df$TotalCharges[is.na(clean_df$TotalCharges)] &lt;- 0</w:t>
              <w:br/>
              <w:t>cat("Missing values in TotalCharges successfully handled by imputing 0 based on tenure context.\n")</w:t>
              <w:br/>
              <w:br/>
              <w:t># Check if any missing values remain across all columns</w:t>
              <w:br/>
              <w:t>missing_counts &lt;- colSums(is.na(clean_df))</w:t>
              <w:br/>
              <w:t>cat("Remaining missing va</w:t>
              <w:br/>
              <w:br/>
              <w:t># ... [Script continues with full plotting and transformation code in task1_data_cleaning_eda.R] ...</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