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center"/>
      </w:pPr>
      <w:r>
        <w:rPr>
          <w:rFonts w:ascii="Times New Roman" w:hAnsi="Times New Roman" w:eastAsia="Times New Roman"/>
          <w:b/>
          <w:i w:val="0"/>
          <w:sz w:val="32"/>
        </w:rPr>
        <w:t>Assessment Cover Sheet</w:t>
      </w:r>
    </w:p>
    <w:p>
      <w:pPr>
        <w:spacing w:after="80" w:before="0" w:line="276" w:lineRule="auto"/>
        <w:jc w:val="center"/>
      </w:pPr>
      <w:r>
        <w:rPr>
          <w:rFonts w:ascii="Times New Roman" w:hAnsi="Times New Roman" w:eastAsia="Times New Roman"/>
          <w:b/>
          <w:i w:val="0"/>
          <w:sz w:val="24"/>
        </w:rPr>
        <w:t>MDA691 — Project Management and Research Methods</w:t>
      </w:r>
    </w:p>
    <w:p>
      <w:pPr>
        <w:spacing w:after="320" w:before="0" w:line="276" w:lineRule="auto"/>
        <w:jc w:val="center"/>
      </w:pPr>
      <w:r>
        <w:rPr>
          <w:rFonts w:ascii="Times New Roman" w:hAnsi="Times New Roman" w:eastAsia="Times New Roman"/>
          <w:b/>
          <w:i w:val="0"/>
          <w:sz w:val="24"/>
        </w:rPr>
        <w:t>Assignment 2 — Individual Contribution and Reflection Report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eastAsia="Times New Roman"/>
                <w:b w:val="0"/>
                <w:i w:val="0"/>
                <w:sz w:val="20"/>
              </w:rPr>
              <w:t>Student name</w:t>
            </w:r>
          </w:p>
        </w:tc>
        <w:tc>
          <w:tcPr>
            <w:tcW w:type="dxa" w:w="4680"/>
          </w:tcPr>
          <w:p>
            <w:r>
              <w:rPr>
                <w:rFonts w:ascii="Times New Roman" w:hAnsi="Times New Roman" w:eastAsia="Times New Roman"/>
                <w:b w:val="0"/>
                <w:i w:val="0"/>
                <w:sz w:val="20"/>
              </w:rPr>
              <w:t>Amit Shrestha</w:t>
            </w:r>
          </w:p>
        </w:tc>
      </w:tr>
      <w:tr>
        <w:tc>
          <w:tcPr>
            <w:tcW w:type="dxa" w:w="4680"/>
          </w:tcPr>
          <w:p>
            <w:r>
              <w:rPr>
                <w:rFonts w:ascii="Times New Roman" w:hAnsi="Times New Roman" w:eastAsia="Times New Roman"/>
                <w:b w:val="0"/>
                <w:i w:val="0"/>
                <w:sz w:val="20"/>
              </w:rPr>
              <w:t>Student ID</w:t>
            </w:r>
          </w:p>
        </w:tc>
        <w:tc>
          <w:tcPr>
            <w:tcW w:type="dxa" w:w="4680"/>
          </w:tcPr>
          <w:p>
            <w:r>
              <w:rPr>
                <w:rFonts w:ascii="Times New Roman" w:hAnsi="Times New Roman" w:eastAsia="Times New Roman"/>
                <w:b w:val="0"/>
                <w:i w:val="0"/>
                <w:sz w:val="20"/>
              </w:rPr>
              <w:t>MIT252463</w:t>
            </w:r>
          </w:p>
        </w:tc>
      </w:tr>
      <w:tr>
        <w:tc>
          <w:tcPr>
            <w:tcW w:type="dxa" w:w="4680"/>
          </w:tcPr>
          <w:p>
            <w:r>
              <w:rPr>
                <w:rFonts w:ascii="Times New Roman" w:hAnsi="Times New Roman" w:eastAsia="Times New Roman"/>
                <w:b w:val="0"/>
                <w:i w:val="0"/>
                <w:sz w:val="20"/>
              </w:rPr>
              <w:t>Course</w:t>
            </w:r>
          </w:p>
        </w:tc>
        <w:tc>
          <w:tcPr>
            <w:tcW w:type="dxa" w:w="4680"/>
          </w:tcPr>
          <w:p>
            <w:r>
              <w:rPr>
                <w:rFonts w:ascii="Times New Roman" w:hAnsi="Times New Roman" w:eastAsia="Times New Roman"/>
                <w:b w:val="0"/>
                <w:i w:val="0"/>
                <w:sz w:val="20"/>
              </w:rPr>
              <w:t>Master of Data Analytics</w:t>
            </w:r>
          </w:p>
        </w:tc>
      </w:tr>
      <w:tr>
        <w:tc>
          <w:tcPr>
            <w:tcW w:type="dxa" w:w="4680"/>
          </w:tcPr>
          <w:p>
            <w:r>
              <w:rPr>
                <w:rFonts w:ascii="Times New Roman" w:hAnsi="Times New Roman" w:eastAsia="Times New Roman"/>
                <w:b w:val="0"/>
                <w:i w:val="0"/>
                <w:sz w:val="20"/>
              </w:rPr>
              <w:t>Unit code / title</w:t>
            </w:r>
          </w:p>
        </w:tc>
        <w:tc>
          <w:tcPr>
            <w:tcW w:type="dxa" w:w="4680"/>
          </w:tcPr>
          <w:p>
            <w:r>
              <w:rPr>
                <w:rFonts w:ascii="Times New Roman" w:hAnsi="Times New Roman" w:eastAsia="Times New Roman"/>
                <w:b w:val="0"/>
                <w:i w:val="0"/>
                <w:sz w:val="20"/>
              </w:rPr>
              <w:t>MDA691 — Project Management and Research Methods</w:t>
            </w:r>
          </w:p>
        </w:tc>
      </w:tr>
      <w:tr>
        <w:tc>
          <w:tcPr>
            <w:tcW w:type="dxa" w:w="4680"/>
          </w:tcPr>
          <w:p>
            <w:r>
              <w:rPr>
                <w:rFonts w:ascii="Times New Roman" w:hAnsi="Times New Roman" w:eastAsia="Times New Roman"/>
                <w:b w:val="0"/>
                <w:i w:val="0"/>
                <w:sz w:val="20"/>
              </w:rPr>
              <w:t>Assessment</w:t>
            </w:r>
          </w:p>
        </w:tc>
        <w:tc>
          <w:tcPr>
            <w:tcW w:type="dxa" w:w="4680"/>
          </w:tcPr>
          <w:p>
            <w:r>
              <w:rPr>
                <w:rFonts w:ascii="Times New Roman" w:hAnsi="Times New Roman" w:eastAsia="Times New Roman"/>
                <w:b w:val="0"/>
                <w:i w:val="0"/>
                <w:sz w:val="20"/>
              </w:rPr>
              <w:t>Assignment 2 Individual Report (companion to Group Report)</w:t>
            </w:r>
          </w:p>
        </w:tc>
      </w:tr>
      <w:tr>
        <w:tc>
          <w:tcPr>
            <w:tcW w:type="dxa" w:w="4680"/>
          </w:tcPr>
          <w:p>
            <w:r>
              <w:rPr>
                <w:rFonts w:ascii="Times New Roman" w:hAnsi="Times New Roman" w:eastAsia="Times New Roman"/>
                <w:b w:val="0"/>
                <w:i w:val="0"/>
                <w:sz w:val="20"/>
              </w:rPr>
              <w:t>Group project</w:t>
            </w:r>
          </w:p>
        </w:tc>
        <w:tc>
          <w:tcPr>
            <w:tcW w:type="dxa" w:w="4680"/>
          </w:tcPr>
          <w:p>
            <w:r>
              <w:rPr>
                <w:rFonts w:ascii="Times New Roman" w:hAnsi="Times New Roman" w:eastAsia="Times New Roman"/>
                <w:b w:val="0"/>
                <w:i w:val="0"/>
                <w:sz w:val="20"/>
              </w:rPr>
              <w:t>Real-Time Data with Agentic AI for Industrial Predictive Maintenance (PdM)</w:t>
            </w:r>
          </w:p>
        </w:tc>
      </w:tr>
      <w:tr>
        <w:tc>
          <w:tcPr>
            <w:tcW w:type="dxa" w:w="4680"/>
          </w:tcPr>
          <w:p>
            <w:r>
              <w:rPr>
                <w:rFonts w:ascii="Times New Roman" w:hAnsi="Times New Roman" w:eastAsia="Times New Roman"/>
                <w:b w:val="0"/>
                <w:i w:val="0"/>
                <w:sz w:val="20"/>
              </w:rPr>
              <w:t>Industry client</w:t>
            </w:r>
          </w:p>
        </w:tc>
        <w:tc>
          <w:tcPr>
            <w:tcW w:type="dxa" w:w="4680"/>
          </w:tcPr>
          <w:p>
            <w:r>
              <w:rPr>
                <w:rFonts w:ascii="Times New Roman" w:hAnsi="Times New Roman" w:eastAsia="Times New Roman"/>
                <w:b w:val="0"/>
                <w:i w:val="0"/>
                <w:sz w:val="20"/>
              </w:rPr>
              <w:t>eLabtronics / runlinc (STEMSEL E32W)</w:t>
            </w:r>
          </w:p>
        </w:tc>
      </w:tr>
      <w:tr>
        <w:tc>
          <w:tcPr>
            <w:tcW w:type="dxa" w:w="4680"/>
          </w:tcPr>
          <w:p>
            <w:r>
              <w:rPr>
                <w:rFonts w:ascii="Times New Roman" w:hAnsi="Times New Roman" w:eastAsia="Times New Roman"/>
                <w:b w:val="0"/>
                <w:i w:val="0"/>
                <w:sz w:val="20"/>
              </w:rPr>
              <w:t>Campus</w:t>
            </w:r>
          </w:p>
        </w:tc>
        <w:tc>
          <w:tcPr>
            <w:tcW w:type="dxa" w:w="4680"/>
          </w:tcPr>
          <w:p>
            <w:r>
              <w:rPr>
                <w:rFonts w:ascii="Times New Roman" w:hAnsi="Times New Roman" w:eastAsia="Times New Roman"/>
                <w:b w:val="0"/>
                <w:i w:val="0"/>
                <w:sz w:val="20"/>
              </w:rPr>
              <w:t>Melbourne Institute of Technology</w:t>
            </w:r>
          </w:p>
        </w:tc>
      </w:tr>
      <w:tr>
        <w:tc>
          <w:tcPr>
            <w:tcW w:type="dxa" w:w="4680"/>
          </w:tcPr>
          <w:p>
            <w:r>
              <w:rPr>
                <w:rFonts w:ascii="Times New Roman" w:hAnsi="Times New Roman" w:eastAsia="Times New Roman"/>
                <w:b w:val="0"/>
                <w:i w:val="0"/>
                <w:sz w:val="20"/>
              </w:rPr>
              <w:t>Lecturer / Tutor</w:t>
            </w:r>
          </w:p>
        </w:tc>
        <w:tc>
          <w:tcPr>
            <w:tcW w:type="dxa" w:w="4680"/>
          </w:tcPr>
          <w:p>
            <w:r>
              <w:rPr>
                <w:rFonts w:ascii="Times New Roman" w:hAnsi="Times New Roman" w:eastAsia="Times New Roman"/>
                <w:b w:val="0"/>
                <w:i w:val="0"/>
                <w:sz w:val="20"/>
              </w:rPr>
              <w:t>Dr Basharat Ali</w:t>
            </w:r>
          </w:p>
        </w:tc>
      </w:tr>
      <w:tr>
        <w:tc>
          <w:tcPr>
            <w:tcW w:type="dxa" w:w="4680"/>
          </w:tcPr>
          <w:p>
            <w:r>
              <w:rPr>
                <w:rFonts w:ascii="Times New Roman" w:hAnsi="Times New Roman" w:eastAsia="Times New Roman"/>
                <w:b w:val="0"/>
                <w:i w:val="0"/>
                <w:sz w:val="20"/>
              </w:rPr>
              <w:t>Due / submission date</w:t>
            </w:r>
          </w:p>
        </w:tc>
        <w:tc>
          <w:tcPr>
            <w:tcW w:type="dxa" w:w="4680"/>
          </w:tcPr>
          <w:p>
            <w:r>
              <w:rPr>
                <w:rFonts w:ascii="Times New Roman" w:hAnsi="Times New Roman" w:eastAsia="Times New Roman"/>
                <w:b w:val="0"/>
                <w:i w:val="0"/>
                <w:sz w:val="20"/>
              </w:rPr>
              <w:t>13 September 2026</w:t>
            </w:r>
          </w:p>
        </w:tc>
      </w:tr>
    </w:tbl>
    <w:p>
      <w:pPr>
        <w:spacing w:after="120" w:before="0" w:line="276" w:lineRule="auto"/>
        <w:jc w:val="left"/>
      </w:pPr>
      <w:r>
        <w:rPr>
          <w:rFonts w:ascii="Times New Roman" w:hAnsi="Times New Roman" w:eastAsia="Times New Roman"/>
          <w:b w:val="0"/>
          <w:i w:val="0"/>
          <w:sz w:val="22"/>
        </w:rPr>
      </w:r>
    </w:p>
    <w:p>
      <w:pPr>
        <w:spacing w:after="80" w:before="0" w:line="276" w:lineRule="auto"/>
        <w:jc w:val="left"/>
      </w:pPr>
      <w:r>
        <w:rPr>
          <w:rFonts w:ascii="Times New Roman" w:hAnsi="Times New Roman" w:eastAsia="Times New Roman"/>
          <w:b/>
          <w:i w:val="0"/>
          <w:sz w:val="22"/>
        </w:rPr>
        <w:t>Student declaration</w:t>
      </w:r>
    </w:p>
    <w:p>
      <w:pPr>
        <w:spacing w:after="120" w:before="0" w:line="276" w:lineRule="auto"/>
        <w:jc w:val="both"/>
      </w:pPr>
      <w:r>
        <w:rPr>
          <w:rFonts w:ascii="Times New Roman" w:hAnsi="Times New Roman" w:eastAsia="Times New Roman"/>
          <w:b w:val="0"/>
          <w:i w:val="0"/>
          <w:sz w:val="22"/>
        </w:rPr>
        <w:t>I declare that this individual report is my own work and honestly describes my contribution to the group project. I have not submitted this work for assessment in any other unit. Where I refer to group deliverables, I identify my personal role clearly.</w:t>
      </w:r>
    </w:p>
    <w:p>
      <w:pPr>
        <w:spacing w:after="40" w:before="0" w:line="276" w:lineRule="auto"/>
        <w:jc w:val="left"/>
      </w:pPr>
      <w:r>
        <w:rPr>
          <w:rFonts w:ascii="Times New Roman" w:hAnsi="Times New Roman" w:eastAsia="Times New Roman"/>
          <w:b w:val="0"/>
          <w:i w:val="0"/>
          <w:sz w:val="22"/>
        </w:rPr>
        <w:t>Signature: Amit Shrestha</w:t>
      </w:r>
    </w:p>
    <w:p>
      <w:pPr>
        <w:spacing w:after="360" w:before="0" w:line="276" w:lineRule="auto"/>
        <w:jc w:val="left"/>
      </w:pPr>
      <w:r>
        <w:rPr>
          <w:rFonts w:ascii="Times New Roman" w:hAnsi="Times New Roman" w:eastAsia="Times New Roman"/>
          <w:b w:val="0"/>
          <w:i w:val="0"/>
          <w:sz w:val="22"/>
        </w:rPr>
        <w:t>Date: 13 September 2026</w:t>
      </w:r>
    </w:p>
    <w:p>
      <w:pPr>
        <w:spacing w:before="280" w:after="120"/>
        <w:jc w:val="left"/>
      </w:pPr>
      <w:r>
        <w:rPr>
          <w:rFonts w:ascii="Times New Roman" w:hAnsi="Times New Roman" w:eastAsia="Times New Roman"/>
          <w:b/>
          <w:i w:val="0"/>
          <w:sz w:val="28"/>
        </w:rPr>
        <w:t>1. Purpose of this individual report</w:t>
      </w:r>
    </w:p>
    <w:p>
      <w:pPr>
        <w:spacing w:after="160" w:before="0" w:line="276" w:lineRule="auto"/>
        <w:ind w:firstLine="432"/>
        <w:jc w:val="both"/>
      </w:pPr>
      <w:r>
        <w:rPr>
          <w:rFonts w:ascii="Times New Roman" w:hAnsi="Times New Roman" w:eastAsia="Times New Roman"/>
          <w:b w:val="0"/>
          <w:i w:val="0"/>
          <w:sz w:val="22"/>
        </w:rPr>
        <w:t>This individual report accompanies the MDA691 Assignment 2 group submission. It records my personal role, concrete contributions during Weeks 5–8 (planning and intermediate design), participation in client engagement, literature work, and a critical reflection on challenges, teamwork, and next steps for implementation in MDA692. The group report remains the shared technical artefact; this document evidences my individual accountability as Agent and integration lead.</w:t>
      </w:r>
    </w:p>
    <w:p>
      <w:pPr>
        <w:spacing w:before="280" w:after="120"/>
        <w:jc w:val="left"/>
      </w:pPr>
      <w:r>
        <w:rPr>
          <w:rFonts w:ascii="Times New Roman" w:hAnsi="Times New Roman" w:eastAsia="Times New Roman"/>
          <w:b/>
          <w:i w:val="0"/>
          <w:sz w:val="28"/>
        </w:rPr>
        <w:t>2. My role in the project</w:t>
      </w:r>
    </w:p>
    <w:p>
      <w:pPr>
        <w:spacing w:after="160" w:before="0" w:line="276" w:lineRule="auto"/>
        <w:ind w:firstLine="432"/>
        <w:jc w:val="both"/>
      </w:pPr>
      <w:r>
        <w:rPr>
          <w:rFonts w:ascii="Times New Roman" w:hAnsi="Times New Roman" w:eastAsia="Times New Roman"/>
          <w:b w:val="0"/>
          <w:i w:val="0"/>
          <w:sz w:val="22"/>
        </w:rPr>
        <w:t>In the team RACI matrix I am Responsible for the agent layer, Thought Log dashboard, simulated ERP/messaging tooling, end-to-end integration testing, and compilation of the group report (WBS Package 1 — Project management and integration). I am Consulted on schedule/Gantt decisions and Informed on edge features and RUL analytics so that agent interfaces stay aligned with MQTT schemas and feature vectors produced by other members.</w:t>
      </w:r>
    </w:p>
    <w:p>
      <w:pPr>
        <w:spacing w:after="160" w:before="120" w:line="276" w:lineRule="auto"/>
        <w:jc w:val="left"/>
      </w:pPr>
      <w:r>
        <w:rPr>
          <w:rFonts w:ascii="Times New Roman" w:hAnsi="Times New Roman" w:eastAsia="Times New Roman"/>
          <w:b/>
          <w:i w:val="0"/>
          <w:sz w:val="22"/>
        </w:rPr>
        <w:t>My accountability covers:</w:t>
      </w:r>
    </w:p>
    <w:p>
      <w:pPr>
        <w:pStyle w:val="ListBullet"/>
        <w:spacing w:after="80" w:line="276" w:lineRule="auto"/>
      </w:pPr>
      <w:r>
        <w:rPr>
          <w:rFonts w:ascii="Times New Roman" w:hAnsi="Times New Roman" w:eastAsia="Times New Roman"/>
          <w:b w:val="0"/>
          <w:i w:val="0"/>
          <w:sz w:val="22"/>
        </w:rPr>
        <w:t>runlinc AI Assistant wrapper design (ReAct-style reason–act loop with schema-validated tools).</w:t>
      </w:r>
    </w:p>
    <w:p>
      <w:pPr>
        <w:pStyle w:val="ListBullet"/>
        <w:spacing w:after="80" w:line="276" w:lineRule="auto"/>
      </w:pPr>
      <w:r>
        <w:rPr>
          <w:rFonts w:ascii="Times New Roman" w:hAnsi="Times New Roman" w:eastAsia="Times New Roman"/>
          <w:b w:val="0"/>
          <w:i w:val="0"/>
          <w:sz w:val="22"/>
        </w:rPr>
        <w:t>Simulated ERP / messaging APIs (OpenAPI-style mock endpoints for maintenance actions).</w:t>
      </w:r>
    </w:p>
    <w:p>
      <w:pPr>
        <w:pStyle w:val="ListBullet"/>
        <w:spacing w:after="80" w:line="276" w:lineRule="auto"/>
      </w:pPr>
      <w:r>
        <w:rPr>
          <w:rFonts w:ascii="Times New Roman" w:hAnsi="Times New Roman" w:eastAsia="Times New Roman"/>
          <w:b w:val="0"/>
          <w:i w:val="0"/>
          <w:sz w:val="22"/>
        </w:rPr>
        <w:t>Thought Log dashboard (auditable agent trace linked to feature-window IDs).</w:t>
      </w:r>
    </w:p>
    <w:p>
      <w:pPr>
        <w:pStyle w:val="ListBullet"/>
        <w:spacing w:after="80" w:line="276" w:lineRule="auto"/>
      </w:pPr>
      <w:r>
        <w:rPr>
          <w:rFonts w:ascii="Times New Roman" w:hAnsi="Times New Roman" w:eastAsia="Times New Roman"/>
          <w:b w:val="0"/>
          <w:i w:val="0"/>
          <w:sz w:val="22"/>
        </w:rPr>
        <w:t>Integration risks R5 (MQTT/agent unavailable at demo) and R6 (invalid tool calls).</w:t>
      </w:r>
    </w:p>
    <w:p>
      <w:pPr>
        <w:pStyle w:val="ListBullet"/>
        <w:spacing w:after="80" w:line="276" w:lineRule="auto"/>
      </w:pPr>
      <w:r>
        <w:rPr>
          <w:rFonts w:ascii="Times New Roman" w:hAnsi="Times New Roman" w:eastAsia="Times New Roman"/>
          <w:b w:val="0"/>
          <w:i w:val="0"/>
          <w:sz w:val="22"/>
        </w:rPr>
        <w:t>Literature theme: agentic AI, tool use, and industrial LLM deployment constraints.</w:t>
      </w:r>
    </w:p>
    <w:p>
      <w:pPr>
        <w:pStyle w:val="ListBullet"/>
        <w:spacing w:after="80" w:line="276" w:lineRule="auto"/>
      </w:pPr>
      <w:r>
        <w:rPr>
          <w:rFonts w:ascii="Times New Roman" w:hAnsi="Times New Roman" w:eastAsia="Times New Roman"/>
          <w:b w:val="0"/>
          <w:i w:val="0"/>
          <w:sz w:val="22"/>
        </w:rPr>
        <w:t>Group report compile, Figure 1 architecture consistency, and submission packaging.</w:t>
      </w:r>
    </w:p>
    <w:p>
      <w:pPr>
        <w:spacing w:before="280" w:after="120"/>
        <w:jc w:val="left"/>
      </w:pPr>
      <w:r>
        <w:rPr>
          <w:rFonts w:ascii="Times New Roman" w:hAnsi="Times New Roman" w:eastAsia="Times New Roman"/>
          <w:b/>
          <w:i w:val="0"/>
          <w:sz w:val="28"/>
        </w:rPr>
        <w:t>3. Personal contributions to Assignment 2</w:t>
      </w:r>
    </w:p>
    <w:p>
      <w:pPr>
        <w:spacing w:before="200" w:after="120"/>
        <w:jc w:val="left"/>
      </w:pPr>
      <w:r>
        <w:rPr>
          <w:rFonts w:ascii="Times New Roman" w:hAnsi="Times New Roman" w:eastAsia="Times New Roman"/>
          <w:b/>
          <w:i w:val="0"/>
          <w:sz w:val="24"/>
        </w:rPr>
        <w:t>3.1 Planning and architecture</w:t>
      </w:r>
    </w:p>
    <w:p>
      <w:pPr>
        <w:spacing w:after="160" w:before="0" w:line="276" w:lineRule="auto"/>
        <w:ind w:firstLine="432"/>
        <w:jc w:val="both"/>
      </w:pPr>
      <w:r>
        <w:rPr>
          <w:rFonts w:ascii="Times New Roman" w:hAnsi="Times New Roman" w:eastAsia="Times New Roman"/>
          <w:b w:val="0"/>
          <w:i w:val="0"/>
          <w:sz w:val="22"/>
        </w:rPr>
        <w:t>I led the dual-path architecture narrative used in Section 7: millisecond ISO 10816 reflex alarms remain on the E32W edge, while slower agentic reasoning never blocks the safety path. I drafted and iterated the project architecture plan so kit module names (Shock, TEMP 18B20, buzzer) map clearly onto GPIO assignments and the four layers (sensing, edge controller, analytics/agent, monitoring). This diagram was inserted as Figure 1 in the group report to make the planned system readable for the client and assessors.</w:t>
      </w:r>
    </w:p>
    <w:p>
      <w:pPr>
        <w:spacing w:before="200" w:after="120"/>
        <w:jc w:val="left"/>
      </w:pPr>
      <w:r>
        <w:rPr>
          <w:rFonts w:ascii="Times New Roman" w:hAnsi="Times New Roman" w:eastAsia="Times New Roman"/>
          <w:b/>
          <w:i w:val="0"/>
          <w:sz w:val="24"/>
        </w:rPr>
        <w:t>3.2 Agent, tools and dashboard design</w:t>
      </w:r>
    </w:p>
    <w:p>
      <w:pPr>
        <w:spacing w:after="160" w:before="0" w:line="276" w:lineRule="auto"/>
        <w:ind w:firstLine="432"/>
        <w:jc w:val="both"/>
      </w:pPr>
      <w:r>
        <w:rPr>
          <w:rFonts w:ascii="Times New Roman" w:hAnsi="Times New Roman" w:eastAsia="Times New Roman"/>
          <w:b w:val="0"/>
          <w:i w:val="0"/>
          <w:sz w:val="22"/>
        </w:rPr>
        <w:t>For intermediate design I specified the agent sequence and Thought Log behaviour (Figure 5 concept in the group report): structured assessment outputs, schema-valid tool calls, and a Needs Review hand-off for human-in-the-loop control. I defined success criteria tied to Objective/FR coverage (≥80% structured-output pass rate on a 30-scenario suite; 100% schema-valid tool calls; full audit traceability from action to feature-window ID). These metrics keep Assignment 2 design testable in later implementation weeks (14–18).</w:t>
      </w:r>
    </w:p>
    <w:p>
      <w:pPr>
        <w:spacing w:before="200" w:after="120"/>
        <w:jc w:val="left"/>
      </w:pPr>
      <w:r>
        <w:rPr>
          <w:rFonts w:ascii="Times New Roman" w:hAnsi="Times New Roman" w:eastAsia="Times New Roman"/>
          <w:b/>
          <w:i w:val="0"/>
          <w:sz w:val="24"/>
        </w:rPr>
        <w:t>3.3 Integration, quality and risk ownership</w:t>
      </w:r>
    </w:p>
    <w:p>
      <w:pPr>
        <w:spacing w:after="160" w:before="0" w:line="276" w:lineRule="auto"/>
        <w:ind w:firstLine="432"/>
        <w:jc w:val="both"/>
      </w:pPr>
      <w:r>
        <w:rPr>
          <w:rFonts w:ascii="Times New Roman" w:hAnsi="Times New Roman" w:eastAsia="Times New Roman"/>
          <w:b w:val="0"/>
          <w:i w:val="0"/>
          <w:sz w:val="22"/>
        </w:rPr>
        <w:t>I proposed the Definition of Done items that protect integration quality: JSON schema tests, deterministic replay before live agent demos, and the rule that local reflex continues if the agent API is offline. As owner of risks R5 and R6 I documented mitigations (replay harness; schema validation; negative test cases; human acknowledgement). I also coordinated report sections so requirements, design, and WBS owners stay consistent.</w:t>
      </w:r>
    </w:p>
    <w:p>
      <w:pPr>
        <w:spacing w:before="200" w:after="120"/>
        <w:jc w:val="left"/>
      </w:pPr>
      <w:r>
        <w:rPr>
          <w:rFonts w:ascii="Times New Roman" w:hAnsi="Times New Roman" w:eastAsia="Times New Roman"/>
          <w:b/>
          <w:i w:val="0"/>
          <w:sz w:val="24"/>
        </w:rPr>
        <w:t>3.4 Client meetings and lab participation</w:t>
      </w:r>
    </w:p>
    <w:p>
      <w:pPr>
        <w:spacing w:after="160" w:before="0" w:line="276" w:lineRule="auto"/>
        <w:ind w:firstLine="432"/>
        <w:jc w:val="both"/>
      </w:pPr>
      <w:r>
        <w:rPr>
          <w:rFonts w:ascii="Times New Roman" w:hAnsi="Times New Roman" w:eastAsia="Times New Roman"/>
          <w:b w:val="0"/>
          <w:i w:val="0"/>
          <w:sz w:val="22"/>
        </w:rPr>
        <w:t>I attended the documented client sessions on 10, 17 and 24 August 2026 with Miroslav Kostecki / runlinc support, including hotspot troubleshooting and the Week 7 hardware session (LED blink on D2; runlinc Projects 14/15). I witnessed the DS18B20 smoke test (23.125 °C) that confirms basic E32W I/O before vibration and agent integration. These meetings clarified that the team collects lab telemetry from the supplied kit — not client factory plant data — which shaped FR scope and my agent demo assumptions.</w:t>
      </w:r>
    </w:p>
    <w:p>
      <w:pPr>
        <w:spacing w:before="200" w:after="120"/>
        <w:jc w:val="left"/>
      </w:pPr>
      <w:r>
        <w:rPr>
          <w:rFonts w:ascii="Times New Roman" w:hAnsi="Times New Roman" w:eastAsia="Times New Roman"/>
          <w:b/>
          <w:i w:val="0"/>
          <w:sz w:val="24"/>
        </w:rPr>
        <w:t>3.5 Literature contribution</w:t>
      </w:r>
    </w:p>
    <w:p>
      <w:pPr>
        <w:spacing w:after="160" w:before="0" w:line="276" w:lineRule="auto"/>
        <w:ind w:firstLine="432"/>
        <w:jc w:val="both"/>
      </w:pPr>
      <w:r>
        <w:rPr>
          <w:rFonts w:ascii="Times New Roman" w:hAnsi="Times New Roman" w:eastAsia="Times New Roman"/>
          <w:b w:val="0"/>
          <w:i w:val="0"/>
          <w:sz w:val="22"/>
        </w:rPr>
        <w:t>Each member contributed ten annotated sources (2023–2026) to Appendix II. My theme was agentic AI and tool use (for example ReAct-style agents, Toolformer-style tool calling, industrial LLM deployment, and auditability). I used this reading to argue why schema validation and reflex/agent separation are necessary: published agent frameworks demonstrate multi-step tool use, but rarely constrain tools for safety-critical maintenance. That gap directly informed RQ3/RQ4 and my design of the Thought Log.</w:t>
      </w:r>
    </w:p>
    <w:p>
      <w:pPr>
        <w:spacing w:before="280" w:after="120"/>
        <w:jc w:val="left"/>
      </w:pPr>
      <w:r>
        <w:rPr>
          <w:rFonts w:ascii="Times New Roman" w:hAnsi="Times New Roman" w:eastAsia="Times New Roman"/>
          <w:b/>
          <w:i w:val="0"/>
          <w:sz w:val="28"/>
        </w:rPr>
        <w:t>4. Critical reflection</w:t>
      </w:r>
    </w:p>
    <w:p>
      <w:pPr>
        <w:spacing w:before="200" w:after="120"/>
        <w:jc w:val="left"/>
      </w:pPr>
      <w:r>
        <w:rPr>
          <w:rFonts w:ascii="Times New Roman" w:hAnsi="Times New Roman" w:eastAsia="Times New Roman"/>
          <w:b/>
          <w:i w:val="0"/>
          <w:sz w:val="24"/>
        </w:rPr>
        <w:t>4.1 What went well</w:t>
      </w:r>
    </w:p>
    <w:p>
      <w:pPr>
        <w:spacing w:after="160" w:before="0" w:line="276" w:lineRule="auto"/>
        <w:ind w:firstLine="432"/>
        <w:jc w:val="both"/>
      </w:pPr>
      <w:r>
        <w:rPr>
          <w:rFonts w:ascii="Times New Roman" w:hAnsi="Times New Roman" w:eastAsia="Times New Roman"/>
          <w:b w:val="0"/>
          <w:i w:val="0"/>
          <w:sz w:val="22"/>
        </w:rPr>
        <w:t>Splitting responsibilities early reduced conflict: Subala owns edge timing, Pavan owns RUL, Asmita owns requirements/risk quality, and I own agent/integration. Client meetings converted a generic PdM idea into a platform-specific plan on STEMSEL E32W. Writing measurable agent metrics in Assignment 2 forced us to define “done” before coding, which should reduce rework in MDA692.</w:t>
      </w:r>
    </w:p>
    <w:p>
      <w:pPr>
        <w:spacing w:before="200" w:after="120"/>
        <w:jc w:val="left"/>
      </w:pPr>
      <w:r>
        <w:rPr>
          <w:rFonts w:ascii="Times New Roman" w:hAnsi="Times New Roman" w:eastAsia="Times New Roman"/>
          <w:b/>
          <w:i w:val="0"/>
          <w:sz w:val="24"/>
        </w:rPr>
        <w:t>4.2 Challenges and how I handled them</w:t>
      </w:r>
    </w:p>
    <w:p>
      <w:pPr>
        <w:spacing w:after="160" w:before="0" w:line="276" w:lineRule="auto"/>
        <w:ind w:firstLine="432"/>
        <w:jc w:val="both"/>
      </w:pPr>
      <w:r>
        <w:rPr>
          <w:rFonts w:ascii="Times New Roman" w:hAnsi="Times New Roman" w:eastAsia="Times New Roman"/>
          <w:b w:val="0"/>
          <w:i w:val="0"/>
          <w:sz w:val="22"/>
        </w:rPr>
        <w:t>The main challenge for my stream is dependency risk: the agent cannot be fairly evaluated until MQTT feature topics and RUL outputs exist. I mitigated this by designing a replay harness path and mock ERP tools so agent logic can be tested with stored streams. A second challenge was keeping safety claims honest — an LLM must not be described as a real-time alarm. I repeatedly restated the dual-path rule in architecture text and risk R5 so assessors and the client see that AI advises while the edge protects.</w:t>
      </w:r>
    </w:p>
    <w:p>
      <w:pPr>
        <w:spacing w:before="200" w:after="120"/>
        <w:jc w:val="left"/>
      </w:pPr>
      <w:r>
        <w:rPr>
          <w:rFonts w:ascii="Times New Roman" w:hAnsi="Times New Roman" w:eastAsia="Times New Roman"/>
          <w:b/>
          <w:i w:val="0"/>
          <w:sz w:val="24"/>
        </w:rPr>
        <w:t>4.3 Teamwork and communication</w:t>
      </w:r>
    </w:p>
    <w:p>
      <w:pPr>
        <w:spacing w:after="160" w:before="0" w:line="276" w:lineRule="auto"/>
        <w:ind w:firstLine="432"/>
        <w:jc w:val="both"/>
      </w:pPr>
      <w:r>
        <w:rPr>
          <w:rFonts w:ascii="Times New Roman" w:hAnsi="Times New Roman" w:eastAsia="Times New Roman"/>
          <w:b w:val="0"/>
          <w:i w:val="0"/>
          <w:sz w:val="22"/>
        </w:rPr>
        <w:t>We used short feature ownership, shared meeting minutes, and one peer review before merging document sections. When Assignment 1b feedback criticised generic introduction and RQ alignment, I helped rewrite the contribution statement and checked that my agent objectives still map to RQ3/RQ4. Occasional naming inconsistencies across drafts (sensor labels, GPIO notes) were resolved by standardising on kit names Shock, TEMP 18B20 and buzzer in Figure 1.</w:t>
      </w:r>
    </w:p>
    <w:p>
      <w:pPr>
        <w:spacing w:before="200" w:after="120"/>
        <w:jc w:val="left"/>
      </w:pPr>
      <w:r>
        <w:rPr>
          <w:rFonts w:ascii="Times New Roman" w:hAnsi="Times New Roman" w:eastAsia="Times New Roman"/>
          <w:b/>
          <w:i w:val="0"/>
          <w:sz w:val="24"/>
        </w:rPr>
        <w:t>4.4 What I would improve</w:t>
      </w:r>
    </w:p>
    <w:p>
      <w:pPr>
        <w:spacing w:after="160" w:before="0" w:line="276" w:lineRule="auto"/>
        <w:ind w:firstLine="432"/>
        <w:jc w:val="both"/>
      </w:pPr>
      <w:r>
        <w:rPr>
          <w:rFonts w:ascii="Times New Roman" w:hAnsi="Times New Roman" w:eastAsia="Times New Roman"/>
          <w:b w:val="0"/>
          <w:i w:val="0"/>
          <w:sz w:val="22"/>
        </w:rPr>
        <w:t>I would start a thin vertical slice earlier: one MQTT topic, one mock tool, one Thought Log row — even before full FFT/RUL maturity. That would expose integration bugs sooner. I would also keep a personal weekly checklist against WBS 1 tasks so report compile work does not crowd out agent design depth.</w:t>
      </w:r>
    </w:p>
    <w:p>
      <w:pPr>
        <w:spacing w:before="280" w:after="120"/>
        <w:jc w:val="left"/>
      </w:pPr>
      <w:r>
        <w:rPr>
          <w:rFonts w:ascii="Times New Roman" w:hAnsi="Times New Roman" w:eastAsia="Times New Roman"/>
          <w:b/>
          <w:i w:val="0"/>
          <w:sz w:val="28"/>
        </w:rPr>
        <w:t>5. Learning outcomes</w:t>
      </w:r>
    </w:p>
    <w:p>
      <w:pPr>
        <w:spacing w:after="160" w:before="0" w:line="276" w:lineRule="auto"/>
        <w:ind w:firstLine="432"/>
        <w:jc w:val="both"/>
      </w:pPr>
      <w:r>
        <w:rPr>
          <w:rFonts w:ascii="Times New Roman" w:hAnsi="Times New Roman" w:eastAsia="Times New Roman"/>
          <w:b w:val="0"/>
          <w:i w:val="0"/>
          <w:sz w:val="22"/>
        </w:rPr>
        <w:t>Through Assignment 2 I strengthened three skills relevant to MDA691: (1) translating research questions into testable design metrics; (2) applying software-engineering governance (schema tests, Definition of Done, risk owners) to a data/AI project; and (3) critically reading agentic-AI literature for industrial constraints rather than adopting demos uncritically. I also improved stakeholder communication by documenting client decisions that change scope (lab kit data only).</w:t>
      </w:r>
    </w:p>
    <w:p>
      <w:pPr>
        <w:spacing w:before="280" w:after="120"/>
        <w:jc w:val="left"/>
      </w:pPr>
      <w:r>
        <w:rPr>
          <w:rFonts w:ascii="Times New Roman" w:hAnsi="Times New Roman" w:eastAsia="Times New Roman"/>
          <w:b/>
          <w:i w:val="0"/>
          <w:sz w:val="28"/>
        </w:rPr>
        <w:t>6. Individual plan for the next phase</w:t>
      </w:r>
    </w:p>
    <w:p>
      <w:pPr>
        <w:spacing w:after="80" w:before="0" w:line="276" w:lineRule="auto"/>
        <w:jc w:val="left"/>
      </w:pPr>
      <w:r>
        <w:rPr>
          <w:rFonts w:ascii="Times New Roman" w:hAnsi="Times New Roman" w:eastAsia="Times New Roman"/>
          <w:b w:val="0"/>
          <w:i w:val="0"/>
          <w:sz w:val="22"/>
        </w:rPr>
        <w:t>Aligned to the group schedule, my next deliverables are:</w:t>
      </w:r>
    </w:p>
    <w:p>
      <w:pPr>
        <w:pStyle w:val="ListBullet"/>
        <w:spacing w:after="80" w:line="276" w:lineRule="auto"/>
      </w:pPr>
      <w:r>
        <w:rPr>
          <w:rFonts w:ascii="Times New Roman" w:hAnsi="Times New Roman" w:eastAsia="Times New Roman"/>
          <w:b w:val="0"/>
          <w:i w:val="0"/>
          <w:sz w:val="22"/>
        </w:rPr>
        <w:t>Week 14 — Implement runlinc AI Assistant wrapper against replayed feature/RUL messages.</w:t>
      </w:r>
    </w:p>
    <w:p>
      <w:pPr>
        <w:pStyle w:val="ListBullet"/>
        <w:spacing w:after="80" w:line="276" w:lineRule="auto"/>
      </w:pPr>
      <w:r>
        <w:rPr>
          <w:rFonts w:ascii="Times New Roman" w:hAnsi="Times New Roman" w:eastAsia="Times New Roman"/>
          <w:b w:val="0"/>
          <w:i w:val="0"/>
          <w:sz w:val="22"/>
        </w:rPr>
        <w:t>Week 16 — Deliver FastAPI (or equivalent) ERP/messaging mocks and 30-scenario evaluation suite with Pavan.</w:t>
      </w:r>
    </w:p>
    <w:p>
      <w:pPr>
        <w:pStyle w:val="ListBullet"/>
        <w:spacing w:after="80" w:line="276" w:lineRule="auto"/>
      </w:pPr>
      <w:r>
        <w:rPr>
          <w:rFonts w:ascii="Times New Roman" w:hAnsi="Times New Roman" w:eastAsia="Times New Roman"/>
          <w:b w:val="0"/>
          <w:i w:val="0"/>
          <w:sz w:val="22"/>
        </w:rPr>
        <w:t>Week 18 — Ship Thought Log dashboard v1 with full action-to-window traceability.</w:t>
      </w:r>
    </w:p>
    <w:p>
      <w:pPr>
        <w:pStyle w:val="ListBullet"/>
        <w:spacing w:after="80" w:line="276" w:lineRule="auto"/>
      </w:pPr>
      <w:r>
        <w:rPr>
          <w:rFonts w:ascii="Times New Roman" w:hAnsi="Times New Roman" w:eastAsia="Times New Roman"/>
          <w:b w:val="0"/>
          <w:i w:val="0"/>
          <w:sz w:val="22"/>
        </w:rPr>
        <w:t>Week 20 — Lead end-to-end integration demo; verify reflex still works with agent offline.</w:t>
      </w:r>
    </w:p>
    <w:p>
      <w:pPr>
        <w:spacing w:after="160" w:before="0" w:line="276" w:lineRule="auto"/>
        <w:ind w:firstLine="432"/>
        <w:jc w:val="both"/>
      </w:pPr>
      <w:r>
        <w:rPr>
          <w:rFonts w:ascii="Times New Roman" w:hAnsi="Times New Roman" w:eastAsia="Times New Roman"/>
          <w:b w:val="0"/>
          <w:i w:val="0"/>
          <w:sz w:val="22"/>
        </w:rPr>
        <w:t>I will measure progress weekly against the scenario pass-rate and schema-validity targets stated in the group objectives table.</w:t>
      </w:r>
    </w:p>
    <w:p>
      <w:pPr>
        <w:spacing w:before="280" w:after="120"/>
        <w:jc w:val="left"/>
      </w:pPr>
      <w:r>
        <w:rPr>
          <w:rFonts w:ascii="Times New Roman" w:hAnsi="Times New Roman" w:eastAsia="Times New Roman"/>
          <w:b/>
          <w:i w:val="0"/>
          <w:sz w:val="28"/>
        </w:rPr>
        <w:t>7. Contribution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eastAsia="Times New Roman"/>
                <w:b/>
                <w:i w:val="0"/>
                <w:sz w:val="18"/>
              </w:rPr>
              <w:t>Area</w:t>
            </w:r>
          </w:p>
        </w:tc>
        <w:tc>
          <w:tcPr>
            <w:tcW w:type="dxa" w:w="3120"/>
          </w:tcPr>
          <w:p>
            <w:r>
              <w:rPr>
                <w:rFonts w:ascii="Times New Roman" w:hAnsi="Times New Roman" w:eastAsia="Times New Roman"/>
                <w:b/>
                <w:i w:val="0"/>
                <w:sz w:val="18"/>
              </w:rPr>
              <w:t>My contribution in Assignment 2</w:t>
            </w:r>
          </w:p>
        </w:tc>
        <w:tc>
          <w:tcPr>
            <w:tcW w:type="dxa" w:w="3120"/>
          </w:tcPr>
          <w:p>
            <w:r>
              <w:rPr>
                <w:rFonts w:ascii="Times New Roman" w:hAnsi="Times New Roman" w:eastAsia="Times New Roman"/>
                <w:b/>
                <w:i w:val="0"/>
                <w:sz w:val="18"/>
              </w:rPr>
              <w:t>Evidence</w:t>
            </w:r>
          </w:p>
        </w:tc>
      </w:tr>
      <w:tr>
        <w:tc>
          <w:tcPr>
            <w:tcW w:type="dxa" w:w="3120"/>
          </w:tcPr>
          <w:p>
            <w:r>
              <w:rPr>
                <w:rFonts w:ascii="Times New Roman" w:hAnsi="Times New Roman" w:eastAsia="Times New Roman"/>
                <w:b w:val="0"/>
                <w:i w:val="0"/>
                <w:sz w:val="18"/>
              </w:rPr>
              <w:t>Architecture / Figure 1</w:t>
            </w:r>
          </w:p>
        </w:tc>
        <w:tc>
          <w:tcPr>
            <w:tcW w:type="dxa" w:w="3120"/>
          </w:tcPr>
          <w:p>
            <w:r>
              <w:rPr>
                <w:rFonts w:ascii="Times New Roman" w:hAnsi="Times New Roman" w:eastAsia="Times New Roman"/>
                <w:b w:val="0"/>
                <w:i w:val="0"/>
                <w:sz w:val="18"/>
              </w:rPr>
              <w:t>Dual-path plan; kit-named sensing blocks</w:t>
            </w:r>
          </w:p>
        </w:tc>
        <w:tc>
          <w:tcPr>
            <w:tcW w:type="dxa" w:w="3120"/>
          </w:tcPr>
          <w:p>
            <w:r>
              <w:rPr>
                <w:rFonts w:ascii="Times New Roman" w:hAnsi="Times New Roman" w:eastAsia="Times New Roman"/>
                <w:b w:val="0"/>
                <w:i w:val="0"/>
                <w:sz w:val="18"/>
              </w:rPr>
              <w:t>Group report §7.1; Figure 1</w:t>
            </w:r>
          </w:p>
        </w:tc>
      </w:tr>
      <w:tr>
        <w:tc>
          <w:tcPr>
            <w:tcW w:type="dxa" w:w="3120"/>
          </w:tcPr>
          <w:p>
            <w:r>
              <w:rPr>
                <w:rFonts w:ascii="Times New Roman" w:hAnsi="Times New Roman" w:eastAsia="Times New Roman"/>
                <w:b w:val="0"/>
                <w:i w:val="0"/>
                <w:sz w:val="18"/>
              </w:rPr>
              <w:t>Agent &amp; Thought Log</w:t>
            </w:r>
          </w:p>
        </w:tc>
        <w:tc>
          <w:tcPr>
            <w:tcW w:type="dxa" w:w="3120"/>
          </w:tcPr>
          <w:p>
            <w:r>
              <w:rPr>
                <w:rFonts w:ascii="Times New Roman" w:hAnsi="Times New Roman" w:eastAsia="Times New Roman"/>
                <w:b w:val="0"/>
                <w:i w:val="0"/>
                <w:sz w:val="18"/>
              </w:rPr>
              <w:t>Design metrics, tool schema, audit concept</w:t>
            </w:r>
          </w:p>
        </w:tc>
        <w:tc>
          <w:tcPr>
            <w:tcW w:type="dxa" w:w="3120"/>
          </w:tcPr>
          <w:p>
            <w:r>
              <w:rPr>
                <w:rFonts w:ascii="Times New Roman" w:hAnsi="Times New Roman" w:eastAsia="Times New Roman"/>
                <w:b w:val="0"/>
                <w:i w:val="0"/>
                <w:sz w:val="18"/>
              </w:rPr>
              <w:t>Group report §7.5; FR/NFR; Obj. table</w:t>
            </w:r>
          </w:p>
        </w:tc>
      </w:tr>
      <w:tr>
        <w:tc>
          <w:tcPr>
            <w:tcW w:type="dxa" w:w="3120"/>
          </w:tcPr>
          <w:p>
            <w:r>
              <w:rPr>
                <w:rFonts w:ascii="Times New Roman" w:hAnsi="Times New Roman" w:eastAsia="Times New Roman"/>
                <w:b w:val="0"/>
                <w:i w:val="0"/>
                <w:sz w:val="18"/>
              </w:rPr>
              <w:t>Risks &amp; integration</w:t>
            </w:r>
          </w:p>
        </w:tc>
        <w:tc>
          <w:tcPr>
            <w:tcW w:type="dxa" w:w="3120"/>
          </w:tcPr>
          <w:p>
            <w:r>
              <w:rPr>
                <w:rFonts w:ascii="Times New Roman" w:hAnsi="Times New Roman" w:eastAsia="Times New Roman"/>
                <w:b w:val="0"/>
                <w:i w:val="0"/>
                <w:sz w:val="18"/>
              </w:rPr>
              <w:t>Owner R5/R6; replay/offline mitigations</w:t>
            </w:r>
          </w:p>
        </w:tc>
        <w:tc>
          <w:tcPr>
            <w:tcW w:type="dxa" w:w="3120"/>
          </w:tcPr>
          <w:p>
            <w:r>
              <w:rPr>
                <w:rFonts w:ascii="Times New Roman" w:hAnsi="Times New Roman" w:eastAsia="Times New Roman"/>
                <w:b w:val="0"/>
                <w:i w:val="0"/>
                <w:sz w:val="18"/>
              </w:rPr>
              <w:t>Group report §9; RACI</w:t>
            </w:r>
          </w:p>
        </w:tc>
      </w:tr>
      <w:tr>
        <w:tc>
          <w:tcPr>
            <w:tcW w:type="dxa" w:w="3120"/>
          </w:tcPr>
          <w:p>
            <w:r>
              <w:rPr>
                <w:rFonts w:ascii="Times New Roman" w:hAnsi="Times New Roman" w:eastAsia="Times New Roman"/>
                <w:b w:val="0"/>
                <w:i w:val="0"/>
                <w:sz w:val="18"/>
              </w:rPr>
              <w:t>Client / lab</w:t>
            </w:r>
          </w:p>
        </w:tc>
        <w:tc>
          <w:tcPr>
            <w:tcW w:type="dxa" w:w="3120"/>
          </w:tcPr>
          <w:p>
            <w:r>
              <w:rPr>
                <w:rFonts w:ascii="Times New Roman" w:hAnsi="Times New Roman" w:eastAsia="Times New Roman"/>
                <w:b w:val="0"/>
                <w:i w:val="0"/>
                <w:sz w:val="18"/>
              </w:rPr>
              <w:t>Meetings 10/17/24 Aug; DS18B20 witness</w:t>
            </w:r>
          </w:p>
        </w:tc>
        <w:tc>
          <w:tcPr>
            <w:tcW w:type="dxa" w:w="3120"/>
          </w:tcPr>
          <w:p>
            <w:r>
              <w:rPr>
                <w:rFonts w:ascii="Times New Roman" w:hAnsi="Times New Roman" w:eastAsia="Times New Roman"/>
                <w:b w:val="0"/>
                <w:i w:val="0"/>
                <w:sz w:val="18"/>
              </w:rPr>
              <w:t>Appendix II.A; Table 7</w:t>
            </w:r>
          </w:p>
        </w:tc>
      </w:tr>
      <w:tr>
        <w:tc>
          <w:tcPr>
            <w:tcW w:type="dxa" w:w="3120"/>
          </w:tcPr>
          <w:p>
            <w:r>
              <w:rPr>
                <w:rFonts w:ascii="Times New Roman" w:hAnsi="Times New Roman" w:eastAsia="Times New Roman"/>
                <w:b w:val="0"/>
                <w:i w:val="0"/>
                <w:sz w:val="18"/>
              </w:rPr>
              <w:t>Literature</w:t>
            </w:r>
          </w:p>
        </w:tc>
        <w:tc>
          <w:tcPr>
            <w:tcW w:type="dxa" w:w="3120"/>
          </w:tcPr>
          <w:p>
            <w:r>
              <w:rPr>
                <w:rFonts w:ascii="Times New Roman" w:hAnsi="Times New Roman" w:eastAsia="Times New Roman"/>
                <w:b w:val="0"/>
                <w:i w:val="0"/>
                <w:sz w:val="18"/>
              </w:rPr>
              <w:t>10 sources — agentic AI / tool use theme</w:t>
            </w:r>
          </w:p>
        </w:tc>
        <w:tc>
          <w:tcPr>
            <w:tcW w:type="dxa" w:w="3120"/>
          </w:tcPr>
          <w:p>
            <w:r>
              <w:rPr>
                <w:rFonts w:ascii="Times New Roman" w:hAnsi="Times New Roman" w:eastAsia="Times New Roman"/>
                <w:b w:val="0"/>
                <w:i w:val="0"/>
                <w:sz w:val="18"/>
              </w:rPr>
              <w:t>Appendix II bibliography</w:t>
            </w:r>
          </w:p>
        </w:tc>
      </w:tr>
    </w:tbl>
    <w:p>
      <w:pPr>
        <w:spacing w:after="160" w:before="0" w:line="276" w:lineRule="auto"/>
        <w:jc w:val="left"/>
      </w:pPr>
      <w:r>
        <w:rPr>
          <w:rFonts w:ascii="Times New Roman" w:hAnsi="Times New Roman" w:eastAsia="Times New Roman"/>
          <w:b w:val="0"/>
          <w:i w:val="0"/>
          <w:sz w:val="22"/>
        </w:rPr>
      </w:r>
    </w:p>
    <w:p>
      <w:pPr>
        <w:spacing w:before="280" w:after="120"/>
        <w:jc w:val="left"/>
      </w:pPr>
      <w:r>
        <w:rPr>
          <w:rFonts w:ascii="Times New Roman" w:hAnsi="Times New Roman" w:eastAsia="Times New Roman"/>
          <w:b/>
          <w:i w:val="0"/>
          <w:sz w:val="28"/>
        </w:rPr>
        <w:t>8. Closing statement</w:t>
      </w:r>
    </w:p>
    <w:p>
      <w:pPr>
        <w:spacing w:after="160" w:before="0" w:line="276" w:lineRule="auto"/>
        <w:ind w:firstLine="432"/>
        <w:jc w:val="both"/>
      </w:pPr>
      <w:r>
        <w:rPr>
          <w:rFonts w:ascii="Times New Roman" w:hAnsi="Times New Roman" w:eastAsia="Times New Roman"/>
          <w:b w:val="0"/>
          <w:i w:val="0"/>
          <w:sz w:val="22"/>
        </w:rPr>
        <w:t>I confirm that I actively contributed to the Assignment 2 group plan as Agent and integration lead, participated in client engagement, completed my literature share, and take responsibility for the agentic path, Thought Log, and integration quality in the next implementation phase. The opinions and reflections in this individual report are my own.</w:t>
      </w:r>
    </w:p>
    <w:p>
      <w:pPr>
        <w:spacing w:after="200" w:before="0" w:line="276" w:lineRule="auto"/>
        <w:jc w:val="left"/>
      </w:pPr>
      <w:r>
        <w:rPr>
          <w:rFonts w:ascii="Times New Roman" w:hAnsi="Times New Roman" w:eastAsia="Times New Roman"/>
          <w:b w:val="0"/>
          <w:i w:val="0"/>
          <w:sz w:val="22"/>
        </w:rPr>
      </w:r>
    </w:p>
    <w:p>
      <w:pPr>
        <w:spacing w:after="160" w:before="0" w:line="276" w:lineRule="auto"/>
        <w:jc w:val="center"/>
      </w:pPr>
      <w:r>
        <w:rPr>
          <w:rFonts w:ascii="Times New Roman" w:hAnsi="Times New Roman" w:eastAsia="Times New Roman"/>
          <w:b w:val="0"/>
          <w:i/>
          <w:sz w:val="20"/>
        </w:rPr>
        <w:t>— End of individual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