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Melbourne Institute of Technology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School of Information Technology and Engineering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MDA691 — Project Management and Research Methods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Trimester 2, 2026  ·  Assignment 2 — Individual Report (Weeks 5–8)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Real-Time Data with Agentic AI for Industrial Predictive Maintenance (PdM)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Student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Amit Shrestha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Student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MIT252463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Primary role (Weeks 5–8)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Agent and integration lead; report compile; architecture Figure 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Industry client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eLabtronics / runlinc — Miroslav Kostecki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Group report sections owned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§7.5 agent/dashboard design; Figure 1; integration risks R5/R6; WBS 1</w:t>
            </w:r>
          </w:p>
        </w:tc>
      </w:tr>
    </w:tbl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sz w:val="24"/>
        </w:rPr>
        <w:t>1. Participation and contribution (Weeks 5–8)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During Weeks 5–8 the group converted the Assignment 1b concept into an Assignment 2 project plan and intermediate design for eLabtronics/runlinc on STEMSEL E32W hardware with the 37-in-1 sensor kit. My theme remained agentic AI, autonomous tool invocation, and auditable maintenance decisions. I was accountable for the agent layer, Thought Log dashboard concept, simulated ERP/messaging tools, end-to-end integration planning, and compilation of the group report (WBS Package 1). I also reviewed MQTT topic schemas so agent inputs stay compatible with edge feature vectors from Subala and RUL outputs from Pavan.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Led the dual-path architecture narrative: ISO 10816 reflex on the edge must never wait on the runlinc AI Assistant.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Produced and inserted Figure 1 (project architecture plan) using 37-in-1 kit names — Shock, TEMP 18B20, buzzer — with GPIO mapping.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Drafted §7.5 agent and Thought Log design: ReAct-style loop, schema-validated tools, Needs Review hand-off, and audit trace to feature-window IDs.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Defined measurable agent objectives (≥80% structured-output pass on 30 scenarios; 100% schema-valid tool calls) linked to RQ3/RQ4.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Owned integration risks R5 (MQTT/agent offline at demo) and R6 (invalid tool calls); documented replay harness and schema-test mitigations.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Contributed ten annotated sources (2023–2026) on agentic AI / tool use to Appendix II; coordinated agent citations in §11.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Attended client meetings 10, 17 and 24 August 2026; participated in Week 7 hardware session and witnessed DS18B20 smoke test (23.125 °C).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Supported report integration: requirements traceability, RACI matrix, and submission packaging with the team.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sz w:val="24"/>
        </w:rPr>
        <w:t>2.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Tutorial / supervision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Client / extra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Client meeting 17/08/2026 (runlinc hotspot setup)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Client meeting 24/08/2026 (hardware; Projects 14/15)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Supervisor feedback; A2 report preparation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Times New Roman"/>
          <w:b/>
          <w:i w:val="0"/>
          <w:sz w:val="24"/>
        </w:rPr>
        <w:t>3. Self-evaluation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sz w:val="22"/>
        </w:rPr>
        <w:t>I met my Week 5–8 responsibilities by turning agentic-AI research into testable design metrics rather than vague “AI will decide maintenance” claims. Figure 1 and §7.5 give Subala and Pavan clear interfaces for MQTT features, alarm events, and RUL messages. I attended all documented client sessions and contributed to the DS18B20 prototype evidence that de-risks hardware before vibration and agent integration. I could have started a thin vertical slice earlier (one topic, one mock tool, one Thought Log row) to surface integration bugs sooner. Overall I contributed consistently to meetings, literature, architecture, and final report quality, and I am ready to implement the agent path in Weeks 14–18.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i w:val="0"/>
          <w:sz w:val="24"/>
        </w:rPr>
        <w:t>4. Reflective journal (DEEP)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Reflection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Describe</w:t>
              <w:br/>
              <w:t>How effectively did you work in the group and what was your role?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I worked as Agent and integration lead while respecting others’ WBS ownership (edge: Subala; RUL: Pavan; requirements/risks: Asmita). I kept agent design aligned with lab-only data scope confirmed by the client in August meetings. I compiled report sections, standardised kit sensor names in Figure 1, and checked that RQs, objectives, FR/NFR tables, and Gantt ownership stayed consistent before submission.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Explore</w:t>
              <w:br/>
              <w:t>List at least 2 valuable contributions and why they mattered.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(1) Dual-path architecture with kit-named Figure 1 — made the planned system readable for client and assessors and protected safety claims. (2) Agent evaluation metrics and risk mitigations — turned RQ3/RQ4 into measurable Week 14–18 targets instead of open-ended demos.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Evaluate</w:t>
              <w:br/>
              <w:t>How do you justify your key contributions?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Agentic integration is the project differentiator but also the highest demo risk. Defining schema validation, replay testing, and reflex isolation early prevents over-promising in Assignment 2 and gives a credible MDA692 roadmap.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</w:t>
              <w:br/>
              <w:t>What did you learn and how will you improve next?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 learned that integration leadership means documenting dependencies explicitly (MQTT before agent; RUL before recommendations). Next I will deliver the agent wrapper (Week 14), ERP mocks + 30-scenario suite (Week 16), and Thought Log v1 (Week 18), with weekly checks against pass-rate targets.</w:t>
            </w:r>
          </w:p>
        </w:tc>
      </w:tr>
    </w:tbl>
    <w:p>
      <w:pPr>
        <w:spacing w:before="240" w:after="120"/>
      </w:pPr>
      <w:r>
        <w:rPr>
          <w:rFonts w:ascii="Times New Roman" w:hAnsi="Times New Roman" w:eastAsia="Times New Roman"/>
          <w:b/>
          <w:i w:val="0"/>
          <w:sz w:val="24"/>
        </w:rPr>
        <w:t>5. Peer evaluation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Scale: 1 = poor, 5 = excellent. Rate other members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Criteria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Subala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Asmita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Pavan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Attends group meetings regularly and arrives on time.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Contributes meaningfully to group discussions.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Completes group assignments on time.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Prepares work in a quality manner.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Demonstrates a cooperative and supportive attitude.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Contributes significantly to the success of the project.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Short feedback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Strong edge/reflex ownership; clear GPIO and timing focus for agent inputs.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Excellent requirements and risk quality; kept client scope and RQ alignment tight.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Solid RUL/analytics planning; schedule owner — continue early C-MAPSS baseline delivery.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Signature: Amit Shrestha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Date: 13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