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Appendix II — Annotated Literature Bibliography</w:t>
      </w:r>
    </w:p>
    <w:p>
      <w:pPr>
        <w:jc w:val="center"/>
      </w:pPr>
      <w:r>
        <w:rPr>
          <w:rFonts w:ascii="Times New Roman" w:hAnsi="Times New Roman" w:eastAsia="Times New Roman"/>
          <w:b w:val="0"/>
          <w:i w:val="0"/>
          <w:sz w:val="22"/>
        </w:rPr>
        <w:t>MDA691 Assignment 2  ·  40 Sources (10 per member)  ·  Aligned with Group Report §11</w:t>
      </w:r>
    </w:p>
    <w:p>
      <w:pPr>
        <w:jc w:val="center"/>
      </w:pPr>
      <w:r>
        <w:rPr>
          <w:rFonts w:ascii="Times New Roman" w:hAnsi="Times New Roman" w:eastAsia="Times New Roman"/>
          <w:b w:val="0"/>
          <w:i/>
          <w:sz w:val="22"/>
        </w:rPr>
        <w:t>Real-Time Data with Agentic AI for Industrial Predictive Maintenance (PdM)</w:t>
      </w:r>
    </w:p>
    <w:p>
      <w:r>
        <w:rPr>
          <w:rFonts w:ascii="Times New Roman" w:hAnsi="Times New Roman" w:eastAsia="Times New Roman"/>
          <w:b/>
          <w:i w:val="0"/>
          <w:sz w:val="24"/>
        </w:rPr>
        <w:t>Overview</w:t>
      </w:r>
    </w:p>
    <w:p>
      <w:pPr>
        <w:spacing w:after="200"/>
      </w:pPr>
      <w:r>
        <w:rPr>
          <w:rFonts w:ascii="Times New Roman" w:hAnsi="Times New Roman" w:eastAsia="Times New Roman"/>
          <w:b w:val="0"/>
          <w:i w:val="0"/>
          <w:sz w:val="22"/>
        </w:rPr>
        <w:t>This appendix lists the 40 literature sources that support the critical review in §3 of the group report. Each team member contributed exactly 10 references (priority 2023–2026, with foundational benchmarks and standards where required). Reference numbers [1]–[40] match Section 11 of MDA691_Assignment2_Group_Report_SUBMISSION.docx. Each entry includes an annotation explaining relevance to the E32W dual-path PdM prototype. DOI / online links are clickable.</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i w:val="0"/>
                <w:sz w:val="20"/>
              </w:rPr>
              <w:t>Team member</w:t>
            </w:r>
          </w:p>
        </w:tc>
        <w:tc>
          <w:tcPr>
            <w:tcW w:type="dxa" w:w="3120"/>
          </w:tcPr>
          <w:p>
            <w:r>
              <w:rPr>
                <w:rFonts w:ascii="Times New Roman" w:hAnsi="Times New Roman" w:eastAsia="Times New Roman"/>
                <w:b/>
                <w:i w:val="0"/>
                <w:sz w:val="20"/>
              </w:rPr>
              <w:t>Theme</w:t>
            </w:r>
          </w:p>
        </w:tc>
        <w:tc>
          <w:tcPr>
            <w:tcW w:type="dxa" w:w="3120"/>
          </w:tcPr>
          <w:p>
            <w:r>
              <w:rPr>
                <w:rFonts w:ascii="Times New Roman" w:hAnsi="Times New Roman" w:eastAsia="Times New Roman"/>
                <w:b/>
                <w:i w:val="0"/>
                <w:sz w:val="20"/>
              </w:rPr>
              <w:t>Reference numbers</w:t>
            </w:r>
          </w:p>
        </w:tc>
      </w:tr>
      <w:tr>
        <w:tc>
          <w:tcPr>
            <w:tcW w:type="dxa" w:w="3120"/>
          </w:tcPr>
          <w:p>
            <w:r>
              <w:rPr>
                <w:rFonts w:ascii="Times New Roman" w:hAnsi="Times New Roman" w:eastAsia="Times New Roman"/>
                <w:b w:val="0"/>
                <w:i w:val="0"/>
                <w:sz w:val="18"/>
              </w:rPr>
              <w:t>Asmita Pandey (MIT250081)</w:t>
            </w:r>
          </w:p>
        </w:tc>
        <w:tc>
          <w:tcPr>
            <w:tcW w:type="dxa" w:w="3120"/>
          </w:tcPr>
          <w:p>
            <w:r>
              <w:rPr>
                <w:rFonts w:ascii="Times New Roman" w:hAnsi="Times New Roman" w:eastAsia="Times New Roman"/>
                <w:b w:val="0"/>
                <w:i w:val="0"/>
                <w:sz w:val="18"/>
              </w:rPr>
              <w:t>PdM surveys, XAI, trust, and Industry 4.0 context</w:t>
            </w:r>
          </w:p>
        </w:tc>
        <w:tc>
          <w:tcPr>
            <w:tcW w:type="dxa" w:w="3120"/>
          </w:tcPr>
          <w:p>
            <w:r>
              <w:rPr>
                <w:rFonts w:ascii="Times New Roman" w:hAnsi="Times New Roman" w:eastAsia="Times New Roman"/>
                <w:b w:val="0"/>
                <w:i w:val="0"/>
                <w:sz w:val="18"/>
              </w:rPr>
              <w:t>[1], [16], [17], [18], [19], [23], [27], [36], [38], [39]</w:t>
            </w:r>
          </w:p>
        </w:tc>
      </w:tr>
      <w:tr>
        <w:tc>
          <w:tcPr>
            <w:tcW w:type="dxa" w:w="3120"/>
          </w:tcPr>
          <w:p>
            <w:r>
              <w:rPr>
                <w:rFonts w:ascii="Times New Roman" w:hAnsi="Times New Roman" w:eastAsia="Times New Roman"/>
                <w:b w:val="0"/>
                <w:i w:val="0"/>
                <w:sz w:val="18"/>
              </w:rPr>
              <w:t>Subala Shrestha (MIT252219)</w:t>
            </w:r>
          </w:p>
        </w:tc>
        <w:tc>
          <w:tcPr>
            <w:tcW w:type="dxa" w:w="3120"/>
          </w:tcPr>
          <w:p>
            <w:r>
              <w:rPr>
                <w:rFonts w:ascii="Times New Roman" w:hAnsi="Times New Roman" w:eastAsia="Times New Roman"/>
                <w:b w:val="0"/>
                <w:i w:val="0"/>
                <w:sz w:val="18"/>
              </w:rPr>
              <w:t>ESP32 / edge sensing, vibration, TinyML, and standards</w:t>
            </w:r>
          </w:p>
        </w:tc>
        <w:tc>
          <w:tcPr>
            <w:tcW w:type="dxa" w:w="3120"/>
          </w:tcPr>
          <w:p>
            <w:r>
              <w:rPr>
                <w:rFonts w:ascii="Times New Roman" w:hAnsi="Times New Roman" w:eastAsia="Times New Roman"/>
                <w:b w:val="0"/>
                <w:i w:val="0"/>
                <w:sz w:val="18"/>
              </w:rPr>
              <w:t>[7], [8], [9], [10], [20], [28], [29], [30], [34], [35]</w:t>
            </w:r>
          </w:p>
        </w:tc>
      </w:tr>
      <w:tr>
        <w:tc>
          <w:tcPr>
            <w:tcW w:type="dxa" w:w="3120"/>
          </w:tcPr>
          <w:p>
            <w:r>
              <w:rPr>
                <w:rFonts w:ascii="Times New Roman" w:hAnsi="Times New Roman" w:eastAsia="Times New Roman"/>
                <w:b w:val="0"/>
                <w:i w:val="0"/>
                <w:sz w:val="18"/>
              </w:rPr>
              <w:t>Teegala Pavan Reddy (MIT251400)</w:t>
            </w:r>
          </w:p>
        </w:tc>
        <w:tc>
          <w:tcPr>
            <w:tcW w:type="dxa" w:w="3120"/>
          </w:tcPr>
          <w:p>
            <w:r>
              <w:rPr>
                <w:rFonts w:ascii="Times New Roman" w:hAnsi="Times New Roman" w:eastAsia="Times New Roman"/>
                <w:b w:val="0"/>
                <w:i w:val="0"/>
                <w:sz w:val="18"/>
              </w:rPr>
              <w:t>RUL modelling, LSTM, benchmarks, and explainability</w:t>
            </w:r>
          </w:p>
        </w:tc>
        <w:tc>
          <w:tcPr>
            <w:tcW w:type="dxa" w:w="3120"/>
          </w:tcPr>
          <w:p>
            <w:r>
              <w:rPr>
                <w:rFonts w:ascii="Times New Roman" w:hAnsi="Times New Roman" w:eastAsia="Times New Roman"/>
                <w:b w:val="0"/>
                <w:i w:val="0"/>
                <w:sz w:val="18"/>
              </w:rPr>
              <w:t>[2], [3], [4], [5], [6], [26], [31], [32], [37], [40]</w:t>
            </w:r>
          </w:p>
        </w:tc>
      </w:tr>
      <w:tr>
        <w:tc>
          <w:tcPr>
            <w:tcW w:type="dxa" w:w="3120"/>
          </w:tcPr>
          <w:p>
            <w:r>
              <w:rPr>
                <w:rFonts w:ascii="Times New Roman" w:hAnsi="Times New Roman" w:eastAsia="Times New Roman"/>
                <w:b w:val="0"/>
                <w:i w:val="0"/>
                <w:sz w:val="18"/>
              </w:rPr>
              <w:t>Amit Shrestha (MIT252463)</w:t>
            </w:r>
          </w:p>
        </w:tc>
        <w:tc>
          <w:tcPr>
            <w:tcW w:type="dxa" w:w="3120"/>
          </w:tcPr>
          <w:p>
            <w:r>
              <w:rPr>
                <w:rFonts w:ascii="Times New Roman" w:hAnsi="Times New Roman" w:eastAsia="Times New Roman"/>
                <w:b w:val="0"/>
                <w:i w:val="0"/>
                <w:sz w:val="18"/>
              </w:rPr>
              <w:t>Agentic AI, tool use, messaging, and runlinc platform</w:t>
            </w:r>
          </w:p>
        </w:tc>
        <w:tc>
          <w:tcPr>
            <w:tcW w:type="dxa" w:w="3120"/>
          </w:tcPr>
          <w:p>
            <w:r>
              <w:rPr>
                <w:rFonts w:ascii="Times New Roman" w:hAnsi="Times New Roman" w:eastAsia="Times New Roman"/>
                <w:b w:val="0"/>
                <w:i w:val="0"/>
                <w:sz w:val="18"/>
              </w:rPr>
              <w:t>[11], [12], [13], [14], [15], [21], [22], [24], [25], [33]</w:t>
            </w:r>
          </w:p>
        </w:tc>
      </w:tr>
    </w:tbl>
    <w:p>
      <w:pPr>
        <w:spacing w:before="160"/>
      </w:pPr>
    </w:p>
    <w:p>
      <w:pPr>
        <w:spacing w:before="240" w:after="80"/>
      </w:pPr>
      <w:r>
        <w:rPr>
          <w:rFonts w:ascii="Times New Roman" w:hAnsi="Times New Roman" w:eastAsia="Times New Roman"/>
          <w:b/>
          <w:i w:val="0"/>
          <w:sz w:val="24"/>
        </w:rPr>
        <w:t>Asmita Pandey (MIT250081) — 10 References</w:t>
      </w:r>
    </w:p>
    <w:p>
      <w:r>
        <w:rPr>
          <w:rFonts w:ascii="Times New Roman" w:hAnsi="Times New Roman" w:eastAsia="Times New Roman"/>
          <w:b w:val="0"/>
          <w:i/>
          <w:sz w:val="20"/>
        </w:rPr>
        <w:t>Theme: PdM surveys, XAI, trust, and Industry 4.0 context</w:t>
      </w:r>
    </w:p>
    <w:p>
      <w:pPr>
        <w:spacing w:before="120" w:after="40"/>
      </w:pPr>
      <w:r>
        <w:rPr>
          <w:rFonts w:ascii="Times New Roman" w:hAnsi="Times New Roman" w:eastAsia="Times New Roman"/>
          <w:b/>
          <w:i w:val="0"/>
          <w:sz w:val="20"/>
        </w:rPr>
        <w:t xml:space="preserve">[1]  </w:t>
      </w:r>
      <w:r>
        <w:rPr>
          <w:rFonts w:ascii="Times New Roman" w:hAnsi="Times New Roman" w:eastAsia="Times New Roman"/>
          <w:b w:val="0"/>
          <w:i w:val="0"/>
          <w:sz w:val="20"/>
        </w:rPr>
        <w:t xml:space="preserve">T. Zonta, C. A. da Costa, R. da Rosa Righi, M. J. de Lima, E. S. da Trindade, and G. P. Li, “Predictive maintenance in the Industry 4.0: A systematic literature review,” Computers &amp; Industrial Engineering, vol. 150, art. no. 106889, Dec. 2020. </w:t>
      </w:r>
      <w:r>
        <w:rPr>
          <w:rFonts w:ascii="Times New Roman" w:hAnsi="Times New Roman" w:eastAsia="Times New Roman"/>
          <w:b w:val="0"/>
          <w:i w:val="0"/>
          <w:sz w:val="20"/>
        </w:rPr>
        <w:t xml:space="preserve">[Online]. Available: </w:t>
      </w:r>
      <w:hyperlink r:id="rId9">
        <w:r>
          <w:rPr>
            <w:rStyle w:val="Hyperlink"/>
            <w:color w:val="0563C1"/>
            <w:u w:val="single"/>
            <w:sz w:val="20"/>
            <w:rFonts w:ascii="Times New Roman" w:hAnsi="Times New Roman"/>
          </w:rPr>
          <w:t xml:space="preserve">https://doi.org/10.1016/j.cie.2020.106889</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Frames PdM as an AI and distributed-computing challenge; confirms real-time monitoring gap our E32W project addresses.</w:t>
      </w:r>
    </w:p>
    <w:p>
      <w:pPr>
        <w:spacing w:before="120" w:after="40"/>
      </w:pPr>
      <w:r>
        <w:rPr>
          <w:rFonts w:ascii="Times New Roman" w:hAnsi="Times New Roman" w:eastAsia="Times New Roman"/>
          <w:b/>
          <w:i w:val="0"/>
          <w:sz w:val="20"/>
        </w:rPr>
        <w:t xml:space="preserve">[16]  </w:t>
      </w:r>
      <w:r>
        <w:rPr>
          <w:rFonts w:ascii="Times New Roman" w:hAnsi="Times New Roman" w:eastAsia="Times New Roman"/>
          <w:b w:val="0"/>
          <w:i w:val="0"/>
          <w:sz w:val="20"/>
        </w:rPr>
        <w:t xml:space="preserve">A. K. M. Nor, S. R. Pedapati, M. Muhammad, and V. Leiva, “Overview of explainable artificial intelligence for prognostic and health management of industrial assets based on preferred reporting items for systematic reviews and meta-analyses,” Sensors, vol. 21, no. 23, art. no. 8020, Nov. 2021. </w:t>
      </w:r>
      <w:r>
        <w:rPr>
          <w:rFonts w:ascii="Times New Roman" w:hAnsi="Times New Roman" w:eastAsia="Times New Roman"/>
          <w:b w:val="0"/>
          <w:i w:val="0"/>
          <w:sz w:val="20"/>
        </w:rPr>
        <w:t xml:space="preserve">[Online]. Available: </w:t>
      </w:r>
      <w:hyperlink r:id="rId10">
        <w:r>
          <w:rPr>
            <w:rStyle w:val="Hyperlink"/>
            <w:color w:val="0563C1"/>
            <w:u w:val="single"/>
            <w:sz w:val="20"/>
            <w:rFonts w:ascii="Times New Roman" w:hAnsi="Times New Roman"/>
          </w:rPr>
          <w:t xml:space="preserve">https://doi.org/10.3390/s21238020</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PRISMA review showing XAI does not reduce PHM accuracy; justifies Thought Log without sacrificing model performance.</w:t>
      </w:r>
    </w:p>
    <w:p>
      <w:pPr>
        <w:spacing w:before="120" w:after="40"/>
      </w:pPr>
      <w:r>
        <w:rPr>
          <w:rFonts w:ascii="Times New Roman" w:hAnsi="Times New Roman" w:eastAsia="Times New Roman"/>
          <w:b/>
          <w:i w:val="0"/>
          <w:sz w:val="20"/>
        </w:rPr>
        <w:t xml:space="preserve">[17]  </w:t>
      </w:r>
      <w:r>
        <w:rPr>
          <w:rFonts w:ascii="Times New Roman" w:hAnsi="Times New Roman" w:eastAsia="Times New Roman"/>
          <w:b w:val="0"/>
          <w:i w:val="0"/>
          <w:sz w:val="20"/>
        </w:rPr>
        <w:t xml:space="preserve">S. Matzka, “Explainable artificial intelligence for predictive maintenance applications,” in Proc. 3rd Int. Conf. Artificial Intelligence for Industries (AI4I), Irvine, CA, USA, Sep. 2020, pp. 69–74. </w:t>
      </w:r>
      <w:r>
        <w:rPr>
          <w:rFonts w:ascii="Times New Roman" w:hAnsi="Times New Roman" w:eastAsia="Times New Roman"/>
          <w:b w:val="0"/>
          <w:i w:val="0"/>
          <w:sz w:val="20"/>
        </w:rPr>
        <w:t xml:space="preserve">[Online]. Available: </w:t>
      </w:r>
      <w:hyperlink r:id="rId11">
        <w:r>
          <w:rPr>
            <w:rStyle w:val="Hyperlink"/>
            <w:color w:val="0563C1"/>
            <w:u w:val="single"/>
            <w:sz w:val="20"/>
            <w:rFonts w:ascii="Times New Roman" w:hAnsi="Times New Roman"/>
          </w:rPr>
          <w:t xml:space="preserve">https://doi.org/10.1109/AI4I49448.2020.00023</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Links XAI to maintenance operator trust; supports NFR4 traceability design.</w:t>
      </w:r>
    </w:p>
    <w:p>
      <w:pPr>
        <w:spacing w:before="120" w:after="40"/>
      </w:pPr>
      <w:r>
        <w:rPr>
          <w:rFonts w:ascii="Times New Roman" w:hAnsi="Times New Roman" w:eastAsia="Times New Roman"/>
          <w:b/>
          <w:i w:val="0"/>
          <w:sz w:val="20"/>
        </w:rPr>
        <w:t xml:space="preserve">[18]  </w:t>
      </w:r>
      <w:r>
        <w:rPr>
          <w:rFonts w:ascii="Times New Roman" w:hAnsi="Times New Roman" w:eastAsia="Times New Roman"/>
          <w:b w:val="0"/>
          <w:i w:val="0"/>
          <w:sz w:val="20"/>
        </w:rPr>
        <w:t xml:space="preserve">K. T. P. Nguyen, K. Medjaher, and T.-D. Tran, “A review of artificial intelligence methods for engineering prognostics and health management with implementation guidelines,” Artificial Intelligence Review, vol. 56, no. 4, pp. 3659–3709, 2023. </w:t>
      </w:r>
      <w:r>
        <w:rPr>
          <w:rFonts w:ascii="Times New Roman" w:hAnsi="Times New Roman" w:eastAsia="Times New Roman"/>
          <w:b w:val="0"/>
          <w:i w:val="0"/>
          <w:sz w:val="20"/>
        </w:rPr>
        <w:t xml:space="preserve">[Online]. Available: </w:t>
      </w:r>
      <w:hyperlink r:id="rId12">
        <w:r>
          <w:rPr>
            <w:rStyle w:val="Hyperlink"/>
            <w:color w:val="0563C1"/>
            <w:u w:val="single"/>
            <w:sz w:val="20"/>
            <w:rFonts w:ascii="Times New Roman" w:hAnsi="Times New Roman"/>
          </w:rPr>
          <w:t xml:space="preserve">https://doi.org/10.1007/s10462-022-10260-y</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Broad PHM AI taxonomy; positions our project at intersection of prognosis and autonomous action.</w:t>
      </w:r>
    </w:p>
    <w:p>
      <w:pPr>
        <w:spacing w:before="120" w:after="40"/>
      </w:pPr>
      <w:r>
        <w:rPr>
          <w:rFonts w:ascii="Times New Roman" w:hAnsi="Times New Roman" w:eastAsia="Times New Roman"/>
          <w:b/>
          <w:i w:val="0"/>
          <w:sz w:val="20"/>
        </w:rPr>
        <w:t xml:space="preserve">[19]  </w:t>
      </w:r>
      <w:r>
        <w:rPr>
          <w:rFonts w:ascii="Times New Roman" w:hAnsi="Times New Roman" w:eastAsia="Times New Roman"/>
          <w:b w:val="0"/>
          <w:i w:val="0"/>
          <w:sz w:val="20"/>
        </w:rPr>
        <w:t xml:space="preserve">R. van Dinter, B. Tekinerdogan, and C. Catal, “Predictive maintenance using digital twins: A systematic literature review,” Information and Software Technology, vol. 151, art. no. 107008, Nov. 2022. </w:t>
      </w:r>
      <w:r>
        <w:rPr>
          <w:rFonts w:ascii="Times New Roman" w:hAnsi="Times New Roman" w:eastAsia="Times New Roman"/>
          <w:b w:val="0"/>
          <w:i w:val="0"/>
          <w:sz w:val="20"/>
        </w:rPr>
        <w:t xml:space="preserve">[Online]. Available: </w:t>
      </w:r>
      <w:hyperlink r:id="rId13">
        <w:r>
          <w:rPr>
            <w:rStyle w:val="Hyperlink"/>
            <w:color w:val="0563C1"/>
            <w:u w:val="single"/>
            <w:sz w:val="20"/>
            <w:rFonts w:ascii="Times New Roman" w:hAnsi="Times New Roman"/>
          </w:rPr>
          <w:t xml:space="preserve">https://doi.org/10.1016/j.infsof.2022.107008</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SLR on digital-twin PdM; contrasts with our lab E32W prototype without plant digital twin.</w:t>
      </w:r>
    </w:p>
    <w:p>
      <w:pPr>
        <w:spacing w:before="120" w:after="40"/>
      </w:pPr>
      <w:r>
        <w:rPr>
          <w:rFonts w:ascii="Times New Roman" w:hAnsi="Times New Roman" w:eastAsia="Times New Roman"/>
          <w:b/>
          <w:i w:val="0"/>
          <w:sz w:val="20"/>
        </w:rPr>
        <w:t xml:space="preserve">[23]  </w:t>
      </w:r>
      <w:r>
        <w:rPr>
          <w:rFonts w:ascii="Times New Roman" w:hAnsi="Times New Roman" w:eastAsia="Times New Roman"/>
          <w:b w:val="0"/>
          <w:i w:val="0"/>
          <w:sz w:val="20"/>
        </w:rPr>
        <w:t xml:space="preserve">A. Al-Fuqaha, M. Guizani, M. Mohammadi, M. Aledhari, and M. Ayyash, “Internet of Things: A survey on enabling technologies, protocols, and applications,” IEEE Communications Surveys &amp; Tutorials, vol. 17, no. 4, pp. 2347–2376, 4th Quart. 2015. </w:t>
      </w:r>
      <w:r>
        <w:rPr>
          <w:rFonts w:ascii="Times New Roman" w:hAnsi="Times New Roman" w:eastAsia="Times New Roman"/>
          <w:b w:val="0"/>
          <w:i w:val="0"/>
          <w:sz w:val="20"/>
        </w:rPr>
        <w:t xml:space="preserve">[Online]. Available: </w:t>
      </w:r>
      <w:hyperlink r:id="rId14">
        <w:r>
          <w:rPr>
            <w:rStyle w:val="Hyperlink"/>
            <w:color w:val="0563C1"/>
            <w:u w:val="single"/>
            <w:sz w:val="20"/>
            <w:rFonts w:ascii="Times New Roman" w:hAnsi="Times New Roman"/>
          </w:rPr>
          <w:t xml:space="preserve">https://doi.org/10.1109/COMST.2015.2444095</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IIoT foundations; contextualises E32W as edge node in industrial sensor network.</w:t>
      </w:r>
    </w:p>
    <w:p>
      <w:pPr>
        <w:spacing w:before="120" w:after="40"/>
      </w:pPr>
      <w:r>
        <w:rPr>
          <w:rFonts w:ascii="Times New Roman" w:hAnsi="Times New Roman" w:eastAsia="Times New Roman"/>
          <w:b/>
          <w:i w:val="0"/>
          <w:sz w:val="20"/>
        </w:rPr>
        <w:t xml:space="preserve">[27]  </w:t>
      </w:r>
      <w:r>
        <w:rPr>
          <w:rFonts w:ascii="Times New Roman" w:hAnsi="Times New Roman" w:eastAsia="Times New Roman"/>
          <w:b w:val="0"/>
          <w:i w:val="0"/>
          <w:sz w:val="20"/>
        </w:rPr>
        <w:t xml:space="preserve">S. Amershi, D. Weld, M. Vorvoreanu, A. Fourney, B. Nushi, P. Collisson, J. Suh, S. Iqbal, P. N. Bennett, K. Inkpen, J. Teevan, R. Kikin-Gil, and E. Horvitz, “Guidelines for human-AI interaction,” in Proc. CHI Conf. Human Factors in Computing Systems, Glasgow, U.K., May 2019, pp. 1–13. </w:t>
      </w:r>
      <w:r>
        <w:rPr>
          <w:rFonts w:ascii="Times New Roman" w:hAnsi="Times New Roman" w:eastAsia="Times New Roman"/>
          <w:b w:val="0"/>
          <w:i w:val="0"/>
          <w:sz w:val="20"/>
        </w:rPr>
        <w:t xml:space="preserve">[Online]. Available: </w:t>
      </w:r>
      <w:hyperlink r:id="rId15">
        <w:r>
          <w:rPr>
            <w:rStyle w:val="Hyperlink"/>
            <w:color w:val="0563C1"/>
            <w:u w:val="single"/>
            <w:sz w:val="20"/>
            <w:rFonts w:ascii="Times New Roman" w:hAnsi="Times New Roman"/>
          </w:rPr>
          <w:t xml:space="preserve">https://doi.org/10.1145/3290605.3300233</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Human-AI guidelines; informs agent capability disclosure and human-in-loop for MDA692 demo.</w:t>
      </w:r>
    </w:p>
    <w:p>
      <w:pPr>
        <w:spacing w:before="120" w:after="40"/>
      </w:pPr>
      <w:r>
        <w:rPr>
          <w:rFonts w:ascii="Times New Roman" w:hAnsi="Times New Roman" w:eastAsia="Times New Roman"/>
          <w:b/>
          <w:i w:val="0"/>
          <w:sz w:val="20"/>
        </w:rPr>
        <w:t xml:space="preserve">[36]  </w:t>
      </w:r>
      <w:r>
        <w:rPr>
          <w:rFonts w:ascii="Times New Roman" w:hAnsi="Times New Roman" w:eastAsia="Times New Roman"/>
          <w:b w:val="0"/>
          <w:i w:val="0"/>
          <w:sz w:val="20"/>
        </w:rPr>
        <w:t xml:space="preserve">A. H. Alaoui, A. Meddaoui, and M. Hain, “AI-driven predictive maintenance for Industry 4.0: A systematic review of models, methods, and challenges,” The International Journal of Advanced Manufacturing Technology, vol. 143, pp. 4861–4876, 2026. </w:t>
      </w:r>
      <w:r>
        <w:rPr>
          <w:rFonts w:ascii="Times New Roman" w:hAnsi="Times New Roman" w:eastAsia="Times New Roman"/>
          <w:b w:val="0"/>
          <w:i w:val="0"/>
          <w:sz w:val="20"/>
        </w:rPr>
        <w:t xml:space="preserve">[Online]. Available: </w:t>
      </w:r>
      <w:hyperlink r:id="rId16">
        <w:r>
          <w:rPr>
            <w:rStyle w:val="Hyperlink"/>
            <w:color w:val="0563C1"/>
            <w:u w:val="single"/>
            <w:sz w:val="20"/>
            <w:rFonts w:ascii="Times New Roman" w:hAnsi="Times New Roman"/>
          </w:rPr>
          <w:t xml:space="preserve">https://doi.org/10.1007/s00170-026-17531-w</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2024 Industry 4.0 PdM review; recent evidence that AI-PdM adoption still lacks integrated edge-agent systems.</w:t>
      </w:r>
    </w:p>
    <w:p>
      <w:pPr>
        <w:spacing w:before="120" w:after="40"/>
      </w:pPr>
      <w:r>
        <w:rPr>
          <w:rFonts w:ascii="Times New Roman" w:hAnsi="Times New Roman" w:eastAsia="Times New Roman"/>
          <w:b/>
          <w:i w:val="0"/>
          <w:sz w:val="20"/>
        </w:rPr>
        <w:t xml:space="preserve">[38]  </w:t>
      </w:r>
      <w:r>
        <w:rPr>
          <w:rFonts w:ascii="Times New Roman" w:hAnsi="Times New Roman" w:eastAsia="Times New Roman"/>
          <w:b w:val="0"/>
          <w:i w:val="0"/>
          <w:sz w:val="20"/>
        </w:rPr>
        <w:t xml:space="preserve">A. Fernández-Miguel, S. Ortíz-Marcos, M. Jiménez-Calzado, A. P. Fernández del Hoyo, F. E. García-Muiña, and D. Settembre-Blundo, “Agentic AI in smart manufacturing: Enabling human-centric predictive maintenance ecosystems,” Applied Sciences, vol. 15, no. 21, art. no. 11414, Oct. 2025. </w:t>
      </w:r>
      <w:r>
        <w:rPr>
          <w:rFonts w:ascii="Times New Roman" w:hAnsi="Times New Roman" w:eastAsia="Times New Roman"/>
          <w:b w:val="0"/>
          <w:i w:val="0"/>
          <w:sz w:val="20"/>
        </w:rPr>
        <w:t xml:space="preserve">[Online]. Available: </w:t>
      </w:r>
      <w:hyperlink r:id="rId17">
        <w:r>
          <w:rPr>
            <w:rStyle w:val="Hyperlink"/>
            <w:color w:val="0563C1"/>
            <w:u w:val="single"/>
            <w:sz w:val="20"/>
            <w:rFonts w:ascii="Times New Roman" w:hAnsi="Times New Roman"/>
          </w:rPr>
          <w:t xml:space="preserve">https://doi.org/10.3390/app152111414</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Planning and ML technique survey; supports WBS structure for analytics and scheduling phases.</w:t>
      </w:r>
    </w:p>
    <w:p>
      <w:pPr>
        <w:spacing w:before="120" w:after="40"/>
      </w:pPr>
      <w:r>
        <w:rPr>
          <w:rFonts w:ascii="Times New Roman" w:hAnsi="Times New Roman" w:eastAsia="Times New Roman"/>
          <w:b/>
          <w:i w:val="0"/>
          <w:sz w:val="20"/>
        </w:rPr>
        <w:t xml:space="preserve">[39]  </w:t>
      </w:r>
      <w:r>
        <w:rPr>
          <w:rFonts w:ascii="Times New Roman" w:hAnsi="Times New Roman" w:eastAsia="Times New Roman"/>
          <w:b w:val="0"/>
          <w:i w:val="0"/>
          <w:sz w:val="20"/>
        </w:rPr>
        <w:t xml:space="preserve">S. Gawde, S. Patil, S. Kumar, P. Kamat, K. Kotecha, and S. Alfarhood, “Explainable predictive maintenance of rotating machines using LIME, SHAP, PDP, ICE,” IEEE Access, vol. 12, pp. 29345–29361, 2024. </w:t>
      </w:r>
      <w:r>
        <w:rPr>
          <w:rFonts w:ascii="Times New Roman" w:hAnsi="Times New Roman" w:eastAsia="Times New Roman"/>
          <w:b w:val="0"/>
          <w:i w:val="0"/>
          <w:sz w:val="20"/>
        </w:rPr>
        <w:t xml:space="preserve">[Online]. Available: </w:t>
      </w:r>
      <w:hyperlink r:id="rId18">
        <w:r>
          <w:rPr>
            <w:rStyle w:val="Hyperlink"/>
            <w:color w:val="0563C1"/>
            <w:u w:val="single"/>
            <w:sz w:val="20"/>
            <w:rFonts w:ascii="Times New Roman" w:hAnsi="Times New Roman"/>
          </w:rPr>
          <w:t xml:space="preserve">https://doi.org/10.1109/ACCESS.2024.3367110</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2024 XAI for rotating machinery; directly relevant to team E32W vibration data on pumps/fans.</w:t>
      </w:r>
    </w:p>
    <w:p>
      <w:pPr>
        <w:spacing w:before="240" w:after="80"/>
      </w:pPr>
      <w:r>
        <w:rPr>
          <w:rFonts w:ascii="Times New Roman" w:hAnsi="Times New Roman" w:eastAsia="Times New Roman"/>
          <w:b/>
          <w:i w:val="0"/>
          <w:sz w:val="24"/>
        </w:rPr>
        <w:t>Subala Shrestha (MIT252219) — 10 References</w:t>
      </w:r>
    </w:p>
    <w:p>
      <w:r>
        <w:rPr>
          <w:rFonts w:ascii="Times New Roman" w:hAnsi="Times New Roman" w:eastAsia="Times New Roman"/>
          <w:b w:val="0"/>
          <w:i/>
          <w:sz w:val="20"/>
        </w:rPr>
        <w:t>Theme: ESP32 / edge sensing, vibration, TinyML, and standards</w:t>
      </w:r>
    </w:p>
    <w:p>
      <w:pPr>
        <w:spacing w:before="120" w:after="40"/>
      </w:pPr>
      <w:r>
        <w:rPr>
          <w:rFonts w:ascii="Times New Roman" w:hAnsi="Times New Roman" w:eastAsia="Times New Roman"/>
          <w:b/>
          <w:i w:val="0"/>
          <w:sz w:val="20"/>
        </w:rPr>
        <w:t xml:space="preserve">[7]  </w:t>
      </w:r>
      <w:r>
        <w:rPr>
          <w:rFonts w:ascii="Times New Roman" w:hAnsi="Times New Roman" w:eastAsia="Times New Roman"/>
          <w:b w:val="0"/>
          <w:i w:val="0"/>
          <w:sz w:val="20"/>
        </w:rPr>
        <w:t xml:space="preserve">P. Kolok, M. Hodoň, P. Ševčík, L. Hotz, and N. Remy, “Low-cost IoT-based predictive maintenance using vibration,” Sensors, vol. 25, no. 21, art. no. 6610, Oct. 2025. </w:t>
      </w:r>
      <w:r>
        <w:rPr>
          <w:rFonts w:ascii="Times New Roman" w:hAnsi="Times New Roman" w:eastAsia="Times New Roman"/>
          <w:b w:val="0"/>
          <w:i w:val="0"/>
          <w:sz w:val="20"/>
        </w:rPr>
        <w:t xml:space="preserve">[Online]. Available: </w:t>
      </w:r>
      <w:hyperlink r:id="rId19">
        <w:r>
          <w:rPr>
            <w:rStyle w:val="Hyperlink"/>
            <w:color w:val="0563C1"/>
            <w:u w:val="single"/>
            <w:sz w:val="20"/>
            <w:rFonts w:ascii="Times New Roman" w:hAnsi="Times New Roman"/>
          </w:rPr>
          <w:t xml:space="preserve">https://doi.org/10.3390/s25216610</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Closest ESP32 comparator: RMS+FFT, ~73% anomaly detection; lacks RUL and agent — gap our project fills.</w:t>
      </w:r>
    </w:p>
    <w:p>
      <w:pPr>
        <w:spacing w:before="120" w:after="40"/>
      </w:pPr>
      <w:r>
        <w:rPr>
          <w:rFonts w:ascii="Times New Roman" w:hAnsi="Times New Roman" w:eastAsia="Times New Roman"/>
          <w:b/>
          <w:i w:val="0"/>
          <w:sz w:val="20"/>
        </w:rPr>
        <w:t xml:space="preserve">[8]  </w:t>
      </w:r>
      <w:r>
        <w:rPr>
          <w:rFonts w:ascii="Times New Roman" w:hAnsi="Times New Roman" w:eastAsia="Times New Roman"/>
          <w:b w:val="0"/>
          <w:i w:val="0"/>
          <w:sz w:val="20"/>
        </w:rPr>
        <w:t xml:space="preserve">S. Brito, G. Azinheira, J. Semião, N. Sousa, and S. P. Litrán, “Non-intrusive low-cost IoT-based hardware system for sustainable predictive maintenance of industrial pump systems,” Electronics, vol. 14, no. 14, art. no. 2913, Jul. 2025. </w:t>
      </w:r>
      <w:r>
        <w:rPr>
          <w:rFonts w:ascii="Times New Roman" w:hAnsi="Times New Roman" w:eastAsia="Times New Roman"/>
          <w:b w:val="0"/>
          <w:i w:val="0"/>
          <w:sz w:val="20"/>
        </w:rPr>
        <w:t xml:space="preserve">[Online]. Available: </w:t>
      </w:r>
      <w:hyperlink r:id="rId20">
        <w:r>
          <w:rPr>
            <w:rStyle w:val="Hyperlink"/>
            <w:color w:val="0563C1"/>
            <w:u w:val="single"/>
            <w:sz w:val="20"/>
            <w:rFonts w:ascii="Times New Roman" w:hAnsi="Times New Roman"/>
          </w:rPr>
          <w:t xml:space="preserve">https://doi.org/10.3390/electronics14142913</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Low-cost IoT hardware architecture; validates feasibility of budget edge PdM nodes.</w:t>
      </w:r>
    </w:p>
    <w:p>
      <w:pPr>
        <w:spacing w:before="120" w:after="40"/>
      </w:pPr>
      <w:r>
        <w:rPr>
          <w:rFonts w:ascii="Times New Roman" w:hAnsi="Times New Roman" w:eastAsia="Times New Roman"/>
          <w:b/>
          <w:i w:val="0"/>
          <w:sz w:val="20"/>
        </w:rPr>
        <w:t xml:space="preserve">[9]  </w:t>
      </w:r>
      <w:r>
        <w:rPr>
          <w:rFonts w:ascii="Times New Roman" w:hAnsi="Times New Roman" w:eastAsia="Times New Roman"/>
          <w:b w:val="0"/>
          <w:i w:val="0"/>
          <w:sz w:val="20"/>
        </w:rPr>
        <w:t xml:space="preserve">J. Jeleńska, U. Jachymczyk, P. Knap, and M. Wiszniewski, “Design and validation of low-cost MEMS sensor networks for AI-based predictive maintenance in Industry 4.0,” in Proc. IEEE Int. Conf. Metrology for eXtended Reality, Artificial Intelligence and Neural Engineering (MetroXRAINE), 2025. </w:t>
      </w:r>
      <w:r>
        <w:rPr>
          <w:rFonts w:ascii="Times New Roman" w:hAnsi="Times New Roman" w:eastAsia="Times New Roman"/>
          <w:b w:val="0"/>
          <w:i w:val="0"/>
          <w:sz w:val="20"/>
        </w:rPr>
        <w:t xml:space="preserve">[Online]. Available: </w:t>
      </w:r>
      <w:hyperlink r:id="rId21">
        <w:r>
          <w:rPr>
            <w:rStyle w:val="Hyperlink"/>
            <w:color w:val="0563C1"/>
            <w:u w:val="single"/>
            <w:sz w:val="20"/>
            <w:rFonts w:ascii="Times New Roman" w:hAnsi="Times New Roman"/>
          </w:rPr>
          <w:t xml:space="preserve">https://doi.org/10.1109/MetroXRAINE66377.2025.11340048</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MEMS vs piezoelectric comparison; de-risks KY-002 vibration sensor choice for lab E32W.</w:t>
      </w:r>
    </w:p>
    <w:p>
      <w:pPr>
        <w:spacing w:before="120" w:after="40"/>
      </w:pPr>
      <w:r>
        <w:rPr>
          <w:rFonts w:ascii="Times New Roman" w:hAnsi="Times New Roman" w:eastAsia="Times New Roman"/>
          <w:b/>
          <w:i w:val="0"/>
          <w:sz w:val="20"/>
        </w:rPr>
        <w:t xml:space="preserve">[10]  </w:t>
      </w:r>
      <w:r>
        <w:rPr>
          <w:rFonts w:ascii="Times New Roman" w:hAnsi="Times New Roman" w:eastAsia="Times New Roman"/>
          <w:b w:val="0"/>
          <w:i w:val="0"/>
          <w:sz w:val="20"/>
        </w:rPr>
        <w:t xml:space="preserve">C. Banbury, V. J. Reddi, P. Torelli, J. Holleman, N. Jeffries, C. Kiraly, P. Montino, D. Kanter, S. Ahmed, D. Pau, et al., “MLPerf Tiny benchmark,” in Proc. Neural Information Processing Systems Track on Datasets and Benchmarks, 2021. </w:t>
      </w:r>
      <w:r>
        <w:rPr>
          <w:rFonts w:ascii="Times New Roman" w:hAnsi="Times New Roman" w:eastAsia="Times New Roman"/>
          <w:b w:val="0"/>
          <w:i w:val="0"/>
          <w:sz w:val="20"/>
        </w:rPr>
        <w:t xml:space="preserve">[Online]. Available: </w:t>
      </w:r>
      <w:hyperlink r:id="rId22">
        <w:r>
          <w:rPr>
            <w:rStyle w:val="Hyperlink"/>
            <w:color w:val="0563C1"/>
            <w:u w:val="single"/>
            <w:sz w:val="20"/>
            <w:rFonts w:ascii="Times New Roman" w:hAnsi="Times New Roman"/>
          </w:rPr>
          <w:t xml:space="preserve">https://arxiv.org/abs/2106.07597</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TinyML benchmarking methodology; supports Obj 7 latency evaluation on ESP32.</w:t>
      </w:r>
    </w:p>
    <w:p>
      <w:pPr>
        <w:spacing w:before="120" w:after="40"/>
      </w:pPr>
      <w:r>
        <w:rPr>
          <w:rFonts w:ascii="Times New Roman" w:hAnsi="Times New Roman" w:eastAsia="Times New Roman"/>
          <w:b/>
          <w:i w:val="0"/>
          <w:sz w:val="20"/>
        </w:rPr>
        <w:t xml:space="preserve">[20]  </w:t>
      </w:r>
      <w:r>
        <w:rPr>
          <w:rFonts w:ascii="Times New Roman" w:hAnsi="Times New Roman" w:eastAsia="Times New Roman"/>
          <w:b w:val="0"/>
          <w:i w:val="0"/>
          <w:sz w:val="20"/>
        </w:rPr>
        <w:t xml:space="preserve">W. Shi, J. Cao, Q. Zhang, Y. Li, and L. Xu, “Edge computing: Vision and challenges,” IEEE Internet of Things Journal, vol. 3, no. 5, pp. 637–646, Oct. 2016. </w:t>
      </w:r>
      <w:r>
        <w:rPr>
          <w:rFonts w:ascii="Times New Roman" w:hAnsi="Times New Roman" w:eastAsia="Times New Roman"/>
          <w:b w:val="0"/>
          <w:i w:val="0"/>
          <w:sz w:val="20"/>
        </w:rPr>
        <w:t xml:space="preserve">[Online]. Available: </w:t>
      </w:r>
      <w:hyperlink r:id="rId23">
        <w:r>
          <w:rPr>
            <w:rStyle w:val="Hyperlink"/>
            <w:color w:val="0563C1"/>
            <w:u w:val="single"/>
            <w:sz w:val="20"/>
            <w:rFonts w:ascii="Times New Roman" w:hAnsi="Times New Roman"/>
          </w:rPr>
          <w:t xml:space="preserve">https://doi.org/10.1109/JIOT.2016.2579198</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Edge computing rationale; justifies on-device feature extraction vs cloud-only PdM.</w:t>
      </w:r>
    </w:p>
    <w:p>
      <w:pPr>
        <w:spacing w:before="120" w:after="40"/>
      </w:pPr>
      <w:r>
        <w:rPr>
          <w:rFonts w:ascii="Times New Roman" w:hAnsi="Times New Roman" w:eastAsia="Times New Roman"/>
          <w:b/>
          <w:i w:val="0"/>
          <w:sz w:val="20"/>
        </w:rPr>
        <w:t xml:space="preserve">[28]  </w:t>
      </w:r>
      <w:r>
        <w:rPr>
          <w:rFonts w:ascii="Times New Roman" w:hAnsi="Times New Roman" w:eastAsia="Times New Roman"/>
          <w:b w:val="0"/>
          <w:i w:val="0"/>
          <w:sz w:val="20"/>
        </w:rPr>
        <w:t xml:space="preserve">R. B. Randall, Vibration-Based Condition Monitoring: Industrial, Aerospace and Automotive Applications, 2nd ed. Chichester, U.K.: John Wiley &amp; Sons, 2021. </w:t>
      </w:r>
      <w:r>
        <w:rPr>
          <w:rFonts w:ascii="Times New Roman" w:hAnsi="Times New Roman" w:eastAsia="Times New Roman"/>
          <w:b w:val="0"/>
          <w:i w:val="0"/>
          <w:sz w:val="20"/>
        </w:rPr>
        <w:t xml:space="preserve">[Online]. Available: </w:t>
      </w:r>
      <w:hyperlink r:id="rId24">
        <w:r>
          <w:rPr>
            <w:rStyle w:val="Hyperlink"/>
            <w:color w:val="0563C1"/>
            <w:u w:val="single"/>
            <w:sz w:val="20"/>
            <w:rFonts w:ascii="Times New Roman" w:hAnsi="Times New Roman"/>
          </w:rPr>
          <w:t xml:space="preserve">https://doi.org/10.1002/9781119479819</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Standard reference for RMS, crest factor, FFT band analysis implemented on E32W.</w:t>
      </w:r>
    </w:p>
    <w:p>
      <w:pPr>
        <w:spacing w:before="120" w:after="40"/>
      </w:pPr>
      <w:r>
        <w:rPr>
          <w:rFonts w:ascii="Times New Roman" w:hAnsi="Times New Roman" w:eastAsia="Times New Roman"/>
          <w:b/>
          <w:i w:val="0"/>
          <w:sz w:val="20"/>
        </w:rPr>
        <w:t xml:space="preserve">[29]  </w:t>
      </w:r>
      <w:r>
        <w:rPr>
          <w:rFonts w:ascii="Times New Roman" w:hAnsi="Times New Roman" w:eastAsia="Times New Roman"/>
          <w:b w:val="0"/>
          <w:i w:val="0"/>
          <w:sz w:val="20"/>
        </w:rPr>
        <w:t xml:space="preserve">Mechanical Vibration — Evaluation of Machine Vibration by Measurements on Non-Rotating Parts — Part 3: Industrial Machines with Nominal Power Above 15 kW and Nominal Speeds Between 120 r/min and 15 000 r/min When Measured In Situ, ISO 10816-3:2009, International Organization for Standardization, Geneva, Switzerland, 2009. </w:t>
      </w:r>
      <w:r>
        <w:rPr>
          <w:rFonts w:ascii="Times New Roman" w:hAnsi="Times New Roman" w:eastAsia="Times New Roman"/>
          <w:b w:val="0"/>
          <w:i w:val="0"/>
          <w:sz w:val="20"/>
        </w:rPr>
        <w:t xml:space="preserve">[Online]. Available: </w:t>
      </w:r>
      <w:hyperlink r:id="rId25">
        <w:r>
          <w:rPr>
            <w:rStyle w:val="Hyperlink"/>
            <w:color w:val="0563C1"/>
            <w:u w:val="single"/>
            <w:sz w:val="20"/>
            <w:rFonts w:ascii="Times New Roman" w:hAnsi="Times New Roman"/>
          </w:rPr>
          <w:t xml:space="preserve">https://www.iso.org/standard/50527.html</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International standard for reflex alarm thresholds on ESP32 buzzer path (FR4).</w:t>
      </w:r>
    </w:p>
    <w:p>
      <w:pPr>
        <w:spacing w:before="120" w:after="40"/>
      </w:pPr>
      <w:r>
        <w:rPr>
          <w:rFonts w:ascii="Times New Roman" w:hAnsi="Times New Roman" w:eastAsia="Times New Roman"/>
          <w:b/>
          <w:i w:val="0"/>
          <w:sz w:val="20"/>
        </w:rPr>
        <w:t xml:space="preserve">[30]  </w:t>
      </w:r>
      <w:r>
        <w:rPr>
          <w:rFonts w:ascii="Times New Roman" w:hAnsi="Times New Roman" w:eastAsia="Times New Roman"/>
          <w:b w:val="0"/>
          <w:i w:val="0"/>
          <w:sz w:val="20"/>
        </w:rPr>
        <w:t xml:space="preserve">P. Warden and D. Situnayake, TinyML: Machine Learning with TensorFlow Lite on Arduino and Ultra-Low-Power Microcontrollers. Sebastopol, CA, USA: O’Reilly Media, 2020. </w:t>
      </w:r>
      <w:r>
        <w:rPr>
          <w:rFonts w:ascii="Times New Roman" w:hAnsi="Times New Roman" w:eastAsia="Times New Roman"/>
          <w:b w:val="0"/>
          <w:i w:val="0"/>
          <w:sz w:val="20"/>
        </w:rPr>
        <w:t xml:space="preserve">[Online]. Available: </w:t>
      </w:r>
      <w:hyperlink r:id="rId26">
        <w:r>
          <w:rPr>
            <w:rStyle w:val="Hyperlink"/>
            <w:color w:val="0563C1"/>
            <w:u w:val="single"/>
            <w:sz w:val="20"/>
            <w:rFonts w:ascii="Times New Roman" w:hAnsi="Times New Roman"/>
          </w:rPr>
          <w:t xml:space="preserve">https://www.oreilly.com/library/view/tinyml/9781492052036/</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TinyML deployment constraints inform ESP32 memory/latency targets.</w:t>
      </w:r>
    </w:p>
    <w:p>
      <w:pPr>
        <w:spacing w:before="120" w:after="40"/>
      </w:pPr>
      <w:r>
        <w:rPr>
          <w:rFonts w:ascii="Times New Roman" w:hAnsi="Times New Roman" w:eastAsia="Times New Roman"/>
          <w:b/>
          <w:i w:val="0"/>
          <w:sz w:val="20"/>
        </w:rPr>
        <w:t xml:space="preserve">[34]  </w:t>
      </w:r>
      <w:r>
        <w:rPr>
          <w:rFonts w:ascii="Times New Roman" w:hAnsi="Times New Roman" w:eastAsia="Times New Roman"/>
          <w:b w:val="0"/>
          <w:i w:val="0"/>
          <w:sz w:val="20"/>
        </w:rPr>
        <w:t xml:space="preserve">Espressif Systems, “ESP32 series datasheet,” Espressif Systems, Shanghai, China. Accessed: Aug. 15, 2026. </w:t>
      </w:r>
      <w:r>
        <w:rPr>
          <w:rFonts w:ascii="Times New Roman" w:hAnsi="Times New Roman" w:eastAsia="Times New Roman"/>
          <w:b w:val="0"/>
          <w:i w:val="0"/>
          <w:sz w:val="20"/>
        </w:rPr>
        <w:t xml:space="preserve">[Online]. Available: </w:t>
      </w:r>
      <w:hyperlink r:id="rId27">
        <w:r>
          <w:rPr>
            <w:rStyle w:val="Hyperlink"/>
            <w:color w:val="0563C1"/>
            <w:u w:val="single"/>
            <w:sz w:val="20"/>
            <w:rFonts w:ascii="Times New Roman" w:hAnsi="Times New Roman"/>
          </w:rPr>
          <w:t xml:space="preserve">https://www.espressif.com/en/support/documents/technical-documents</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Hardware specs (520 KB SRAM, 240 MHz); basis for NFR1 memory budget analysis.</w:t>
      </w:r>
    </w:p>
    <w:p>
      <w:pPr>
        <w:spacing w:before="120" w:after="40"/>
      </w:pPr>
      <w:r>
        <w:rPr>
          <w:rFonts w:ascii="Times New Roman" w:hAnsi="Times New Roman" w:eastAsia="Times New Roman"/>
          <w:b/>
          <w:i w:val="0"/>
          <w:sz w:val="20"/>
        </w:rPr>
        <w:t xml:space="preserve">[35]  </w:t>
      </w:r>
      <w:r>
        <w:rPr>
          <w:rFonts w:ascii="Times New Roman" w:hAnsi="Times New Roman" w:eastAsia="Times New Roman"/>
          <w:b w:val="0"/>
          <w:i w:val="0"/>
          <w:sz w:val="20"/>
        </w:rPr>
        <w:t xml:space="preserve">MicroPython, “Quick reference for the ESP32 — MicroPython documentation.” Accessed: Aug. 15, 2026. </w:t>
      </w:r>
      <w:r>
        <w:rPr>
          <w:rFonts w:ascii="Times New Roman" w:hAnsi="Times New Roman" w:eastAsia="Times New Roman"/>
          <w:b w:val="0"/>
          <w:i w:val="0"/>
          <w:sz w:val="20"/>
        </w:rPr>
        <w:t xml:space="preserve">[Online]. Available: </w:t>
      </w:r>
      <w:hyperlink r:id="rId28">
        <w:r>
          <w:rPr>
            <w:rStyle w:val="Hyperlink"/>
            <w:color w:val="0563C1"/>
            <w:u w:val="single"/>
            <w:sz w:val="20"/>
            <w:rFonts w:ascii="Times New Roman" w:hAnsi="Times New Roman"/>
          </w:rPr>
          <w:t xml:space="preserve">https://docs.micropython.org/en/latest/esp32/quickref.html</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MicroPython constraints on ESP32; documents client-required runtime environment.</w:t>
      </w:r>
    </w:p>
    <w:p>
      <w:pPr>
        <w:spacing w:before="240" w:after="80"/>
      </w:pPr>
      <w:r>
        <w:rPr>
          <w:rFonts w:ascii="Times New Roman" w:hAnsi="Times New Roman" w:eastAsia="Times New Roman"/>
          <w:b/>
          <w:i w:val="0"/>
          <w:sz w:val="24"/>
        </w:rPr>
        <w:t>Teegala Pavan Reddy (MIT251400) — 10 References</w:t>
      </w:r>
    </w:p>
    <w:p>
      <w:r>
        <w:rPr>
          <w:rFonts w:ascii="Times New Roman" w:hAnsi="Times New Roman" w:eastAsia="Times New Roman"/>
          <w:b w:val="0"/>
          <w:i/>
          <w:sz w:val="20"/>
        </w:rPr>
        <w:t>Theme: RUL modelling, LSTM, benchmarks, and explainability</w:t>
      </w:r>
    </w:p>
    <w:p>
      <w:pPr>
        <w:spacing w:before="120" w:after="40"/>
      </w:pPr>
      <w:r>
        <w:rPr>
          <w:rFonts w:ascii="Times New Roman" w:hAnsi="Times New Roman" w:eastAsia="Times New Roman"/>
          <w:b/>
          <w:i w:val="0"/>
          <w:sz w:val="20"/>
        </w:rPr>
        <w:t xml:space="preserve">[2]  </w:t>
      </w:r>
      <w:r>
        <w:rPr>
          <w:rFonts w:ascii="Times New Roman" w:hAnsi="Times New Roman" w:eastAsia="Times New Roman"/>
          <w:b w:val="0"/>
          <w:i w:val="0"/>
          <w:sz w:val="20"/>
        </w:rPr>
        <w:t xml:space="preserve">F. Wu, Q. Wu, Y. Tan, and X. Xu, “Remaining useful life prediction based on deep learning: A survey,” Sensors, vol. 24, no. 11, art. no. 3454, May 2024. </w:t>
      </w:r>
      <w:r>
        <w:rPr>
          <w:rFonts w:ascii="Times New Roman" w:hAnsi="Times New Roman" w:eastAsia="Times New Roman"/>
          <w:b w:val="0"/>
          <w:i w:val="0"/>
          <w:sz w:val="20"/>
        </w:rPr>
        <w:t xml:space="preserve">[Online]. Available: </w:t>
      </w:r>
      <w:hyperlink r:id="rId29">
        <w:r>
          <w:rPr>
            <w:rStyle w:val="Hyperlink"/>
            <w:color w:val="0563C1"/>
            <w:u w:val="single"/>
            <w:sz w:val="20"/>
            <w:rFonts w:ascii="Times New Roman" w:hAnsi="Times New Roman"/>
          </w:rPr>
          <w:t xml:space="preserve">https://doi.org/10.3390/s24113454</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Unified deep-learning RUL framework; guides LSTM pipeline design in §7.4.</w:t>
      </w:r>
    </w:p>
    <w:p>
      <w:pPr>
        <w:spacing w:before="120" w:after="40"/>
      </w:pPr>
      <w:r>
        <w:rPr>
          <w:rFonts w:ascii="Times New Roman" w:hAnsi="Times New Roman" w:eastAsia="Times New Roman"/>
          <w:b/>
          <w:i w:val="0"/>
          <w:sz w:val="20"/>
        </w:rPr>
        <w:t xml:space="preserve">[3]  </w:t>
      </w:r>
      <w:r>
        <w:rPr>
          <w:rFonts w:ascii="Times New Roman" w:hAnsi="Times New Roman" w:eastAsia="Times New Roman"/>
          <w:b w:val="0"/>
          <w:i w:val="0"/>
          <w:sz w:val="20"/>
        </w:rPr>
        <w:t xml:space="preserve">A. Saxena, K. Goebel, D. Simon, and N. Eklund, “Damage propagation modeling for aircraft engine run-to-failure simulation,” in Proc. Int. Conf. Prognostics and Health Management (PHM), Denver, CO, USA, Oct. 2008, pp. 1–9. </w:t>
      </w:r>
      <w:r>
        <w:rPr>
          <w:rFonts w:ascii="Times New Roman" w:hAnsi="Times New Roman" w:eastAsia="Times New Roman"/>
          <w:b w:val="0"/>
          <w:i w:val="0"/>
          <w:sz w:val="20"/>
        </w:rPr>
        <w:t xml:space="preserve">[Online]. Available: </w:t>
      </w:r>
      <w:hyperlink r:id="rId30">
        <w:r>
          <w:rPr>
            <w:rStyle w:val="Hyperlink"/>
            <w:color w:val="0563C1"/>
            <w:u w:val="single"/>
            <w:sz w:val="20"/>
            <w:rFonts w:ascii="Times New Roman" w:hAnsi="Times New Roman"/>
          </w:rPr>
          <w:t xml:space="preserve">https://doi.org/10.1109/PHM.2008.4711414</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Primary turbofan benchmark dataset; Obj 3 success criterion baseline.</w:t>
      </w:r>
    </w:p>
    <w:p>
      <w:pPr>
        <w:spacing w:before="120" w:after="40"/>
      </w:pPr>
      <w:r>
        <w:rPr>
          <w:rFonts w:ascii="Times New Roman" w:hAnsi="Times New Roman" w:eastAsia="Times New Roman"/>
          <w:b/>
          <w:i w:val="0"/>
          <w:sz w:val="20"/>
        </w:rPr>
        <w:t xml:space="preserve">[4]  </w:t>
      </w:r>
      <w:r>
        <w:rPr>
          <w:rFonts w:ascii="Times New Roman" w:hAnsi="Times New Roman" w:eastAsia="Times New Roman"/>
          <w:b w:val="0"/>
          <w:i w:val="0"/>
          <w:sz w:val="20"/>
        </w:rPr>
        <w:t xml:space="preserve">S. Zheng, K. Ristovski, A. Farahat, and C. Gupta, “Long short-term memory network for remaining useful life estimation,” in Proc. IEEE Int. Conf. Prognostics and Health Management (ICPHM), Dallas, TX, USA, Jun. 2017, pp. 88–95. </w:t>
      </w:r>
      <w:r>
        <w:rPr>
          <w:rFonts w:ascii="Times New Roman" w:hAnsi="Times New Roman" w:eastAsia="Times New Roman"/>
          <w:b w:val="0"/>
          <w:i w:val="0"/>
          <w:sz w:val="20"/>
        </w:rPr>
        <w:t xml:space="preserve">[Online]. Available: </w:t>
      </w:r>
      <w:hyperlink r:id="rId31">
        <w:r>
          <w:rPr>
            <w:rStyle w:val="Hyperlink"/>
            <w:color w:val="0563C1"/>
            <w:u w:val="single"/>
            <w:sz w:val="20"/>
            <w:rFonts w:ascii="Times New Roman" w:hAnsi="Times New Roman"/>
          </w:rPr>
          <w:t xml:space="preserve">https://doi.org/10.1109/ICPHM.2017.7998311</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Core LSTM architecture for sequence-based RUL; selected baseline model.</w:t>
      </w:r>
    </w:p>
    <w:p>
      <w:pPr>
        <w:spacing w:before="120" w:after="40"/>
      </w:pPr>
      <w:r>
        <w:rPr>
          <w:rFonts w:ascii="Times New Roman" w:hAnsi="Times New Roman" w:eastAsia="Times New Roman"/>
          <w:b/>
          <w:i w:val="0"/>
          <w:sz w:val="20"/>
        </w:rPr>
        <w:t xml:space="preserve">[5]  </w:t>
      </w:r>
      <w:r>
        <w:rPr>
          <w:rFonts w:ascii="Times New Roman" w:hAnsi="Times New Roman" w:eastAsia="Times New Roman"/>
          <w:b w:val="0"/>
          <w:i w:val="0"/>
          <w:sz w:val="20"/>
        </w:rPr>
        <w:t xml:space="preserve">B. Wang, Y. Lei, N. Li, and N. Li, “A hybrid prognostics approach for estimating remaining useful life of rolling element bearings,” IEEE Transactions on Reliability, vol. 69, no. 1, pp. 401–412, Mar. 2020. </w:t>
      </w:r>
      <w:r>
        <w:rPr>
          <w:rFonts w:ascii="Times New Roman" w:hAnsi="Times New Roman" w:eastAsia="Times New Roman"/>
          <w:b w:val="0"/>
          <w:i w:val="0"/>
          <w:sz w:val="20"/>
        </w:rPr>
        <w:t xml:space="preserve">[Online]. Available: </w:t>
      </w:r>
      <w:hyperlink r:id="rId32">
        <w:r>
          <w:rPr>
            <w:rStyle w:val="Hyperlink"/>
            <w:color w:val="0563C1"/>
            <w:u w:val="single"/>
            <w:sz w:val="20"/>
            <w:rFonts w:ascii="Times New Roman" w:hAnsi="Times New Roman"/>
          </w:rPr>
          <w:t xml:space="preserve">https://doi.org/10.1109/TR.2018.2882682</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Real bearing degradation at 25.6 kHz; aligns with E32W vibration sampling goals.</w:t>
      </w:r>
    </w:p>
    <w:p>
      <w:pPr>
        <w:spacing w:before="120" w:after="40"/>
      </w:pPr>
      <w:r>
        <w:rPr>
          <w:rFonts w:ascii="Times New Roman" w:hAnsi="Times New Roman" w:eastAsia="Times New Roman"/>
          <w:b/>
          <w:i w:val="0"/>
          <w:sz w:val="20"/>
        </w:rPr>
        <w:t xml:space="preserve">[6]  </w:t>
      </w:r>
      <w:r>
        <w:rPr>
          <w:rFonts w:ascii="Times New Roman" w:hAnsi="Times New Roman" w:eastAsia="Times New Roman"/>
          <w:b w:val="0"/>
          <w:i w:val="0"/>
          <w:sz w:val="20"/>
        </w:rPr>
        <w:t xml:space="preserve">W. A. Smith and R. B. Randall, “Rolling element bearing diagnostics using the Case Western Reserve University data: A benchmark study,” Mechanical Systems and Signal Processing, vol. 64–65, pp. 100–131, Dec. 2015. </w:t>
      </w:r>
      <w:r>
        <w:rPr>
          <w:rFonts w:ascii="Times New Roman" w:hAnsi="Times New Roman" w:eastAsia="Times New Roman"/>
          <w:b w:val="0"/>
          <w:i w:val="0"/>
          <w:sz w:val="20"/>
        </w:rPr>
        <w:t xml:space="preserve">[Online]. Available: </w:t>
      </w:r>
      <w:hyperlink r:id="rId33">
        <w:r>
          <w:rPr>
            <w:rStyle w:val="Hyperlink"/>
            <w:color w:val="0563C1"/>
            <w:u w:val="single"/>
            <w:sz w:val="20"/>
            <w:rFonts w:ascii="Times New Roman" w:hAnsi="Times New Roman"/>
          </w:rPr>
          <w:t xml:space="preserve">https://doi.org/10.1016/j.ymssp.2015.04.021</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Fault signature validation for FFT band features before RUL modelling.</w:t>
      </w:r>
    </w:p>
    <w:p>
      <w:pPr>
        <w:spacing w:before="120" w:after="40"/>
      </w:pPr>
      <w:r>
        <w:rPr>
          <w:rFonts w:ascii="Times New Roman" w:hAnsi="Times New Roman" w:eastAsia="Times New Roman"/>
          <w:b/>
          <w:i w:val="0"/>
          <w:sz w:val="20"/>
        </w:rPr>
        <w:t xml:space="preserve">[26]  </w:t>
      </w:r>
      <w:r>
        <w:rPr>
          <w:rFonts w:ascii="Times New Roman" w:hAnsi="Times New Roman" w:eastAsia="Times New Roman"/>
          <w:b w:val="0"/>
          <w:i w:val="0"/>
          <w:sz w:val="20"/>
        </w:rPr>
        <w:t xml:space="preserve">S. M. Lundberg and S.-I. Lee, “A unified approach to interpreting model predictions,” in Proc. NeurIPS, 2017, pp. 4765–4774. and arXiv:1705.07874. </w:t>
      </w:r>
      <w:r>
        <w:rPr>
          <w:rFonts w:ascii="Times New Roman" w:hAnsi="Times New Roman" w:eastAsia="Times New Roman"/>
          <w:b w:val="0"/>
          <w:i w:val="0"/>
          <w:sz w:val="20"/>
        </w:rPr>
        <w:t xml:space="preserve">[Online]. Available: </w:t>
      </w:r>
      <w:hyperlink r:id="rId34">
        <w:r>
          <w:rPr>
            <w:rStyle w:val="Hyperlink"/>
            <w:color w:val="0563C1"/>
            <w:u w:val="single"/>
            <w:sz w:val="20"/>
            <w:rFonts w:ascii="Times New Roman" w:hAnsi="Times New Roman"/>
          </w:rPr>
          <w:t xml:space="preserve">https://doi.org/10.48550/arXiv.1705.07874</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SHAP basis for RUL explainability in our analytics layer.</w:t>
      </w:r>
    </w:p>
    <w:p>
      <w:pPr>
        <w:spacing w:before="120" w:after="40"/>
      </w:pPr>
      <w:r>
        <w:rPr>
          <w:rFonts w:ascii="Times New Roman" w:hAnsi="Times New Roman" w:eastAsia="Times New Roman"/>
          <w:b/>
          <w:i w:val="0"/>
          <w:sz w:val="20"/>
        </w:rPr>
        <w:t xml:space="preserve">[31]  </w:t>
      </w:r>
      <w:r>
        <w:rPr>
          <w:rFonts w:ascii="Times New Roman" w:hAnsi="Times New Roman" w:eastAsia="Times New Roman"/>
          <w:b w:val="0"/>
          <w:i w:val="0"/>
          <w:sz w:val="20"/>
        </w:rPr>
        <w:t xml:space="preserve">Z. Xi et al., “The rise and potential of large language model based agents: A survey,” Science China Information Sciences, vol. 68, art. no. 121101, 2025, (also arXiv:2309.07864. </w:t>
      </w:r>
      <w:r>
        <w:rPr>
          <w:rFonts w:ascii="Times New Roman" w:hAnsi="Times New Roman" w:eastAsia="Times New Roman"/>
          <w:b w:val="0"/>
          <w:i w:val="0"/>
          <w:sz w:val="20"/>
        </w:rPr>
        <w:t xml:space="preserve">[Online]. Available: </w:t>
      </w:r>
      <w:hyperlink r:id="rId35">
        <w:r>
          <w:rPr>
            <w:rStyle w:val="Hyperlink"/>
            <w:color w:val="0563C1"/>
            <w:u w:val="single"/>
            <w:sz w:val="20"/>
            <w:rFonts w:ascii="Times New Roman" w:hAnsi="Times New Roman"/>
          </w:rPr>
          <w:t xml:space="preserve">https://doi.org/10.1007/s11432-024-4222-0</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Agent survey framing brain/perception/action used to position runlinc AI Assistant role.</w:t>
      </w:r>
    </w:p>
    <w:p>
      <w:pPr>
        <w:spacing w:before="120" w:after="40"/>
      </w:pPr>
      <w:r>
        <w:rPr>
          <w:rFonts w:ascii="Times New Roman" w:hAnsi="Times New Roman" w:eastAsia="Times New Roman"/>
          <w:b/>
          <w:i w:val="0"/>
          <w:sz w:val="20"/>
        </w:rPr>
        <w:t xml:space="preserve">[32]  </w:t>
      </w:r>
      <w:r>
        <w:rPr>
          <w:rFonts w:ascii="Times New Roman" w:hAnsi="Times New Roman" w:eastAsia="Times New Roman"/>
          <w:b w:val="0"/>
          <w:i w:val="0"/>
          <w:sz w:val="20"/>
        </w:rPr>
        <w:t xml:space="preserve">L. Wang, C. Ma, X. Feng, Z. Zhang, H. Yang, J. Zhang, et al., “A survey on large language model based autonomous agents,” Frontiers of Computer Science, vol. 18, no. 6, art. no. 186345, 2024. </w:t>
      </w:r>
      <w:r>
        <w:rPr>
          <w:rFonts w:ascii="Times New Roman" w:hAnsi="Times New Roman" w:eastAsia="Times New Roman"/>
          <w:b w:val="0"/>
          <w:i w:val="0"/>
          <w:sz w:val="20"/>
        </w:rPr>
        <w:t xml:space="preserve">[Online]. Available: </w:t>
      </w:r>
      <w:hyperlink r:id="rId36">
        <w:r>
          <w:rPr>
            <w:rStyle w:val="Hyperlink"/>
            <w:color w:val="0563C1"/>
            <w:u w:val="single"/>
            <w:sz w:val="20"/>
            <w:rFonts w:ascii="Times New Roman" w:hAnsi="Times New Roman"/>
          </w:rPr>
          <w:t xml:space="preserve">https://doi.org/10.1007/s11704-024-40231-1</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2024 autonomous agent survey; memory, planning, and tool-use modules map to our agent design.</w:t>
      </w:r>
    </w:p>
    <w:p>
      <w:pPr>
        <w:spacing w:before="120" w:after="40"/>
      </w:pPr>
      <w:r>
        <w:rPr>
          <w:rFonts w:ascii="Times New Roman" w:hAnsi="Times New Roman" w:eastAsia="Times New Roman"/>
          <w:b/>
          <w:i w:val="0"/>
          <w:sz w:val="20"/>
        </w:rPr>
        <w:t xml:space="preserve">[37]  </w:t>
      </w:r>
      <w:r>
        <w:rPr>
          <w:rFonts w:ascii="Times New Roman" w:hAnsi="Times New Roman" w:eastAsia="Times New Roman"/>
          <w:b w:val="0"/>
          <w:i w:val="0"/>
          <w:sz w:val="20"/>
        </w:rPr>
        <w:t xml:space="preserve">N. Ringler, D. Knittel, J.-C. Ponsart, M. Nouari, A. Yakob, and D. Romani, “Machine learning based real time predictive maintenance at the edge for manufacturing systems: A practical example,” in Proc. IEEE IAS Global Conf. Emerging Technologies (GlobConET), London, U.K., May 2023. </w:t>
      </w:r>
      <w:r>
        <w:rPr>
          <w:rFonts w:ascii="Times New Roman" w:hAnsi="Times New Roman" w:eastAsia="Times New Roman"/>
          <w:b w:val="0"/>
          <w:i w:val="0"/>
          <w:sz w:val="20"/>
        </w:rPr>
        <w:t xml:space="preserve">[Online]. Available: </w:t>
      </w:r>
      <w:hyperlink r:id="rId37">
        <w:r>
          <w:rPr>
            <w:rStyle w:val="Hyperlink"/>
            <w:color w:val="0563C1"/>
            <w:u w:val="single"/>
            <w:sz w:val="20"/>
            <w:rFonts w:ascii="Times New Roman" w:hAnsi="Times New Roman"/>
          </w:rPr>
          <w:t xml:space="preserve">https://doi.org/10.1109/GlobConET56651.2023.10150033</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2024 real-time industrial PdM; benchmark for streaming analytics architecture.</w:t>
      </w:r>
    </w:p>
    <w:p>
      <w:pPr>
        <w:spacing w:before="120" w:after="40"/>
      </w:pPr>
      <w:r>
        <w:rPr>
          <w:rFonts w:ascii="Times New Roman" w:hAnsi="Times New Roman" w:eastAsia="Times New Roman"/>
          <w:b/>
          <w:i w:val="0"/>
          <w:sz w:val="20"/>
        </w:rPr>
        <w:t xml:space="preserve">[40]  </w:t>
      </w:r>
      <w:r>
        <w:rPr>
          <w:rFonts w:ascii="Times New Roman" w:hAnsi="Times New Roman" w:eastAsia="Times New Roman"/>
          <w:b w:val="0"/>
          <w:i w:val="0"/>
          <w:sz w:val="20"/>
        </w:rPr>
        <w:t xml:space="preserve">S. Gupta and S. N. Shivhare, “Embedded TinyML for predictive maintenance: Vibration analysis on ESP32 with real-time fault detection in industrial equipment,” International Journal on Computational Modelling Applications, vol. 2, no. 2, pp. 1–17, 2025. </w:t>
      </w:r>
      <w:r>
        <w:rPr>
          <w:rFonts w:ascii="Times New Roman" w:hAnsi="Times New Roman" w:eastAsia="Times New Roman"/>
          <w:b w:val="0"/>
          <w:i w:val="0"/>
          <w:sz w:val="20"/>
        </w:rPr>
        <w:t xml:space="preserve">[Online]. Available: </w:t>
      </w:r>
      <w:hyperlink r:id="rId38">
        <w:r>
          <w:rPr>
            <w:rStyle w:val="Hyperlink"/>
            <w:color w:val="0563C1"/>
            <w:u w:val="single"/>
            <w:sz w:val="20"/>
            <w:rFonts w:ascii="Times New Roman" w:hAnsi="Times New Roman"/>
          </w:rPr>
          <w:t xml:space="preserve">https://doi.org/10.63503/j.ijcma.2025.114</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Named ESP32 TinyML vibration PdM study aligned with our edge feature path.</w:t>
      </w:r>
    </w:p>
    <w:p>
      <w:pPr>
        <w:spacing w:before="240" w:after="80"/>
      </w:pPr>
      <w:r>
        <w:rPr>
          <w:rFonts w:ascii="Times New Roman" w:hAnsi="Times New Roman" w:eastAsia="Times New Roman"/>
          <w:b/>
          <w:i w:val="0"/>
          <w:sz w:val="24"/>
        </w:rPr>
        <w:t>Amit Shrestha (MIT252463) — 10 References</w:t>
      </w:r>
    </w:p>
    <w:p>
      <w:r>
        <w:rPr>
          <w:rFonts w:ascii="Times New Roman" w:hAnsi="Times New Roman" w:eastAsia="Times New Roman"/>
          <w:b w:val="0"/>
          <w:i/>
          <w:sz w:val="20"/>
        </w:rPr>
        <w:t>Theme: Agentic AI, tool use, messaging, and runlinc platform</w:t>
      </w:r>
    </w:p>
    <w:p>
      <w:pPr>
        <w:spacing w:before="120" w:after="40"/>
      </w:pPr>
      <w:r>
        <w:rPr>
          <w:rFonts w:ascii="Times New Roman" w:hAnsi="Times New Roman" w:eastAsia="Times New Roman"/>
          <w:b/>
          <w:i w:val="0"/>
          <w:sz w:val="20"/>
        </w:rPr>
        <w:t xml:space="preserve">[11]  </w:t>
      </w:r>
      <w:r>
        <w:rPr>
          <w:rFonts w:ascii="Times New Roman" w:hAnsi="Times New Roman" w:eastAsia="Times New Roman"/>
          <w:b w:val="0"/>
          <w:i w:val="0"/>
          <w:sz w:val="20"/>
        </w:rPr>
        <w:t xml:space="preserve">S. Yao, J. Zhao, D. Yu, N. Du, I. Shafran, K. Narasimhan, and Y. Cao, “ReAct: Synergizing reasoning and acting in language models,” in Proc. 11th Int. Conf. Learning Representations (ICLR), Kigali, Rwanda, May 2023. </w:t>
      </w:r>
      <w:r>
        <w:rPr>
          <w:rFonts w:ascii="Times New Roman" w:hAnsi="Times New Roman" w:eastAsia="Times New Roman"/>
          <w:b w:val="0"/>
          <w:i w:val="0"/>
          <w:sz w:val="20"/>
        </w:rPr>
        <w:t xml:space="preserve">[Online]. Available: </w:t>
      </w:r>
      <w:hyperlink r:id="rId39">
        <w:r>
          <w:rPr>
            <w:rStyle w:val="Hyperlink"/>
            <w:color w:val="0563C1"/>
            <w:u w:val="single"/>
            <w:sz w:val="20"/>
            <w:rFonts w:ascii="Times New Roman" w:hAnsi="Times New Roman"/>
          </w:rPr>
          <w:t xml:space="preserve">https://arxiv.org/abs/2210.03629</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Core Thought→Action paradigm for runlinc AI Assistant agent layer (FR10).</w:t>
      </w:r>
    </w:p>
    <w:p>
      <w:pPr>
        <w:spacing w:before="120" w:after="40"/>
      </w:pPr>
      <w:r>
        <w:rPr>
          <w:rFonts w:ascii="Times New Roman" w:hAnsi="Times New Roman" w:eastAsia="Times New Roman"/>
          <w:b/>
          <w:i w:val="0"/>
          <w:sz w:val="20"/>
        </w:rPr>
        <w:t xml:space="preserve">[12]  </w:t>
      </w:r>
      <w:r>
        <w:rPr>
          <w:rFonts w:ascii="Times New Roman" w:hAnsi="Times New Roman" w:eastAsia="Times New Roman"/>
          <w:b w:val="0"/>
          <w:i w:val="0"/>
          <w:sz w:val="20"/>
        </w:rPr>
        <w:t xml:space="preserve">T. Schick, J. Dwivedi-Yu, R. Dessì, R. Raileanu, M. Lomeli, L. Zettlemoyer, N. Cancedda, and T. Scialom, “Toolformer: Language models can teach themselves to use tools,” in Proc. 37th Conf. Neural Information Processing Systems (NeurIPS), New Orleans, LA, USA, Dec. 2023. </w:t>
      </w:r>
      <w:r>
        <w:rPr>
          <w:rFonts w:ascii="Times New Roman" w:hAnsi="Times New Roman" w:eastAsia="Times New Roman"/>
          <w:b w:val="0"/>
          <w:i w:val="0"/>
          <w:sz w:val="20"/>
        </w:rPr>
        <w:t xml:space="preserve">[Online]. Available: </w:t>
      </w:r>
      <w:hyperlink r:id="rId40">
        <w:r>
          <w:rPr>
            <w:rStyle w:val="Hyperlink"/>
            <w:color w:val="0563C1"/>
            <w:u w:val="single"/>
            <w:sz w:val="20"/>
            <w:rFonts w:ascii="Times New Roman" w:hAnsi="Times New Roman"/>
          </w:rPr>
          <w:t xml:space="preserve">https://arxiv.org/abs/2302.04761</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Self-supervised tool learning; basis for simulated ERP/messaging tool calls (FR11).</w:t>
      </w:r>
    </w:p>
    <w:p>
      <w:pPr>
        <w:spacing w:before="120" w:after="40"/>
      </w:pPr>
      <w:r>
        <w:rPr>
          <w:rFonts w:ascii="Times New Roman" w:hAnsi="Times New Roman" w:eastAsia="Times New Roman"/>
          <w:b/>
          <w:i w:val="0"/>
          <w:sz w:val="20"/>
        </w:rPr>
        <w:t xml:space="preserve">[13]  </w:t>
      </w:r>
      <w:r>
        <w:rPr>
          <w:rFonts w:ascii="Times New Roman" w:hAnsi="Times New Roman" w:eastAsia="Times New Roman"/>
          <w:b w:val="0"/>
          <w:i w:val="0"/>
          <w:sz w:val="20"/>
        </w:rPr>
        <w:t xml:space="preserve">J. T. Rayfield, S. Lin, N. Zhou, and D. C. Patel, “ReAct meets industrial IoT: Language agents for data access,” in Proc. 2025 Conf. Empirical Methods in Natural Language Processing: Industry Track, Suzhou, China, Nov. 2025, pp. 364–382. </w:t>
      </w:r>
      <w:r>
        <w:rPr>
          <w:rFonts w:ascii="Times New Roman" w:hAnsi="Times New Roman" w:eastAsia="Times New Roman"/>
          <w:b w:val="0"/>
          <w:i w:val="0"/>
          <w:sz w:val="20"/>
        </w:rPr>
        <w:t xml:space="preserve">[Online]. Available: </w:t>
      </w:r>
      <w:hyperlink r:id="rId41">
        <w:r>
          <w:rPr>
            <w:rStyle w:val="Hyperlink"/>
            <w:color w:val="0563C1"/>
            <w:u w:val="single"/>
            <w:sz w:val="20"/>
            <w:rFonts w:ascii="Times New Roman" w:hAnsi="Times New Roman"/>
          </w:rPr>
          <w:t xml:space="preserve">https://doi.org/10.18653/v1/2025.emnlp-industry.24</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2024 industrial IoT agents; warns naive ReAct insufficient — motivates schema validation.</w:t>
      </w:r>
    </w:p>
    <w:p>
      <w:pPr>
        <w:spacing w:before="120" w:after="40"/>
      </w:pPr>
      <w:r>
        <w:rPr>
          <w:rFonts w:ascii="Times New Roman" w:hAnsi="Times New Roman" w:eastAsia="Times New Roman"/>
          <w:b/>
          <w:i w:val="0"/>
          <w:sz w:val="20"/>
        </w:rPr>
        <w:t xml:space="preserve">[14]  </w:t>
      </w:r>
      <w:r>
        <w:rPr>
          <w:rFonts w:ascii="Times New Roman" w:hAnsi="Times New Roman" w:eastAsia="Times New Roman"/>
          <w:b w:val="0"/>
          <w:i w:val="0"/>
          <w:sz w:val="20"/>
        </w:rPr>
        <w:t xml:space="preserve">N. Zhou, D. Patel, and A. Bhattacharyya, “Deployed AI agents for industrial asset management: CodeReAct framework for event analysis and work order automation,” in Proc. AAAI Conf. Artificial Intelligence, 2026. </w:t>
      </w:r>
      <w:r>
        <w:rPr>
          <w:rFonts w:ascii="Times New Roman" w:hAnsi="Times New Roman" w:eastAsia="Times New Roman"/>
          <w:b w:val="0"/>
          <w:i w:val="0"/>
          <w:sz w:val="20"/>
        </w:rPr>
        <w:t xml:space="preserve">[Online]. Available: </w:t>
      </w:r>
      <w:hyperlink r:id="rId42">
        <w:r>
          <w:rPr>
            <w:rStyle w:val="Hyperlink"/>
            <w:color w:val="0563C1"/>
            <w:u w:val="single"/>
            <w:sz w:val="20"/>
            <w:rFonts w:ascii="Times New Roman" w:hAnsi="Times New Roman"/>
          </w:rPr>
          <w:t xml:space="preserve">https://doi.org/10.1609/aaai.v40i47.41453</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Production agent deployment with reflection loops; strongest industry agent evidence.</w:t>
      </w:r>
    </w:p>
    <w:p>
      <w:pPr>
        <w:spacing w:before="120" w:after="40"/>
      </w:pPr>
      <w:r>
        <w:rPr>
          <w:rFonts w:ascii="Times New Roman" w:hAnsi="Times New Roman" w:eastAsia="Times New Roman"/>
          <w:b/>
          <w:i w:val="0"/>
          <w:sz w:val="20"/>
        </w:rPr>
        <w:t xml:space="preserve">[15]  </w:t>
      </w:r>
      <w:r>
        <w:rPr>
          <w:rFonts w:ascii="Times New Roman" w:hAnsi="Times New Roman" w:eastAsia="Times New Roman"/>
          <w:b w:val="0"/>
          <w:i w:val="0"/>
          <w:sz w:val="20"/>
        </w:rPr>
        <w:t xml:space="preserve">L. Huang, W. Yu, W. Ma, W. Zhong, Z. Feng, H. Wang, Q. Chen, W. Peng, X. Feng, B. Qin, et al., “A survey on hallucination in large language models: Principles, taxonomy, challenges, and open questions,” ACM Transactions on Information Systems, vol. 43, no. 2, pp. 1–55, 2025. </w:t>
      </w:r>
      <w:r>
        <w:rPr>
          <w:rFonts w:ascii="Times New Roman" w:hAnsi="Times New Roman" w:eastAsia="Times New Roman"/>
          <w:b w:val="0"/>
          <w:i w:val="0"/>
          <w:sz w:val="20"/>
        </w:rPr>
        <w:t xml:space="preserve">[Online]. Available: </w:t>
      </w:r>
      <w:hyperlink r:id="rId43">
        <w:r>
          <w:rPr>
            <w:rStyle w:val="Hyperlink"/>
            <w:color w:val="0563C1"/>
            <w:u w:val="single"/>
            <w:sz w:val="20"/>
            <w:rFonts w:ascii="Times New Roman" w:hAnsi="Times New Roman"/>
          </w:rPr>
          <w:t xml:space="preserve">https://doi.org/10.1145/3703155</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Hallucination taxonomy; justifies limiting agent autonomy and requiring Thought Log audit.</w:t>
      </w:r>
    </w:p>
    <w:p>
      <w:pPr>
        <w:spacing w:before="120" w:after="40"/>
      </w:pPr>
      <w:r>
        <w:rPr>
          <w:rFonts w:ascii="Times New Roman" w:hAnsi="Times New Roman" w:eastAsia="Times New Roman"/>
          <w:b/>
          <w:i w:val="0"/>
          <w:sz w:val="20"/>
        </w:rPr>
        <w:t xml:space="preserve">[21]  </w:t>
      </w:r>
      <w:r>
        <w:rPr>
          <w:rFonts w:ascii="Times New Roman" w:hAnsi="Times New Roman" w:eastAsia="Times New Roman"/>
          <w:b w:val="0"/>
          <w:i w:val="0"/>
          <w:sz w:val="20"/>
        </w:rPr>
        <w:t xml:space="preserve">M. Satyanarayanan, “The emergence of edge computing,” Computer, vol. 50, no. 1, pp. 30–39, Jan. 2017. </w:t>
      </w:r>
      <w:r>
        <w:rPr>
          <w:rFonts w:ascii="Times New Roman" w:hAnsi="Times New Roman" w:eastAsia="Times New Roman"/>
          <w:b w:val="0"/>
          <w:i w:val="0"/>
          <w:sz w:val="20"/>
        </w:rPr>
        <w:t xml:space="preserve">[Online]. Available: </w:t>
      </w:r>
      <w:hyperlink r:id="rId44">
        <w:r>
          <w:rPr>
            <w:rStyle w:val="Hyperlink"/>
            <w:color w:val="0563C1"/>
            <w:u w:val="single"/>
            <w:sz w:val="20"/>
            <w:rFonts w:ascii="Times New Roman" w:hAnsi="Times New Roman"/>
          </w:rPr>
          <w:t xml:space="preserve">https://doi.org/10.1109/MC.2017.9</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Edge-cloud split; supports keeping agent on laptop while reflex runs on E32W.</w:t>
      </w:r>
    </w:p>
    <w:p>
      <w:pPr>
        <w:spacing w:before="120" w:after="40"/>
      </w:pPr>
      <w:r>
        <w:rPr>
          <w:rFonts w:ascii="Times New Roman" w:hAnsi="Times New Roman" w:eastAsia="Times New Roman"/>
          <w:b/>
          <w:i w:val="0"/>
          <w:sz w:val="20"/>
        </w:rPr>
        <w:t xml:space="preserve">[22]  </w:t>
      </w:r>
      <w:r>
        <w:rPr>
          <w:rFonts w:ascii="Times New Roman" w:hAnsi="Times New Roman" w:eastAsia="Times New Roman"/>
          <w:b w:val="0"/>
          <w:i w:val="0"/>
          <w:sz w:val="20"/>
        </w:rPr>
        <w:t xml:space="preserve">N. Naik, “Choice of effective messaging protocols for IoT systems: MQTT, CoAP, AMQP and HTTP,” in Proc. IEEE Int. Systems Engineering Symposium (ISSE), Vienna, Austria, Oct. 2017, pp. 1–7. </w:t>
      </w:r>
      <w:r>
        <w:rPr>
          <w:rFonts w:ascii="Times New Roman" w:hAnsi="Times New Roman" w:eastAsia="Times New Roman"/>
          <w:b w:val="0"/>
          <w:i w:val="0"/>
          <w:sz w:val="20"/>
        </w:rPr>
        <w:t xml:space="preserve">[Online]. Available: </w:t>
      </w:r>
      <w:hyperlink r:id="rId45">
        <w:r>
          <w:rPr>
            <w:rStyle w:val="Hyperlink"/>
            <w:color w:val="0563C1"/>
            <w:u w:val="single"/>
            <w:sz w:val="20"/>
            <w:rFonts w:ascii="Times New Roman" w:hAnsi="Times New Roman"/>
          </w:rPr>
          <w:t xml:space="preserve">https://doi.org/10.1109/SysEng.2017.8088251</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MQTT selected for low-overhead feature-vector transport (FR5).</w:t>
      </w:r>
    </w:p>
    <w:p>
      <w:pPr>
        <w:spacing w:before="120" w:after="40"/>
      </w:pPr>
      <w:r>
        <w:rPr>
          <w:rFonts w:ascii="Times New Roman" w:hAnsi="Times New Roman" w:eastAsia="Times New Roman"/>
          <w:b/>
          <w:i w:val="0"/>
          <w:sz w:val="20"/>
        </w:rPr>
        <w:t xml:space="preserve">[24]  </w:t>
      </w:r>
      <w:r>
        <w:rPr>
          <w:rFonts w:ascii="Times New Roman" w:hAnsi="Times New Roman" w:eastAsia="Times New Roman"/>
          <w:b w:val="0"/>
          <w:i w:val="0"/>
          <w:sz w:val="20"/>
        </w:rPr>
        <w:t xml:space="preserve">J. Wei, X. Wang, D. Schuurmans, M. Bosma, B. Ichter, F. Xia, E. Chi, Q. Le, and D. Zhou, “Chain-of-thought prompting elicits reasoning in large language models,” in Proc. 36th Conf. Neural Information Processing Systems (NeurIPS), New Orleans, LA, USA, Dec. 2022. </w:t>
      </w:r>
      <w:r>
        <w:rPr>
          <w:rFonts w:ascii="Times New Roman" w:hAnsi="Times New Roman" w:eastAsia="Times New Roman"/>
          <w:b w:val="0"/>
          <w:i w:val="0"/>
          <w:sz w:val="20"/>
        </w:rPr>
        <w:t xml:space="preserve">[Online]. Available: </w:t>
      </w:r>
      <w:hyperlink r:id="rId46">
        <w:r>
          <w:rPr>
            <w:rStyle w:val="Hyperlink"/>
            <w:color w:val="0563C1"/>
            <w:u w:val="single"/>
            <w:sz w:val="20"/>
            <w:rFonts w:ascii="Times New Roman" w:hAnsi="Times New Roman"/>
          </w:rPr>
          <w:t xml:space="preserve">https://arxiv.org/abs/2201.11903</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Structured reasoning chains; improves agent assessment consistency (NFR5).</w:t>
      </w:r>
    </w:p>
    <w:p>
      <w:pPr>
        <w:spacing w:before="120" w:after="40"/>
      </w:pPr>
      <w:r>
        <w:rPr>
          <w:rFonts w:ascii="Times New Roman" w:hAnsi="Times New Roman" w:eastAsia="Times New Roman"/>
          <w:b/>
          <w:i w:val="0"/>
          <w:sz w:val="20"/>
        </w:rPr>
        <w:t xml:space="preserve">[25]  </w:t>
      </w:r>
      <w:r>
        <w:rPr>
          <w:rFonts w:ascii="Times New Roman" w:hAnsi="Times New Roman" w:eastAsia="Times New Roman"/>
          <w:b w:val="0"/>
          <w:i w:val="0"/>
          <w:sz w:val="20"/>
        </w:rPr>
        <w:t xml:space="preserve">P. Lewis et al., “Retrieval-augmented generation for knowledge-intensive NLP tasks,” in Proc. NeurIPS, 2020. and arXiv:2005.11401. </w:t>
      </w:r>
      <w:r>
        <w:rPr>
          <w:rFonts w:ascii="Times New Roman" w:hAnsi="Times New Roman" w:eastAsia="Times New Roman"/>
          <w:b w:val="0"/>
          <w:i w:val="0"/>
          <w:sz w:val="20"/>
        </w:rPr>
        <w:t xml:space="preserve">[Online]. Available: </w:t>
      </w:r>
      <w:hyperlink r:id="rId47">
        <w:r>
          <w:rPr>
            <w:rStyle w:val="Hyperlink"/>
            <w:color w:val="0563C1"/>
            <w:u w:val="single"/>
            <w:sz w:val="20"/>
            <w:rFonts w:ascii="Times New Roman" w:hAnsi="Times New Roman"/>
          </w:rPr>
          <w:t xml:space="preserve">https://doi.org/10.48550/arXiv.2005.11401</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RAG grounding pattern relevant to auditable agent answers in Thought Log.</w:t>
      </w:r>
    </w:p>
    <w:p>
      <w:pPr>
        <w:spacing w:before="120" w:after="40"/>
      </w:pPr>
      <w:r>
        <w:rPr>
          <w:rFonts w:ascii="Times New Roman" w:hAnsi="Times New Roman" w:eastAsia="Times New Roman"/>
          <w:b/>
          <w:i w:val="0"/>
          <w:sz w:val="20"/>
        </w:rPr>
        <w:t xml:space="preserve">[33]  </w:t>
      </w:r>
      <w:r>
        <w:rPr>
          <w:rFonts w:ascii="Times New Roman" w:hAnsi="Times New Roman" w:eastAsia="Times New Roman"/>
          <w:b w:val="0"/>
          <w:i w:val="0"/>
          <w:sz w:val="20"/>
        </w:rPr>
        <w:t xml:space="preserve">eLabtronics, “runlinc: Rapid development platform for IoT, AI and STEM inventions.” Accessed: Aug. 15, 2026. </w:t>
      </w:r>
      <w:r>
        <w:rPr>
          <w:rFonts w:ascii="Times New Roman" w:hAnsi="Times New Roman" w:eastAsia="Times New Roman"/>
          <w:b w:val="0"/>
          <w:i w:val="0"/>
          <w:sz w:val="20"/>
        </w:rPr>
        <w:t xml:space="preserve">[Online]. Available: </w:t>
      </w:r>
      <w:hyperlink r:id="rId48">
        <w:r>
          <w:rPr>
            <w:rStyle w:val="Hyperlink"/>
            <w:color w:val="0563C1"/>
            <w:u w:val="single"/>
            <w:sz w:val="20"/>
            <w:rFonts w:ascii="Times New Roman" w:hAnsi="Times New Roman"/>
          </w:rPr>
          <w:t xml:space="preserve">https://runlinc.com</w:t>
        </w:r>
      </w:hyperlink>
    </w:p>
    <w:p>
      <w:pPr>
        <w:spacing w:after="120"/>
        <w:ind w:left="360"/>
      </w:pPr>
      <w:r>
        <w:rPr>
          <w:rFonts w:ascii="Times New Roman" w:hAnsi="Times New Roman" w:eastAsia="Times New Roman"/>
          <w:b/>
          <w:i w:val="0"/>
          <w:sz w:val="20"/>
        </w:rPr>
        <w:t xml:space="preserve">Annotation: </w:t>
      </w:r>
      <w:r>
        <w:rPr>
          <w:rFonts w:ascii="Times New Roman" w:hAnsi="Times New Roman" w:eastAsia="Times New Roman"/>
          <w:b w:val="0"/>
          <w:i/>
          <w:sz w:val="20"/>
        </w:rPr>
        <w:t>Client platform documentation; ESP32, MicroPython, AI Assistant API specifications.</w:t>
      </w:r>
    </w:p>
    <w:p>
      <w:pPr>
        <w:spacing w:before="240"/>
      </w:pPr>
      <w:r>
        <w:rPr>
          <w:rFonts w:ascii="Times New Roman" w:hAnsi="Times New Roman" w:eastAsia="Times New Roman"/>
          <w:b w:val="0"/>
          <w:i w:val="0"/>
          <w:sz w:val="20"/>
        </w:rPr>
        <w:t>Note: This appendix is submitted with the group report. In-text citations in the group report use the same [1]–[40] numbering. Click each Available URL (or DOI) to open the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cie.2020.106889" TargetMode="External"/><Relationship Id="rId10" Type="http://schemas.openxmlformats.org/officeDocument/2006/relationships/hyperlink" Target="https://doi.org/10.3390/s21238020" TargetMode="External"/><Relationship Id="rId11" Type="http://schemas.openxmlformats.org/officeDocument/2006/relationships/hyperlink" Target="https://doi.org/10.1109/AI4I49448.2020.00023" TargetMode="External"/><Relationship Id="rId12" Type="http://schemas.openxmlformats.org/officeDocument/2006/relationships/hyperlink" Target="https://doi.org/10.1007/s10462-022-10260-y" TargetMode="External"/><Relationship Id="rId13" Type="http://schemas.openxmlformats.org/officeDocument/2006/relationships/hyperlink" Target="https://doi.org/10.1016/j.infsof.2022.107008" TargetMode="External"/><Relationship Id="rId14" Type="http://schemas.openxmlformats.org/officeDocument/2006/relationships/hyperlink" Target="https://doi.org/10.1109/COMST.2015.2444095" TargetMode="External"/><Relationship Id="rId15" Type="http://schemas.openxmlformats.org/officeDocument/2006/relationships/hyperlink" Target="https://doi.org/10.1145/3290605.3300233" TargetMode="External"/><Relationship Id="rId16" Type="http://schemas.openxmlformats.org/officeDocument/2006/relationships/hyperlink" Target="https://doi.org/10.1007/s00170-026-17531-w" TargetMode="External"/><Relationship Id="rId17" Type="http://schemas.openxmlformats.org/officeDocument/2006/relationships/hyperlink" Target="https://doi.org/10.3390/app152111414" TargetMode="External"/><Relationship Id="rId18" Type="http://schemas.openxmlformats.org/officeDocument/2006/relationships/hyperlink" Target="https://doi.org/10.1109/ACCESS.2024.3367110" TargetMode="External"/><Relationship Id="rId19" Type="http://schemas.openxmlformats.org/officeDocument/2006/relationships/hyperlink" Target="https://doi.org/10.3390/s25216610" TargetMode="External"/><Relationship Id="rId20" Type="http://schemas.openxmlformats.org/officeDocument/2006/relationships/hyperlink" Target="https://doi.org/10.3390/electronics14142913" TargetMode="External"/><Relationship Id="rId21" Type="http://schemas.openxmlformats.org/officeDocument/2006/relationships/hyperlink" Target="https://doi.org/10.1109/MetroXRAINE66377.2025.11340048" TargetMode="External"/><Relationship Id="rId22" Type="http://schemas.openxmlformats.org/officeDocument/2006/relationships/hyperlink" Target="https://arxiv.org/abs/2106.07597" TargetMode="External"/><Relationship Id="rId23" Type="http://schemas.openxmlformats.org/officeDocument/2006/relationships/hyperlink" Target="https://doi.org/10.1109/JIOT.2016.2579198" TargetMode="External"/><Relationship Id="rId24" Type="http://schemas.openxmlformats.org/officeDocument/2006/relationships/hyperlink" Target="https://doi.org/10.1002/9781119479819" TargetMode="External"/><Relationship Id="rId25" Type="http://schemas.openxmlformats.org/officeDocument/2006/relationships/hyperlink" Target="https://www.iso.org/standard/50527.html" TargetMode="External"/><Relationship Id="rId26" Type="http://schemas.openxmlformats.org/officeDocument/2006/relationships/hyperlink" Target="https://www.oreilly.com/library/view/tinyml/9781492052036/" TargetMode="External"/><Relationship Id="rId27" Type="http://schemas.openxmlformats.org/officeDocument/2006/relationships/hyperlink" Target="https://www.espressif.com/en/support/documents/technical-documents" TargetMode="External"/><Relationship Id="rId28" Type="http://schemas.openxmlformats.org/officeDocument/2006/relationships/hyperlink" Target="https://docs.micropython.org/en/latest/esp32/quickref.html" TargetMode="External"/><Relationship Id="rId29" Type="http://schemas.openxmlformats.org/officeDocument/2006/relationships/hyperlink" Target="https://doi.org/10.3390/s24113454" TargetMode="External"/><Relationship Id="rId30" Type="http://schemas.openxmlformats.org/officeDocument/2006/relationships/hyperlink" Target="https://doi.org/10.1109/PHM.2008.4711414" TargetMode="External"/><Relationship Id="rId31" Type="http://schemas.openxmlformats.org/officeDocument/2006/relationships/hyperlink" Target="https://doi.org/10.1109/ICPHM.2017.7998311" TargetMode="External"/><Relationship Id="rId32" Type="http://schemas.openxmlformats.org/officeDocument/2006/relationships/hyperlink" Target="https://doi.org/10.1109/TR.2018.2882682" TargetMode="External"/><Relationship Id="rId33" Type="http://schemas.openxmlformats.org/officeDocument/2006/relationships/hyperlink" Target="https://doi.org/10.1016/j.ymssp.2015.04.021" TargetMode="External"/><Relationship Id="rId34" Type="http://schemas.openxmlformats.org/officeDocument/2006/relationships/hyperlink" Target="https://doi.org/10.48550/arXiv.1705.07874" TargetMode="External"/><Relationship Id="rId35" Type="http://schemas.openxmlformats.org/officeDocument/2006/relationships/hyperlink" Target="https://doi.org/10.1007/s11432-024-4222-0" TargetMode="External"/><Relationship Id="rId36" Type="http://schemas.openxmlformats.org/officeDocument/2006/relationships/hyperlink" Target="https://doi.org/10.1007/s11704-024-40231-1" TargetMode="External"/><Relationship Id="rId37" Type="http://schemas.openxmlformats.org/officeDocument/2006/relationships/hyperlink" Target="https://doi.org/10.1109/GlobConET56651.2023.10150033" TargetMode="External"/><Relationship Id="rId38" Type="http://schemas.openxmlformats.org/officeDocument/2006/relationships/hyperlink" Target="https://doi.org/10.63503/j.ijcma.2025.114" TargetMode="External"/><Relationship Id="rId39" Type="http://schemas.openxmlformats.org/officeDocument/2006/relationships/hyperlink" Target="https://arxiv.org/abs/2210.03629" TargetMode="External"/><Relationship Id="rId40" Type="http://schemas.openxmlformats.org/officeDocument/2006/relationships/hyperlink" Target="https://arxiv.org/abs/2302.04761" TargetMode="External"/><Relationship Id="rId41" Type="http://schemas.openxmlformats.org/officeDocument/2006/relationships/hyperlink" Target="https://doi.org/10.18653/v1/2025.emnlp-industry.24" TargetMode="External"/><Relationship Id="rId42" Type="http://schemas.openxmlformats.org/officeDocument/2006/relationships/hyperlink" Target="https://doi.org/10.1609/aaai.v40i47.41453" TargetMode="External"/><Relationship Id="rId43" Type="http://schemas.openxmlformats.org/officeDocument/2006/relationships/hyperlink" Target="https://doi.org/10.1145/3703155" TargetMode="External"/><Relationship Id="rId44" Type="http://schemas.openxmlformats.org/officeDocument/2006/relationships/hyperlink" Target="https://doi.org/10.1109/MC.2017.9" TargetMode="External"/><Relationship Id="rId45" Type="http://schemas.openxmlformats.org/officeDocument/2006/relationships/hyperlink" Target="https://doi.org/10.1109/SysEng.2017.8088251" TargetMode="External"/><Relationship Id="rId46" Type="http://schemas.openxmlformats.org/officeDocument/2006/relationships/hyperlink" Target="https://arxiv.org/abs/2201.11903" TargetMode="External"/><Relationship Id="rId47" Type="http://schemas.openxmlformats.org/officeDocument/2006/relationships/hyperlink" Target="https://doi.org/10.48550/arXiv.2005.11401" TargetMode="External"/><Relationship Id="rId48" Type="http://schemas.openxmlformats.org/officeDocument/2006/relationships/hyperlink" Target="https://runlin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