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Melbourne Institute of Technology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School of Information Technology and Engineering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MDA691 — Project Management and Research Methods</w:t>
      </w:r>
    </w:p>
    <w:p>
      <w:pPr>
        <w:spacing w:after="4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Trimester 2, 2026  ·  Assignment 2 — Individual Report (Weeks 5–8)</w:t>
      </w:r>
    </w:p>
    <w:p>
      <w:pPr>
        <w:spacing w:after="200" w:before="0" w:line="276" w:lineRule="auto"/>
        <w:jc w:val="center"/>
      </w:pPr>
      <w:r>
        <w:rPr>
          <w:rFonts w:ascii="Times New Roman" w:hAnsi="Times New Roman" w:eastAsia="Times New Roman"/>
          <w:b w:val="0"/>
          <w:i w:val="0"/>
          <w:sz w:val="22"/>
        </w:rPr>
        <w:t>Real-Time Data with Agentic AI for Industrial Predictive Maintenance (PdM)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 name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Asmita Pandey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Student ID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MIT250081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Primary role (Weeks 5–8)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Requirements and quality lead; client evidence, risks, traceability, literature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Industry client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eLabtronics / runlinc — Miroslav Kostecki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Group report sections owned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§4 requirements; §9 risks; traceability; Appendix I/III; WBS 4</w:t>
            </w:r>
          </w:p>
        </w:tc>
      </w:tr>
    </w:tbl>
    <w:p>
      <w:pPr>
        <w:spacing w:after="12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1. Participation and contribution (Weeks 5–8)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During Weeks 5–8 the group converted the Assignment 1b concept into an Assignment 2 project plan and intermediate design. My theme was requirements quality, client engagement evidence, risk management, and critical literature synthesis. I was accountable for refined FR/NFR tables, the lab-versus-factory scope statement, traceability matrix, risk register, client meeting documentation, Appendix I client details, Appendix III response to Assignment 1 feedback, and coordination of literature quality (WBS Package 4).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Reworked requirements so team E32W / 37-in-1 lab data is in scope and client factory/plant telemetry is out of scope.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Built the client engagement evidence table (meetings 10, 17, 24 August 2026) with outcomes and artefacts.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Aligned four RQs to measurable objectives and success criteria after Assignment 1b feedback on RQ4.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Maintained the risk register (R1–R6) with owners and mitigations used in §9.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Prepared Appendix III itemised responses mapping marker feedback to Assignment 2 sections.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Contributed ten annotated Appendix II sources on PdM surveys, XAI/trust, and Industry 4.0 context.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Attended client meetings 10, 17 and 24 August 2026 and 7 September; recorded scope and documentation guidance.</w:t>
      </w:r>
    </w:p>
    <w:p>
      <w:pPr>
        <w:pStyle w:val="ListBullet"/>
        <w:spacing w:after="60" w:line="276" w:lineRule="auto"/>
      </w:pPr>
      <w:r>
        <w:rPr>
          <w:rFonts w:ascii="Times New Roman" w:hAnsi="Times New Roman" w:eastAsia="Times New Roman"/>
          <w:b w:val="0"/>
          <w:i w:val="0"/>
          <w:sz w:val="22"/>
        </w:rPr>
        <w:t>Reviewed agent authority / HITL wording with Amit so safety claims stay consistent with the dual-path design.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Checked that FR/NFR tables, RQs, and objectives remain consistent across §§2, 4 and 7 before report freeze.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i w:val="0"/>
          <w:sz w:val="22"/>
        </w:rPr>
        <w:t>Supported Appendix I client confirmation fields (hardware supplied, data scope, contact) for submission completeness.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2. Attendance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Week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Tutorial / supervision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Client / extra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Client meeting 17/08/2026 (runlinc hotspot setup)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Client meeting 24/08/2026 (hardware; Projects 14/15)</w:t>
            </w:r>
          </w:p>
        </w:tc>
      </w:tr>
      <w:tr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Present</w:t>
            </w:r>
          </w:p>
        </w:tc>
        <w:tc>
          <w:tcPr>
            <w:tcW w:type="dxa" w:w="312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Supervisor feedback; A2 report preparation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3. Self-evaluation</w:t>
      </w:r>
    </w:p>
    <w:p>
      <w:pPr>
        <w:spacing w:after="120" w:before="0" w:line="276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I met my Week 5–8 responsibilities by turning supervisor feedback into checklist actions: clearer RQs, measurable objectives, client evidence, and a critical literature gap statement. That improved submission quality beyond a generic Industry 4.0 write-up. I could tighten weekly minutes templates earlier so evidence capture is automatic. After the 7 September meeting I also captured documentation and presentation guidance so the group report and Appendix II stay aligned for Moodle upload. Overall I contributed consistently to requirements, risks, client documentation, literature, and report coherence.</w:t>
      </w:r>
    </w:p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4. Reflective journal (DEEP)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Stage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Reflection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Describe</w:t>
              <w:br/>
              <w:t>How effectively did you work in the group and what was your role?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 worked as Requirements and quality lead. I coordinated evidence across members without taking over their technical WBS packages, and I checked that architecture, RQs, objectives, and risks told one consistent project story.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Explore</w:t>
              <w:br/>
              <w:t>List at least 2 valuable contributions and why they mattered.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(1) Client meeting evidence + lab-data scope clarification — directly answered Assignment 1b feedback and prevented factory-data misunderstandings. (2) RQ–objective mapping and Appendix III feedback matrix — made Assignment 2 improvements auditable for markers.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Evaluate</w:t>
              <w:br/>
              <w:t>How do you justify your key contributions?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MDA691 marks planning quality and response to feedback. Without documented meetings, measurable objectives, and risk owners, a strong technical idea still loses marks. My contributions protect that planning layer.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Plan</w:t>
              <w:br/>
              <w:t>What did you learn and how will you improve next?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 learned to treat feedback tables as living project controls. Next I will keep requirements/traceability updated as edge and RUL interfaces freeze, and prepare evaluation checklists for Weeks 12–16 scenario testing.</w:t>
            </w:r>
          </w:p>
        </w:tc>
      </w:tr>
    </w:tbl>
    <w:p>
      <w:pPr>
        <w:spacing w:after="120" w:before="240" w:line="276" w:lineRule="auto"/>
        <w:jc w:val="left"/>
      </w:pPr>
      <w:r>
        <w:rPr>
          <w:rFonts w:ascii="Times New Roman" w:hAnsi="Times New Roman" w:eastAsia="Times New Roman"/>
          <w:b/>
          <w:i w:val="0"/>
          <w:sz w:val="24"/>
        </w:rPr>
        <w:t>5. Peer evaluation</w:t>
      </w:r>
    </w:p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0"/>
        </w:rPr>
        <w:t>Scale: 1 = poor, 5 = excellent. Rate other members only.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Criteria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Amit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Subala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Pavan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Attends group meetings regularly and arrives on time.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Contributes meaningfully to group discussions.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Completes group assignments on time.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Prepares work in a quality manner.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Demonstrates a cooperative and supportive attitude.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Contributes significantly to the success of the project.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</w:tr>
      <w:tr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Short feedback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Strong agent design and report integration; architecture Figure 1 improved clarity.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Dependable hardware leadership; clear GPIO/reflex planning and lab evidence.</w:t>
            </w:r>
          </w:p>
        </w:tc>
        <w:tc>
          <w:tcPr>
            <w:tcW w:type="dxa" w:w="234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 analytics/schedule control; Gantt and RUL workflow support the plan.</w:t>
            </w:r>
          </w:p>
        </w:tc>
      </w:tr>
    </w:tbl>
    <w:p>
      <w:pPr>
        <w:spacing w:after="8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Signature: Asmita Pandey</w:t>
      </w:r>
    </w:p>
    <w:p>
      <w:pPr>
        <w:spacing w:after="40" w:before="0" w:line="276" w:lineRule="auto"/>
        <w:jc w:val="left"/>
      </w:pPr>
      <w:r>
        <w:rPr>
          <w:rFonts w:ascii="Times New Roman" w:hAnsi="Times New Roman" w:eastAsia="Times New Roman"/>
          <w:b w:val="0"/>
          <w:i w:val="0"/>
          <w:sz w:val="22"/>
        </w:rPr>
        <w:t>Date: 13 September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