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val="0"/>
          <w:i w:val="0"/>
          <w:sz w:val="22"/>
        </w:rPr>
        <w:t>Melbourne Institute of Technology</w:t>
      </w:r>
    </w:p>
    <w:p>
      <w:pPr>
        <w:spacing w:after="40" w:before="0" w:line="276" w:lineRule="auto"/>
        <w:jc w:val="center"/>
      </w:pPr>
      <w:r>
        <w:rPr>
          <w:rFonts w:ascii="Times New Roman" w:hAnsi="Times New Roman" w:eastAsia="Times New Roman"/>
          <w:b w:val="0"/>
          <w:i w:val="0"/>
          <w:sz w:val="22"/>
        </w:rPr>
        <w:t>School of Information Technology and Engineering</w:t>
      </w:r>
    </w:p>
    <w:p>
      <w:pPr>
        <w:spacing w:after="40" w:before="0" w:line="276" w:lineRule="auto"/>
        <w:jc w:val="center"/>
      </w:pPr>
      <w:r>
        <w:rPr>
          <w:rFonts w:ascii="Times New Roman" w:hAnsi="Times New Roman" w:eastAsia="Times New Roman"/>
          <w:b w:val="0"/>
          <w:i w:val="0"/>
          <w:sz w:val="22"/>
        </w:rPr>
        <w:t>MDA691 — Project Management and Research Methods</w:t>
      </w:r>
    </w:p>
    <w:p>
      <w:pPr>
        <w:spacing w:after="40" w:before="0" w:line="276" w:lineRule="auto"/>
        <w:jc w:val="center"/>
      </w:pPr>
      <w:r>
        <w:rPr>
          <w:rFonts w:ascii="Times New Roman" w:hAnsi="Times New Roman" w:eastAsia="Times New Roman"/>
          <w:b w:val="0"/>
          <w:i w:val="0"/>
          <w:sz w:val="22"/>
        </w:rPr>
        <w:t>Trimester 2, 2026  ·  Assignment 2 — Individual Report (Weeks 5–8)</w:t>
      </w:r>
    </w:p>
    <w:p>
      <w:pPr>
        <w:spacing w:after="200" w:before="0" w:line="276" w:lineRule="auto"/>
        <w:jc w:val="center"/>
      </w:pPr>
      <w:r>
        <w:rPr>
          <w:rFonts w:ascii="Times New Roman" w:hAnsi="Times New Roman" w:eastAsia="Times New Roman"/>
          <w:b w:val="0"/>
          <w:i w:val="0"/>
          <w:sz w:val="22"/>
        </w:rPr>
        <w:t>Real-Time Data with Agentic AI for Industrial Predictive Maintenance (PdM)</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20"/>
              </w:rPr>
              <w:t>Student name</w:t>
            </w:r>
          </w:p>
        </w:tc>
        <w:tc>
          <w:tcPr>
            <w:tcW w:type="dxa" w:w="4680"/>
          </w:tcPr>
          <w:p>
            <w:r>
              <w:rPr>
                <w:rFonts w:ascii="Times New Roman" w:hAnsi="Times New Roman" w:eastAsia="Times New Roman"/>
                <w:b w:val="0"/>
                <w:i w:val="0"/>
                <w:sz w:val="18"/>
              </w:rPr>
              <w:t>Subala Shrestha</w:t>
            </w:r>
          </w:p>
        </w:tc>
      </w:tr>
      <w:tr>
        <w:tc>
          <w:tcPr>
            <w:tcW w:type="dxa" w:w="4680"/>
          </w:tcPr>
          <w:p>
            <w:r>
              <w:rPr>
                <w:rFonts w:ascii="Times New Roman" w:hAnsi="Times New Roman" w:eastAsia="Times New Roman"/>
                <w:b/>
                <w:i w:val="0"/>
                <w:sz w:val="20"/>
              </w:rPr>
              <w:t>Student ID</w:t>
            </w:r>
          </w:p>
        </w:tc>
        <w:tc>
          <w:tcPr>
            <w:tcW w:type="dxa" w:w="4680"/>
          </w:tcPr>
          <w:p>
            <w:r>
              <w:rPr>
                <w:rFonts w:ascii="Times New Roman" w:hAnsi="Times New Roman" w:eastAsia="Times New Roman"/>
                <w:b w:val="0"/>
                <w:i w:val="0"/>
                <w:sz w:val="18"/>
              </w:rPr>
              <w:t>MIT252219</w:t>
            </w:r>
          </w:p>
        </w:tc>
      </w:tr>
      <w:tr>
        <w:tc>
          <w:tcPr>
            <w:tcW w:type="dxa" w:w="4680"/>
          </w:tcPr>
          <w:p>
            <w:r>
              <w:rPr>
                <w:rFonts w:ascii="Times New Roman" w:hAnsi="Times New Roman" w:eastAsia="Times New Roman"/>
                <w:b/>
                <w:i w:val="0"/>
                <w:sz w:val="20"/>
              </w:rPr>
              <w:t>Primary role (Weeks 5–8)</w:t>
            </w:r>
          </w:p>
        </w:tc>
        <w:tc>
          <w:tcPr>
            <w:tcW w:type="dxa" w:w="4680"/>
          </w:tcPr>
          <w:p>
            <w:r>
              <w:rPr>
                <w:rFonts w:ascii="Times New Roman" w:hAnsi="Times New Roman" w:eastAsia="Times New Roman"/>
                <w:b w:val="0"/>
                <w:i w:val="0"/>
                <w:sz w:val="18"/>
              </w:rPr>
              <w:t>Edge and hardware lead; E32W sensing, ISO reflex, MQTT edge publish</w:t>
            </w:r>
          </w:p>
        </w:tc>
      </w:tr>
      <w:tr>
        <w:tc>
          <w:tcPr>
            <w:tcW w:type="dxa" w:w="4680"/>
          </w:tcPr>
          <w:p>
            <w:r>
              <w:rPr>
                <w:rFonts w:ascii="Times New Roman" w:hAnsi="Times New Roman" w:eastAsia="Times New Roman"/>
                <w:b/>
                <w:i w:val="0"/>
                <w:sz w:val="20"/>
              </w:rPr>
              <w:t>Industry client</w:t>
            </w:r>
          </w:p>
        </w:tc>
        <w:tc>
          <w:tcPr>
            <w:tcW w:type="dxa" w:w="4680"/>
          </w:tcPr>
          <w:p>
            <w:r>
              <w:rPr>
                <w:rFonts w:ascii="Times New Roman" w:hAnsi="Times New Roman" w:eastAsia="Times New Roman"/>
                <w:b w:val="0"/>
                <w:i w:val="0"/>
                <w:sz w:val="18"/>
              </w:rPr>
              <w:t>eLabtronics / runlinc — Miroslav Kostecki</w:t>
            </w:r>
          </w:p>
        </w:tc>
      </w:tr>
      <w:tr>
        <w:tc>
          <w:tcPr>
            <w:tcW w:type="dxa" w:w="4680"/>
          </w:tcPr>
          <w:p>
            <w:r>
              <w:rPr>
                <w:rFonts w:ascii="Times New Roman" w:hAnsi="Times New Roman" w:eastAsia="Times New Roman"/>
                <w:b/>
                <w:i w:val="0"/>
                <w:sz w:val="20"/>
              </w:rPr>
              <w:t>Group report sections owned</w:t>
            </w:r>
          </w:p>
        </w:tc>
        <w:tc>
          <w:tcPr>
            <w:tcW w:type="dxa" w:w="4680"/>
          </w:tcPr>
          <w:p>
            <w:r>
              <w:rPr>
                <w:rFonts w:ascii="Times New Roman" w:hAnsi="Times New Roman" w:eastAsia="Times New Roman"/>
                <w:b w:val="0"/>
                <w:i w:val="0"/>
                <w:sz w:val="18"/>
              </w:rPr>
              <w:t>§7.2 edge/reflex design; Figures 2, 6–8 support; WBS 2; risks R2/R4</w:t>
            </w:r>
          </w:p>
        </w:tc>
      </w:tr>
    </w:tbl>
    <w:p>
      <w:pPr>
        <w:spacing w:after="120" w:before="0" w:line="276" w:lineRule="auto"/>
        <w:jc w:val="left"/>
      </w:pPr>
      <w:r>
        <w:rPr>
          <w:rFonts w:ascii="Times New Roman" w:hAnsi="Times New Roman" w:eastAsia="Times New Roman"/>
          <w:b w:val="0"/>
          <w:i w:val="0"/>
          <w:sz w:val="22"/>
        </w:rPr>
      </w:r>
    </w:p>
    <w:p>
      <w:pPr>
        <w:spacing w:after="120" w:before="240" w:line="276" w:lineRule="auto"/>
        <w:jc w:val="left"/>
      </w:pPr>
      <w:r>
        <w:rPr>
          <w:rFonts w:ascii="Times New Roman" w:hAnsi="Times New Roman" w:eastAsia="Times New Roman"/>
          <w:b/>
          <w:i w:val="0"/>
          <w:sz w:val="24"/>
        </w:rPr>
        <w:t>1. Participation and contribution (Weeks 5–8)</w:t>
      </w:r>
    </w:p>
    <w:p>
      <w:pPr>
        <w:spacing w:after="120" w:before="0" w:line="276" w:lineRule="auto"/>
        <w:jc w:val="both"/>
      </w:pPr>
      <w:r>
        <w:rPr>
          <w:rFonts w:ascii="Times New Roman" w:hAnsi="Times New Roman" w:eastAsia="Times New Roman"/>
          <w:b w:val="0"/>
          <w:i w:val="0"/>
          <w:sz w:val="22"/>
        </w:rPr>
        <w:t>During Weeks 5–8 the group converted the Assignment 1b concept into an Assignment 2 project plan and intermediate design for eLabtronics/runlinc on STEMSEL E32W hardware with the 37-in-1 sensor kit. My theme was edge sensing, vibration/temperature features, and the offline ISO 10816-3 reflex path. I was accountable for E32W lab setup, sensor wiring plans (Shock KY-002 GPIO 23, TEMP 18B20 GPIO 33, buzzer GPIO 34), RMS/peak/crest/FFT design, local alarm behaviour, MQTT edge publish planning, and hardware timing targets (WBS Package 2).</w:t>
      </w:r>
    </w:p>
    <w:p>
      <w:pPr>
        <w:pStyle w:val="ListBullet"/>
        <w:spacing w:after="60" w:line="276" w:lineRule="auto"/>
      </w:pPr>
      <w:r>
        <w:rPr>
          <w:rFonts w:ascii="Times New Roman" w:hAnsi="Times New Roman" w:eastAsia="Times New Roman"/>
          <w:b w:val="0"/>
          <w:i w:val="0"/>
          <w:sz w:val="22"/>
        </w:rPr>
        <w:t>Owned the edge sensing plan for Shock (KY-002), TEMP 18B20, and buzzer using kit names and GPIO mapping.</w:t>
      </w:r>
    </w:p>
    <w:p>
      <w:pPr>
        <w:pStyle w:val="ListBullet"/>
        <w:spacing w:after="60" w:line="276" w:lineRule="auto"/>
      </w:pPr>
      <w:r>
        <w:rPr>
          <w:rFonts w:ascii="Times New Roman" w:hAnsi="Times New Roman" w:eastAsia="Times New Roman"/>
          <w:b w:val="0"/>
          <w:i w:val="0"/>
          <w:sz w:val="22"/>
        </w:rPr>
        <w:t>Designed the ISO 10816-3 reflex sequence so local alarms stay under 200 ms and work without the agent or MQTT.</w:t>
      </w:r>
    </w:p>
    <w:p>
      <w:pPr>
        <w:pStyle w:val="ListBullet"/>
        <w:spacing w:after="60" w:line="276" w:lineRule="auto"/>
      </w:pPr>
      <w:r>
        <w:rPr>
          <w:rFonts w:ascii="Times New Roman" w:hAnsi="Times New Roman" w:eastAsia="Times New Roman"/>
          <w:b w:val="0"/>
          <w:i w:val="0"/>
          <w:sz w:val="22"/>
        </w:rPr>
        <w:t>Supported Figure 1 / Figure 2 content on edge features and the isolated safety path.</w:t>
      </w:r>
    </w:p>
    <w:p>
      <w:pPr>
        <w:pStyle w:val="ListBullet"/>
        <w:spacing w:after="60" w:line="276" w:lineRule="auto"/>
      </w:pPr>
      <w:r>
        <w:rPr>
          <w:rFonts w:ascii="Times New Roman" w:hAnsi="Times New Roman" w:eastAsia="Times New Roman"/>
          <w:b w:val="0"/>
          <w:i w:val="0"/>
          <w:sz w:val="22"/>
        </w:rPr>
        <w:t>Led hardware smoke-test planning and execution evidence for runlinc Project 14 (DS18B20, 23.125 °C).</w:t>
      </w:r>
    </w:p>
    <w:p>
      <w:pPr>
        <w:pStyle w:val="ListBullet"/>
        <w:spacing w:after="60" w:line="276" w:lineRule="auto"/>
      </w:pPr>
      <w:r>
        <w:rPr>
          <w:rFonts w:ascii="Times New Roman" w:hAnsi="Times New Roman" w:eastAsia="Times New Roman"/>
          <w:b w:val="0"/>
          <w:i w:val="0"/>
          <w:sz w:val="22"/>
        </w:rPr>
        <w:t>Documented hotspot/device connection issues (17 Aug) and mitigations under risk R2; FFT memory risk under R4.</w:t>
      </w:r>
    </w:p>
    <w:p>
      <w:pPr>
        <w:pStyle w:val="ListBullet"/>
        <w:spacing w:after="60" w:line="276" w:lineRule="auto"/>
      </w:pPr>
      <w:r>
        <w:rPr>
          <w:rFonts w:ascii="Times New Roman" w:hAnsi="Times New Roman" w:eastAsia="Times New Roman"/>
          <w:b w:val="0"/>
          <w:i w:val="0"/>
          <w:sz w:val="22"/>
        </w:rPr>
        <w:t>Contributed ten annotated Appendix II sources on ESP32, vibration, TinyML, ISO 10816, and datasheets.</w:t>
      </w:r>
    </w:p>
    <w:p>
      <w:pPr>
        <w:pStyle w:val="ListBullet"/>
        <w:spacing w:after="60" w:line="276" w:lineRule="auto"/>
      </w:pPr>
      <w:r>
        <w:rPr>
          <w:rFonts w:ascii="Times New Roman" w:hAnsi="Times New Roman" w:eastAsia="Times New Roman"/>
          <w:b w:val="0"/>
          <w:i w:val="0"/>
          <w:sz w:val="22"/>
        </w:rPr>
        <w:t>Attended client meetings 10, 17 and 24 August 2026 and the 7 September session; participated in LED blink and Project 14/15 labs.</w:t>
      </w:r>
    </w:p>
    <w:p>
      <w:pPr>
        <w:pStyle w:val="ListBullet"/>
        <w:spacing w:after="60" w:line="276" w:lineRule="auto"/>
      </w:pPr>
      <w:r>
        <w:rPr>
          <w:rFonts w:ascii="Times New Roman" w:hAnsi="Times New Roman" w:eastAsia="Times New Roman"/>
          <w:b w:val="0"/>
          <w:i w:val="0"/>
          <w:sz w:val="22"/>
        </w:rPr>
        <w:t>Collaborated with Pavan on feature-window definitions and with Amit on MQTT topic fields from the edge publisher.</w:t>
      </w:r>
    </w:p>
    <w:p>
      <w:pPr>
        <w:pStyle w:val="ListBullet"/>
        <w:spacing w:after="60"/>
      </w:pPr>
      <w:r>
        <w:rPr>
          <w:rFonts w:ascii="Times New Roman" w:hAnsi="Times New Roman" w:eastAsia="Times New Roman"/>
          <w:b w:val="0"/>
          <w:i w:val="0"/>
          <w:sz w:val="22"/>
        </w:rPr>
        <w:t>Prepared edge acceptance checks for Weeks 9–11: continuous feature stream, reflex latency log, and offline buzzer test with MQTT disconnected.</w:t>
      </w:r>
    </w:p>
    <w:p>
      <w:pPr>
        <w:pStyle w:val="ListBullet"/>
        <w:spacing w:after="60"/>
      </w:pPr>
      <w:r>
        <w:rPr>
          <w:rFonts w:ascii="Times New Roman" w:hAnsi="Times New Roman" w:eastAsia="Times New Roman"/>
          <w:b w:val="0"/>
          <w:i w:val="0"/>
          <w:sz w:val="22"/>
        </w:rPr>
        <w:t>Kept kit naming consistent (Shock, TEMP 18B20, buzzer) across architecture text so the report matches the physical 37-in-1 modules.</w:t>
      </w:r>
    </w:p>
    <w:p>
      <w:pPr>
        <w:spacing w:after="120" w:before="240" w:line="276" w:lineRule="auto"/>
        <w:jc w:val="left"/>
      </w:pPr>
      <w:r>
        <w:rPr>
          <w:rFonts w:ascii="Times New Roman" w:hAnsi="Times New Roman" w:eastAsia="Times New Roman"/>
          <w:b/>
          <w:i w:val="0"/>
          <w:sz w:val="24"/>
        </w:rPr>
        <w:t>2. Attendance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i w:val="0"/>
                <w:sz w:val="18"/>
              </w:rPr>
              <w:t>Week</w:t>
            </w:r>
          </w:p>
        </w:tc>
        <w:tc>
          <w:tcPr>
            <w:tcW w:type="dxa" w:w="3120"/>
          </w:tcPr>
          <w:p>
            <w:r>
              <w:rPr>
                <w:rFonts w:ascii="Times New Roman" w:hAnsi="Times New Roman" w:eastAsia="Times New Roman"/>
                <w:b/>
                <w:i w:val="0"/>
                <w:sz w:val="18"/>
              </w:rPr>
              <w:t>Tutorial / supervision</w:t>
            </w:r>
          </w:p>
        </w:tc>
        <w:tc>
          <w:tcPr>
            <w:tcW w:type="dxa" w:w="3120"/>
          </w:tcPr>
          <w:p>
            <w:r>
              <w:rPr>
                <w:rFonts w:ascii="Times New Roman" w:hAnsi="Times New Roman" w:eastAsia="Times New Roman"/>
                <w:b/>
                <w:i w:val="0"/>
                <w:sz w:val="18"/>
              </w:rPr>
              <w:t>Client / extra</w:t>
            </w:r>
          </w:p>
        </w:tc>
      </w:tr>
      <w:tr>
        <w:tc>
          <w:tcPr>
            <w:tcW w:type="dxa" w:w="3120"/>
          </w:tcPr>
          <w:p>
            <w:r>
              <w:rPr>
                <w:rFonts w:ascii="Times New Roman" w:hAnsi="Times New Roman" w:eastAsia="Times New Roman"/>
                <w:b w:val="0"/>
                <w:i w:val="0"/>
                <w:sz w:val="18"/>
              </w:rPr>
              <w:t>5</w:t>
            </w:r>
          </w:p>
        </w:tc>
        <w:tc>
          <w:tcPr>
            <w:tcW w:type="dxa" w:w="3120"/>
          </w:tcPr>
          <w:p>
            <w:r>
              <w:rPr>
                <w:rFonts w:ascii="Times New Roman" w:hAnsi="Times New Roman" w:eastAsia="Times New Roman"/>
                <w:b w:val="0"/>
                <w:i w:val="0"/>
                <w:sz w:val="18"/>
              </w:rPr>
              <w:t>Present</w:t>
            </w:r>
          </w:p>
        </w:tc>
        <w:tc>
          <w:tcPr>
            <w:tcW w:type="dxa" w:w="3120"/>
          </w:tcPr>
          <w:p>
            <w:r>
              <w:rPr>
                <w:rFonts w:ascii="Times New Roman" w:hAnsi="Times New Roman" w:eastAsia="Times New Roman"/>
                <w:b w:val="0"/>
                <w:i w:val="0"/>
                <w:sz w:val="18"/>
              </w:rPr>
              <w:t>—</w:t>
            </w:r>
          </w:p>
        </w:tc>
      </w:tr>
      <w:tr>
        <w:tc>
          <w:tcPr>
            <w:tcW w:type="dxa" w:w="3120"/>
          </w:tcPr>
          <w:p>
            <w:r>
              <w:rPr>
                <w:rFonts w:ascii="Times New Roman" w:hAnsi="Times New Roman" w:eastAsia="Times New Roman"/>
                <w:b w:val="0"/>
                <w:i w:val="0"/>
                <w:sz w:val="18"/>
              </w:rPr>
              <w:t>6</w:t>
            </w:r>
          </w:p>
        </w:tc>
        <w:tc>
          <w:tcPr>
            <w:tcW w:type="dxa" w:w="3120"/>
          </w:tcPr>
          <w:p>
            <w:r>
              <w:rPr>
                <w:rFonts w:ascii="Times New Roman" w:hAnsi="Times New Roman" w:eastAsia="Times New Roman"/>
                <w:b w:val="0"/>
                <w:i w:val="0"/>
                <w:sz w:val="18"/>
              </w:rPr>
              <w:t>Present</w:t>
            </w:r>
          </w:p>
        </w:tc>
        <w:tc>
          <w:tcPr>
            <w:tcW w:type="dxa" w:w="3120"/>
          </w:tcPr>
          <w:p>
            <w:r>
              <w:rPr>
                <w:rFonts w:ascii="Times New Roman" w:hAnsi="Times New Roman" w:eastAsia="Times New Roman"/>
                <w:b w:val="0"/>
                <w:i w:val="0"/>
                <w:sz w:val="18"/>
              </w:rPr>
              <w:t>Client meeting 17/08/2026 (runlinc hotspot setup)</w:t>
            </w:r>
          </w:p>
        </w:tc>
      </w:tr>
      <w:tr>
        <w:tc>
          <w:tcPr>
            <w:tcW w:type="dxa" w:w="3120"/>
          </w:tcPr>
          <w:p>
            <w:r>
              <w:rPr>
                <w:rFonts w:ascii="Times New Roman" w:hAnsi="Times New Roman" w:eastAsia="Times New Roman"/>
                <w:b w:val="0"/>
                <w:i w:val="0"/>
                <w:sz w:val="18"/>
              </w:rPr>
              <w:t>7</w:t>
            </w:r>
          </w:p>
        </w:tc>
        <w:tc>
          <w:tcPr>
            <w:tcW w:type="dxa" w:w="3120"/>
          </w:tcPr>
          <w:p>
            <w:r>
              <w:rPr>
                <w:rFonts w:ascii="Times New Roman" w:hAnsi="Times New Roman" w:eastAsia="Times New Roman"/>
                <w:b w:val="0"/>
                <w:i w:val="0"/>
                <w:sz w:val="18"/>
              </w:rPr>
              <w:t>Present</w:t>
            </w:r>
          </w:p>
        </w:tc>
        <w:tc>
          <w:tcPr>
            <w:tcW w:type="dxa" w:w="3120"/>
          </w:tcPr>
          <w:p>
            <w:r>
              <w:rPr>
                <w:rFonts w:ascii="Times New Roman" w:hAnsi="Times New Roman" w:eastAsia="Times New Roman"/>
                <w:b w:val="0"/>
                <w:i w:val="0"/>
                <w:sz w:val="18"/>
              </w:rPr>
              <w:t>Client meeting 24/08/2026 (hardware; Projects 14/15)</w:t>
            </w:r>
          </w:p>
        </w:tc>
      </w:tr>
      <w:tr>
        <w:tc>
          <w:tcPr>
            <w:tcW w:type="dxa" w:w="3120"/>
          </w:tcPr>
          <w:p>
            <w:r>
              <w:rPr>
                <w:rFonts w:ascii="Times New Roman" w:hAnsi="Times New Roman" w:eastAsia="Times New Roman"/>
                <w:b w:val="0"/>
                <w:i w:val="0"/>
                <w:sz w:val="18"/>
              </w:rPr>
              <w:t>8</w:t>
            </w:r>
          </w:p>
        </w:tc>
        <w:tc>
          <w:tcPr>
            <w:tcW w:type="dxa" w:w="3120"/>
          </w:tcPr>
          <w:p>
            <w:r>
              <w:rPr>
                <w:rFonts w:ascii="Times New Roman" w:hAnsi="Times New Roman" w:eastAsia="Times New Roman"/>
                <w:b w:val="0"/>
                <w:i w:val="0"/>
                <w:sz w:val="18"/>
              </w:rPr>
              <w:t>Present</w:t>
            </w:r>
          </w:p>
        </w:tc>
        <w:tc>
          <w:tcPr>
            <w:tcW w:type="dxa" w:w="3120"/>
          </w:tcPr>
          <w:p>
            <w:r>
              <w:rPr>
                <w:rFonts w:ascii="Times New Roman" w:hAnsi="Times New Roman" w:eastAsia="Times New Roman"/>
                <w:b w:val="0"/>
                <w:i w:val="0"/>
                <w:sz w:val="18"/>
              </w:rPr>
              <w:t>Supervisor feedback; A2 report preparation</w:t>
            </w:r>
          </w:p>
        </w:tc>
      </w:tr>
    </w:tbl>
    <w:p>
      <w:pPr>
        <w:spacing w:after="120" w:before="240" w:line="276" w:lineRule="auto"/>
        <w:jc w:val="left"/>
      </w:pPr>
      <w:r>
        <w:rPr>
          <w:rFonts w:ascii="Times New Roman" w:hAnsi="Times New Roman" w:eastAsia="Times New Roman"/>
          <w:b/>
          <w:i w:val="0"/>
          <w:sz w:val="24"/>
        </w:rPr>
        <w:t>3. Self-evaluation</w:t>
      </w:r>
    </w:p>
    <w:p>
      <w:pPr>
        <w:spacing w:after="120" w:before="0" w:line="276" w:lineRule="auto"/>
        <w:jc w:val="both"/>
      </w:pPr>
      <w:r>
        <w:rPr>
          <w:rFonts w:ascii="Times New Roman" w:hAnsi="Times New Roman" w:eastAsia="Times New Roman"/>
          <w:b w:val="0"/>
          <w:i w:val="0"/>
          <w:sz w:val="22"/>
        </w:rPr>
        <w:t>I met my Week 5–8 responsibilities by turning hardware access into a clear edge design with measurable timing and memory targets, rather than leaving sensing as “connect sensors later.” The reflex/agent split is now explicit in Figures 1–2, which protects the team from over-promising AI for safety alarms. I could start a thin live stream earlier in Week 9 (one Shock topic, one buzzer test) to reduce integration risk. I also checked that edge claims in the report stay consistent with client guidance from the 7 September meeting on sensors, CSV logging (Project 15), and block-diagram clarity. Overall I contributed consistently to meetings, hardware evidence, literature on edge PdM, and the group report.</w:t>
      </w:r>
    </w:p>
    <w:p>
      <w:pPr>
        <w:spacing w:after="120" w:before="240" w:line="276" w:lineRule="auto"/>
        <w:jc w:val="left"/>
      </w:pPr>
      <w:r>
        <w:rPr>
          <w:rFonts w:ascii="Times New Roman" w:hAnsi="Times New Roman" w:eastAsia="Times New Roman"/>
          <w:b/>
          <w:i w:val="0"/>
          <w:sz w:val="24"/>
        </w:rPr>
        <w:t>4. Reflective journal (DEEP)</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18"/>
              </w:rPr>
              <w:t>Stage</w:t>
            </w:r>
          </w:p>
        </w:tc>
        <w:tc>
          <w:tcPr>
            <w:tcW w:type="dxa" w:w="4680"/>
          </w:tcPr>
          <w:p>
            <w:r>
              <w:rPr>
                <w:rFonts w:ascii="Times New Roman" w:hAnsi="Times New Roman" w:eastAsia="Times New Roman"/>
                <w:b/>
                <w:i w:val="0"/>
                <w:sz w:val="18"/>
              </w:rPr>
              <w:t>Reflection</w:t>
            </w:r>
          </w:p>
        </w:tc>
      </w:tr>
      <w:tr>
        <w:tc>
          <w:tcPr>
            <w:tcW w:type="dxa" w:w="4680"/>
          </w:tcPr>
          <w:p>
            <w:r>
              <w:rPr>
                <w:rFonts w:ascii="Times New Roman" w:hAnsi="Times New Roman" w:eastAsia="Times New Roman"/>
                <w:b w:val="0"/>
                <w:i w:val="0"/>
                <w:sz w:val="18"/>
              </w:rPr>
              <w:t>Describe</w:t>
              <w:br/>
              <w:t>How effectively did you work in the group and what was your role?</w:t>
            </w:r>
          </w:p>
        </w:tc>
        <w:tc>
          <w:tcPr>
            <w:tcW w:type="dxa" w:w="4680"/>
          </w:tcPr>
          <w:p>
            <w:r>
              <w:rPr>
                <w:rFonts w:ascii="Times New Roman" w:hAnsi="Times New Roman" w:eastAsia="Times New Roman"/>
                <w:b w:val="0"/>
                <w:i w:val="0"/>
                <w:sz w:val="18"/>
              </w:rPr>
              <w:t>I worked as Edge and hardware lead while respecting others’ WBS ownership (agent: Amit; RUL: Pavan; requirements: Asmita). I kept designs aligned with lab-only data scope confirmed by the client and produced wiring, feature, and reflex details the rest of the team could schedule against.</w:t>
            </w:r>
          </w:p>
        </w:tc>
      </w:tr>
      <w:tr>
        <w:tc>
          <w:tcPr>
            <w:tcW w:type="dxa" w:w="4680"/>
          </w:tcPr>
          <w:p>
            <w:r>
              <w:rPr>
                <w:rFonts w:ascii="Times New Roman" w:hAnsi="Times New Roman" w:eastAsia="Times New Roman"/>
                <w:b w:val="0"/>
                <w:i w:val="0"/>
                <w:sz w:val="18"/>
              </w:rPr>
              <w:t>Explore</w:t>
              <w:br/>
              <w:t>List at least 2 valuable contributions and why they mattered.</w:t>
            </w:r>
          </w:p>
        </w:tc>
        <w:tc>
          <w:tcPr>
            <w:tcW w:type="dxa" w:w="4680"/>
          </w:tcPr>
          <w:p>
            <w:r>
              <w:rPr>
                <w:rFonts w:ascii="Times New Roman" w:hAnsi="Times New Roman" w:eastAsia="Times New Roman"/>
                <w:b w:val="0"/>
                <w:i w:val="0"/>
                <w:sz w:val="18"/>
              </w:rPr>
              <w:t>(1) Dual-path edge reflex design with kit-named sensors and &lt;200 ms alarm target — made safety claims honest and testable. (2) Project 14 DS18B20 evidence and connection troubleshooting notes — reduced uncertainty before vibration integration.</w:t>
            </w:r>
          </w:p>
        </w:tc>
      </w:tr>
      <w:tr>
        <w:tc>
          <w:tcPr>
            <w:tcW w:type="dxa" w:w="4680"/>
          </w:tcPr>
          <w:p>
            <w:r>
              <w:rPr>
                <w:rFonts w:ascii="Times New Roman" w:hAnsi="Times New Roman" w:eastAsia="Times New Roman"/>
                <w:b w:val="0"/>
                <w:i w:val="0"/>
                <w:sz w:val="18"/>
              </w:rPr>
              <w:t>Evaluate</w:t>
              <w:br/>
              <w:t>How do you justify your key contributions?</w:t>
            </w:r>
          </w:p>
        </w:tc>
        <w:tc>
          <w:tcPr>
            <w:tcW w:type="dxa" w:w="4680"/>
          </w:tcPr>
          <w:p>
            <w:r>
              <w:rPr>
                <w:rFonts w:ascii="Times New Roman" w:hAnsi="Times New Roman" w:eastAsia="Times New Roman"/>
                <w:b w:val="0"/>
                <w:i w:val="0"/>
                <w:sz w:val="18"/>
              </w:rPr>
              <w:t>Without a stable edge path, MQTT, RUL, and the agent have nothing reliable to consume. Documenting GPIO, features, ISO thresholds, and offline behaviour early prevents demo failure when the cloud path is unavailable (risk R2/R5).</w:t>
            </w:r>
          </w:p>
        </w:tc>
      </w:tr>
      <w:tr>
        <w:tc>
          <w:tcPr>
            <w:tcW w:type="dxa" w:w="4680"/>
          </w:tcPr>
          <w:p>
            <w:r>
              <w:rPr>
                <w:rFonts w:ascii="Times New Roman" w:hAnsi="Times New Roman" w:eastAsia="Times New Roman"/>
                <w:b w:val="0"/>
                <w:i w:val="0"/>
                <w:sz w:val="18"/>
              </w:rPr>
              <w:t>Plan</w:t>
              <w:br/>
              <w:t>What did you learn and how will you improve next?</w:t>
            </w:r>
          </w:p>
        </w:tc>
        <w:tc>
          <w:tcPr>
            <w:tcW w:type="dxa" w:w="4680"/>
          </w:tcPr>
          <w:p>
            <w:r>
              <w:rPr>
                <w:rFonts w:ascii="Times New Roman" w:hAnsi="Times New Roman" w:eastAsia="Times New Roman"/>
                <w:b w:val="0"/>
                <w:i w:val="0"/>
                <w:sz w:val="18"/>
              </w:rPr>
              <w:t>I learned that hardware leadership means publishing interface contracts early (topics, units, window size). Next I will deliver RMS/peak/crest (Week 9), FFT + ISO reflex timing (Week 10), and live MQTT feature publish (Week 11).</w:t>
            </w:r>
          </w:p>
        </w:tc>
      </w:tr>
    </w:tbl>
    <w:p>
      <w:pPr>
        <w:spacing w:after="120" w:before="240" w:line="276" w:lineRule="auto"/>
        <w:jc w:val="left"/>
      </w:pPr>
      <w:r>
        <w:rPr>
          <w:rFonts w:ascii="Times New Roman" w:hAnsi="Times New Roman" w:eastAsia="Times New Roman"/>
          <w:b/>
          <w:i w:val="0"/>
          <w:sz w:val="24"/>
        </w:rPr>
        <w:t>5. Peer evaluation</w:t>
      </w:r>
    </w:p>
    <w:p>
      <w:pPr>
        <w:spacing w:after="80" w:before="0" w:line="276" w:lineRule="auto"/>
        <w:jc w:val="left"/>
      </w:pPr>
      <w:r>
        <w:rPr>
          <w:rFonts w:ascii="Times New Roman" w:hAnsi="Times New Roman" w:eastAsia="Times New Roman"/>
          <w:b w:val="0"/>
          <w:i w:val="0"/>
          <w:sz w:val="20"/>
        </w:rPr>
        <w:t>Scale: 1 = poor, 5 = excellent. Rate other members only.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i w:val="0"/>
                <w:sz w:val="18"/>
              </w:rPr>
              <w:t>Criteria</w:t>
            </w:r>
          </w:p>
        </w:tc>
        <w:tc>
          <w:tcPr>
            <w:tcW w:type="dxa" w:w="2340"/>
          </w:tcPr>
          <w:p>
            <w:r>
              <w:rPr>
                <w:rFonts w:ascii="Times New Roman" w:hAnsi="Times New Roman" w:eastAsia="Times New Roman"/>
                <w:b/>
                <w:i w:val="0"/>
                <w:sz w:val="18"/>
              </w:rPr>
              <w:t>Amit</w:t>
            </w:r>
          </w:p>
        </w:tc>
        <w:tc>
          <w:tcPr>
            <w:tcW w:type="dxa" w:w="2340"/>
          </w:tcPr>
          <w:p>
            <w:r>
              <w:rPr>
                <w:rFonts w:ascii="Times New Roman" w:hAnsi="Times New Roman" w:eastAsia="Times New Roman"/>
                <w:b/>
                <w:i w:val="0"/>
                <w:sz w:val="18"/>
              </w:rPr>
              <w:t>Asmita</w:t>
            </w:r>
          </w:p>
        </w:tc>
        <w:tc>
          <w:tcPr>
            <w:tcW w:type="dxa" w:w="2340"/>
          </w:tcPr>
          <w:p>
            <w:r>
              <w:rPr>
                <w:rFonts w:ascii="Times New Roman" w:hAnsi="Times New Roman" w:eastAsia="Times New Roman"/>
                <w:b/>
                <w:i w:val="0"/>
                <w:sz w:val="18"/>
              </w:rPr>
              <w:t>Pavan</w:t>
            </w:r>
          </w:p>
        </w:tc>
      </w:tr>
      <w:tr>
        <w:tc>
          <w:tcPr>
            <w:tcW w:type="dxa" w:w="2340"/>
          </w:tcPr>
          <w:p>
            <w:r>
              <w:rPr>
                <w:rFonts w:ascii="Times New Roman" w:hAnsi="Times New Roman" w:eastAsia="Times New Roman"/>
                <w:b w:val="0"/>
                <w:i w:val="0"/>
                <w:sz w:val="18"/>
              </w:rPr>
              <w:t>Attends group meetings regularly and arrives on time.</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5</w:t>
            </w:r>
          </w:p>
        </w:tc>
      </w:tr>
      <w:tr>
        <w:tc>
          <w:tcPr>
            <w:tcW w:type="dxa" w:w="2340"/>
          </w:tcPr>
          <w:p>
            <w:r>
              <w:rPr>
                <w:rFonts w:ascii="Times New Roman" w:hAnsi="Times New Roman" w:eastAsia="Times New Roman"/>
                <w:b w:val="0"/>
                <w:i w:val="0"/>
                <w:sz w:val="18"/>
              </w:rPr>
              <w:t>Contributes meaningfully to group discussions.</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5</w:t>
            </w:r>
          </w:p>
        </w:tc>
      </w:tr>
      <w:tr>
        <w:tc>
          <w:tcPr>
            <w:tcW w:type="dxa" w:w="2340"/>
          </w:tcPr>
          <w:p>
            <w:r>
              <w:rPr>
                <w:rFonts w:ascii="Times New Roman" w:hAnsi="Times New Roman" w:eastAsia="Times New Roman"/>
                <w:b w:val="0"/>
                <w:i w:val="0"/>
                <w:sz w:val="18"/>
              </w:rPr>
              <w:t>Completes group assignments on time.</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4</w:t>
            </w:r>
          </w:p>
        </w:tc>
      </w:tr>
      <w:tr>
        <w:tc>
          <w:tcPr>
            <w:tcW w:type="dxa" w:w="2340"/>
          </w:tcPr>
          <w:p>
            <w:r>
              <w:rPr>
                <w:rFonts w:ascii="Times New Roman" w:hAnsi="Times New Roman" w:eastAsia="Times New Roman"/>
                <w:b w:val="0"/>
                <w:i w:val="0"/>
                <w:sz w:val="18"/>
              </w:rPr>
              <w:t>Prepares work in a quality manner.</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5</w:t>
            </w:r>
          </w:p>
        </w:tc>
      </w:tr>
      <w:tr>
        <w:tc>
          <w:tcPr>
            <w:tcW w:type="dxa" w:w="2340"/>
          </w:tcPr>
          <w:p>
            <w:r>
              <w:rPr>
                <w:rFonts w:ascii="Times New Roman" w:hAnsi="Times New Roman" w:eastAsia="Times New Roman"/>
                <w:b w:val="0"/>
                <w:i w:val="0"/>
                <w:sz w:val="18"/>
              </w:rPr>
              <w:t>Demonstrates a cooperative and supportive attitude.</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5</w:t>
            </w:r>
          </w:p>
        </w:tc>
      </w:tr>
      <w:tr>
        <w:tc>
          <w:tcPr>
            <w:tcW w:type="dxa" w:w="2340"/>
          </w:tcPr>
          <w:p>
            <w:r>
              <w:rPr>
                <w:rFonts w:ascii="Times New Roman" w:hAnsi="Times New Roman" w:eastAsia="Times New Roman"/>
                <w:b w:val="0"/>
                <w:i w:val="0"/>
                <w:sz w:val="18"/>
              </w:rPr>
              <w:t>Contributes significantly to the success of the project.</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5</w:t>
            </w:r>
          </w:p>
        </w:tc>
        <w:tc>
          <w:tcPr>
            <w:tcW w:type="dxa" w:w="2340"/>
          </w:tcPr>
          <w:p>
            <w:r>
              <w:rPr>
                <w:rFonts w:ascii="Times New Roman" w:hAnsi="Times New Roman" w:eastAsia="Times New Roman"/>
                <w:b w:val="0"/>
                <w:i w:val="0"/>
                <w:sz w:val="18"/>
              </w:rPr>
              <w:t>5</w:t>
            </w:r>
          </w:p>
        </w:tc>
      </w:tr>
      <w:tr>
        <w:tc>
          <w:tcPr>
            <w:tcW w:type="dxa" w:w="2340"/>
          </w:tcPr>
          <w:p>
            <w:r>
              <w:rPr>
                <w:rFonts w:ascii="Times New Roman" w:hAnsi="Times New Roman" w:eastAsia="Times New Roman"/>
                <w:b w:val="0"/>
                <w:i w:val="0"/>
                <w:sz w:val="18"/>
              </w:rPr>
              <w:t>Short feedback</w:t>
            </w:r>
          </w:p>
        </w:tc>
        <w:tc>
          <w:tcPr>
            <w:tcW w:type="dxa" w:w="2340"/>
          </w:tcPr>
          <w:p>
            <w:r>
              <w:rPr>
                <w:rFonts w:ascii="Times New Roman" w:hAnsi="Times New Roman" w:eastAsia="Times New Roman"/>
                <w:b w:val="0"/>
                <w:i w:val="0"/>
                <w:sz w:val="18"/>
              </w:rPr>
              <w:t>Strong agent/architecture ownership; clear Thought Log and integration risk planning.</w:t>
            </w:r>
          </w:p>
        </w:tc>
        <w:tc>
          <w:tcPr>
            <w:tcW w:type="dxa" w:w="2340"/>
          </w:tcPr>
          <w:p>
            <w:r>
              <w:rPr>
                <w:rFonts w:ascii="Times New Roman" w:hAnsi="Times New Roman" w:eastAsia="Times New Roman"/>
                <w:b w:val="0"/>
                <w:i w:val="0"/>
                <w:sz w:val="18"/>
              </w:rPr>
              <w:t>Excellent requirements and client documentation; kept RQ–objective alignment tight.</w:t>
            </w:r>
          </w:p>
        </w:tc>
        <w:tc>
          <w:tcPr>
            <w:tcW w:type="dxa" w:w="2340"/>
          </w:tcPr>
          <w:p>
            <w:r>
              <w:rPr>
                <w:rFonts w:ascii="Times New Roman" w:hAnsi="Times New Roman" w:eastAsia="Times New Roman"/>
                <w:b w:val="0"/>
                <w:i w:val="0"/>
                <w:sz w:val="18"/>
              </w:rPr>
              <w:t>Solid RUL/analytics and schedule ownership; continue early C-MAPSS baseline delivery.</w:t>
            </w:r>
          </w:p>
        </w:tc>
      </w:tr>
    </w:tbl>
    <w:p>
      <w:pPr>
        <w:spacing w:after="80" w:before="0" w:line="276" w:lineRule="auto"/>
        <w:jc w:val="left"/>
      </w:pPr>
      <w:r>
        <w:rPr>
          <w:rFonts w:ascii="Times New Roman" w:hAnsi="Times New Roman" w:eastAsia="Times New Roman"/>
          <w:b w:val="0"/>
          <w:i w:val="0"/>
          <w:sz w:val="22"/>
        </w:rPr>
      </w:r>
    </w:p>
    <w:p>
      <w:pPr>
        <w:spacing w:after="40" w:before="0" w:line="276" w:lineRule="auto"/>
        <w:jc w:val="left"/>
      </w:pPr>
      <w:r>
        <w:rPr>
          <w:rFonts w:ascii="Times New Roman" w:hAnsi="Times New Roman" w:eastAsia="Times New Roman"/>
          <w:b w:val="0"/>
          <w:i w:val="0"/>
          <w:sz w:val="22"/>
        </w:rPr>
        <w:t>Signature: Subala Shrestha</w:t>
      </w:r>
    </w:p>
    <w:p>
      <w:pPr>
        <w:spacing w:after="40" w:before="0" w:line="276" w:lineRule="auto"/>
        <w:jc w:val="left"/>
      </w:pPr>
      <w:r>
        <w:rPr>
          <w:rFonts w:ascii="Times New Roman" w:hAnsi="Times New Roman" w:eastAsia="Times New Roman"/>
          <w:b w:val="0"/>
          <w:i w:val="0"/>
          <w:sz w:val="22"/>
        </w:rPr>
        <w:t>Date: 13 September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