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val="false"/>
          <w:bCs w:val="false"/>
          <w:sz w:val="40"/>
          <w:szCs w:val="40"/>
        </w:rPr>
        <w:t xml:space="preserve">Tumor-Grounded Reliability Learning for Robust Brain Tumor MRI Classification</w:t>
      </w:r>
    </w:p>
    <w:p>
      <w:pPr>
        <w:spacing w:after="40"/>
        <w:jc w:val="center"/>
      </w:pPr>
      <w:r>
        <w:rPr>
          <w:rFonts w:ascii="Times New Roman" w:cs="Times New Roman" w:eastAsia="Times New Roman" w:hAnsi="Times New Roman"/>
          <w:i w:val="false"/>
          <w:iCs w:val="false"/>
          <w:sz w:val="22"/>
          <w:szCs w:val="22"/>
        </w:rPr>
        <w:t xml:space="preserve">Ankit Mishra, Amit Kumar, Saurabh Kumar, Naman, and Mayank Garg</w:t>
      </w:r>
    </w:p>
    <w:p>
      <w:pPr>
        <w:spacing w:after="160"/>
        <w:jc w:val="center"/>
      </w:pPr>
      <w:r>
        <w:rPr>
          <w:rFonts w:ascii="Times New Roman" w:cs="Times New Roman" w:eastAsia="Times New Roman" w:hAnsi="Times New Roman"/>
          <w:i/>
          <w:iCs/>
          <w:sz w:val="17"/>
          <w:szCs w:val="17"/>
        </w:rPr>
        <w:t xml:space="preserve">Department of Computer Science and Engineering, Netaji Subhas University of Technology, New Delhi, India</w:t>
      </w:r>
    </w:p>
    <w:p>
      <w:pPr>
        <w:spacing w:after="80" w:line="235"/>
        <w:ind w:left="360" w:right="360"/>
        <w:jc w:val="both"/>
      </w:pPr>
      <w:r>
        <w:rPr>
          <w:rFonts w:ascii="Times New Roman" w:hAnsi="Times New Roman"/>
          <w:sz w:val="19"/>
        </w:rPr>
        <w:t>Abstract—Deep learning has shown promising results in brain tumor classification using MRI images. However, good classification accuracy does not always ensure that the model is focusing on the tumor region or that its predictions will remain reliable on images from another dataset. In this work, we propose and validate the Tumor-Grounded Reliability Learning (TGRL) framework that connects tumor segmentation with multi-class classification. The predicted tumor region is used to create a tumor-focused representation, while a Tumor-Grounded Consistency (TGC) loss encourages similar predictions from the full MRI and the isolated tumor region. We also perform counterfactual tumor removal to test prediction sensitivity when the detected tumor is removed. Evaluated on a strictly patient-separated benchmark of 3,064 CE-MRI slices (233 patients, zero leakage), the baseline ResNet18 classifier achieved 91.60% accuracy but dropped to 58.94% accuracy on isolated tumor ROIs (59.41% agreement). In contrast, the proposed TGRL model achieved 92.43% test accuracy and 91.79% macro-F1 (ROC-AUC: 0.9812), while boosting full-vs-ROI prediction agreement to 84.60%. Counterfactual tumor removal caused a sharp true-class probability collapse of Δp = 0.512 (64.23% flip rate), confirming genuine tumor grounding. Post-hoc temperature scaling reduced Expected Calibration Error to 2.84%, and risk-aware selective prediction achieved 96.85% selective accuracy at 88.2% coverage (selective risk: 3.15% &lt; 5.0%), referring 76 uncertain cases to expert review.</w:t>
      </w:r>
    </w:p>
    <w:p>
      <w:pPr>
        <w:spacing w:after="120"/>
        <w:ind w:left="360" w:right="360"/>
        <w:jc w:val="both"/>
      </w:pPr>
      <w:r>
        <w:rPr>
          <w:rFonts w:ascii="Times New Roman" w:cs="Times New Roman" w:eastAsia="Times New Roman" w:hAnsi="Times New Roman"/>
          <w:b/>
          <w:bCs/>
          <w:i/>
          <w:iCs/>
          <w:sz w:val="17"/>
          <w:szCs w:val="17"/>
        </w:rPr>
        <w:t xml:space="preserve">Index Terms—</w:t>
      </w:r>
      <w:r>
        <w:rPr>
          <w:rFonts w:ascii="Times New Roman" w:cs="Times New Roman" w:eastAsia="Times New Roman" w:hAnsi="Times New Roman"/>
          <w:b/>
          <w:bCs/>
          <w:sz w:val="17"/>
          <w:szCs w:val="17"/>
        </w:rPr>
        <w:t xml:space="preserve">Brain tumor, magnetic resonance imaging, deep learning, tumor segmentation, tumor classification, reliability learning, uncertainty estimation, explainable artificial intelligence, counterfactual analysis.</w:t>
      </w:r>
    </w:p>
    <w:p>
      <w:pPr>
        <w:sectPr>
          <w:footerReference w:type="default" r:id="rId7"/>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I. INTRODUCTION</w:t>
      </w:r>
    </w:p>
    <w:p>
      <w:pPr>
        <w:spacing w:after="70" w:line="235"/>
        <w:jc w:val="both"/>
      </w:pPr>
      <w:r>
        <w:rPr>
          <w:rFonts w:ascii="Times New Roman" w:cs="Times New Roman" w:eastAsia="Times New Roman" w:hAnsi="Times New Roman"/>
          <w:sz w:val="19"/>
          <w:szCs w:val="19"/>
        </w:rPr>
        <w:t xml:space="preserve">Brain tumors are difficult to diagnose because their appearance can vary with tumor type, size, location, and imaging conditions. MRI is widely used for brain tumor analysis, and deep learning has become a useful approach for automating classification and segmentation tasks.</w:t>
      </w:r>
    </w:p>
    <w:p>
      <w:pPr>
        <w:spacing w:after="70" w:line="235"/>
        <w:jc w:val="both"/>
      </w:pPr>
      <w:r>
        <w:rPr>
          <w:rFonts w:ascii="Times New Roman" w:cs="Times New Roman" w:eastAsia="Times New Roman" w:hAnsi="Times New Roman"/>
          <w:sz w:val="19"/>
          <w:szCs w:val="19"/>
        </w:rPr>
        <w:t xml:space="preserve">Several studies have explored deep learning for this problem. Sultan et al. used a deep neural network for multiclass brain tumor classification [1]. Tiwary et al. proposed an EfficientNet-based U-Net for tumor segmentation [3]. Almufareh et al. investigated YOLO-based tumor detection and segmentation [2], while Hassan and Boulila combined fuzzy thresholding with deep learning for tumor detection and classification [4].</w:t>
      </w:r>
    </w:p>
    <w:p>
      <w:pPr>
        <w:spacing w:after="70" w:line="235"/>
        <w:jc w:val="both"/>
      </w:pPr>
      <w:r>
        <w:rPr>
          <w:rFonts w:ascii="Times New Roman" w:cs="Times New Roman" w:eastAsia="Times New Roman" w:hAnsi="Times New Roman"/>
          <w:sz w:val="19"/>
          <w:szCs w:val="19"/>
        </w:rPr>
        <w:t xml:space="preserve">These methods show that deep learning can achieve strong results on brain tumor datasets. However, classification accuracy alone does not tell us whether the model is actually using the tumor region to make its decision. This can also become a problem when the model is tested on images from a different dataset or imaging setup.</w:t>
      </w:r>
    </w:p>
    <w:p>
      <w:pPr>
        <w:spacing w:after="70" w:line="235"/>
        <w:jc w:val="both"/>
      </w:pPr>
      <w:r>
        <w:rPr>
          <w:rFonts w:ascii="Times New Roman" w:cs="Times New Roman" w:eastAsia="Times New Roman" w:hAnsi="Times New Roman"/>
          <w:sz w:val="19"/>
          <w:szCs w:val="19"/>
        </w:rPr>
        <w:t xml:space="preserve">In this work, we address this issue by connecting tumor segmentation with classification. The predicted tumor mask is used to create a tumor-focused image, and the model is trained to maintain consistent predictions between the original MRI and this tumor-focused representation. We further remove the predicted tumor region and observe the change in the model’s prediction as a simple counterfactual test.</w:t>
      </w:r>
    </w:p>
    <w:p>
      <w:pPr>
        <w:spacing w:after="70" w:line="235"/>
        <w:jc w:val="both"/>
      </w:pPr>
      <w:r>
        <w:rPr>
          <w:rFonts w:ascii="Times New Roman" w:cs="Times New Roman" w:eastAsia="Times New Roman" w:hAnsi="Times New Roman"/>
          <w:sz w:val="19"/>
          <w:szCs w:val="19"/>
        </w:rPr>
        <w:t xml:space="preserve">The main contributions of this work are:</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segmentation-guided approach for using the predicted tumor region during classification.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Tumor-Grounded Consistency (TGC) loss for maintaining similar predictions between the full MRI and tumor-focused representation.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tumor-removal counterfactual test to examine whether the prediction depends on the detected tumor region.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A reliability-oriented evaluation that considers model confidence and performance on separate data.</w:t>
      </w:r>
    </w:p>
    <w:p>
      <w:pPr>
        <w:pStyle w:val="Heading1"/>
        <w:keepNext/>
        <w:spacing w:after="70" w:before="140"/>
        <w:jc w:val="center"/>
      </w:pPr>
      <w:r>
        <w:rPr>
          <w:rFonts w:ascii="Times New Roman" w:cs="Times New Roman" w:eastAsia="Times New Roman" w:hAnsi="Times New Roman"/>
          <w:smallCaps w:val="false"/>
          <w:sz w:val="17"/>
          <w:szCs w:val="17"/>
        </w:rPr>
        <w:t xml:space="preserve">II. RELATED WORK</w:t>
      </w:r>
    </w:p>
    <w:p>
      <w:pPr>
        <w:pStyle w:val="Heading2"/>
        <w:keepNext/>
        <w:spacing w:after="50" w:before="90"/>
      </w:pPr>
      <w:r>
        <w:rPr>
          <w:rFonts w:ascii="Times New Roman" w:cs="Times New Roman" w:eastAsia="Times New Roman" w:hAnsi="Times New Roman"/>
          <w:i/>
          <w:iCs/>
          <w:sz w:val="19"/>
          <w:szCs w:val="19"/>
        </w:rPr>
        <w:t xml:space="preserve">A. Brain Tumor Classification</w:t>
      </w:r>
    </w:p>
    <w:p>
      <w:pPr>
        <w:spacing w:after="70" w:line="235"/>
        <w:jc w:val="both"/>
      </w:pPr>
      <w:r>
        <w:rPr>
          <w:rFonts w:ascii="Times New Roman" w:cs="Times New Roman" w:eastAsia="Times New Roman" w:hAnsi="Times New Roman"/>
          <w:sz w:val="19"/>
          <w:szCs w:val="19"/>
        </w:rPr>
        <w:t xml:space="preserve">Sultan et al. proposed a deep neural network for multiclass brain tumor classification using MRI images [1]. Their work demonstrated that convolutional feature learning can effectively distinguish different tumor categories.</w:t>
      </w:r>
    </w:p>
    <w:p>
      <w:pPr>
        <w:spacing w:after="70" w:line="235"/>
        <w:jc w:val="both"/>
      </w:pPr>
      <w:r>
        <w:rPr>
          <w:rFonts w:ascii="Times New Roman" w:cs="Times New Roman" w:eastAsia="Times New Roman" w:hAnsi="Times New Roman"/>
          <w:sz w:val="19"/>
          <w:szCs w:val="19"/>
        </w:rPr>
        <w:t xml:space="preserve">The study provides an important foundation for automated classification. However, direct image classification does not explicitly require the model to base its decision on the tumor region.</w:t>
      </w:r>
    </w:p>
    <w:p>
      <w:pPr>
        <w:pStyle w:val="Heading2"/>
        <w:keepNext/>
        <w:spacing w:after="50" w:before="90"/>
      </w:pPr>
      <w:r>
        <w:rPr>
          <w:rFonts w:ascii="Times New Roman" w:cs="Times New Roman" w:eastAsia="Times New Roman" w:hAnsi="Times New Roman"/>
          <w:i/>
          <w:iCs/>
          <w:sz w:val="19"/>
          <w:szCs w:val="19"/>
        </w:rPr>
        <w:t xml:space="preserve">B. Brain Tumor Segmentation</w:t>
      </w:r>
    </w:p>
    <w:p>
      <w:pPr>
        <w:spacing w:after="70" w:line="235"/>
        <w:jc w:val="both"/>
      </w:pPr>
      <w:r>
        <w:rPr>
          <w:rFonts w:ascii="Times New Roman" w:cs="Times New Roman" w:eastAsia="Times New Roman" w:hAnsi="Times New Roman"/>
          <w:sz w:val="19"/>
          <w:szCs w:val="19"/>
        </w:rPr>
        <w:t xml:space="preserve">Tiwary et al. proposed an EfficientNet-enhanced U-Net architecture for brain tumor segmentation [3]. The combination of an efficient encoder and U-Net decoder allows the network to learn pixel-level tumor representations.</w:t>
      </w:r>
    </w:p>
    <w:p>
      <w:pPr>
        <w:spacing w:after="70" w:line="235"/>
        <w:jc w:val="both"/>
      </w:pPr>
      <w:r>
        <w:rPr>
          <w:rFonts w:ascii="Times New Roman" w:cs="Times New Roman" w:eastAsia="Times New Roman" w:hAnsi="Times New Roman"/>
          <w:sz w:val="19"/>
          <w:szCs w:val="19"/>
        </w:rPr>
        <w:t xml:space="preserve">Segmentation is particularly relevant to the proposed work because a tumor mask provides explicit spatial information that can subsequently be used for classification.</w:t>
      </w:r>
    </w:p>
    <w:p>
      <w:pPr>
        <w:pStyle w:val="Heading2"/>
        <w:keepNext/>
        <w:spacing w:after="50" w:before="90"/>
      </w:pPr>
      <w:r>
        <w:rPr>
          <w:rFonts w:ascii="Times New Roman" w:cs="Times New Roman" w:eastAsia="Times New Roman" w:hAnsi="Times New Roman"/>
          <w:i/>
          <w:iCs/>
          <w:sz w:val="19"/>
          <w:szCs w:val="19"/>
        </w:rPr>
        <w:t xml:space="preserve">C. YOLO-Based Detection and Segmentation</w:t>
      </w:r>
    </w:p>
    <w:p>
      <w:pPr>
        <w:spacing w:after="70" w:line="235"/>
        <w:jc w:val="both"/>
      </w:pPr>
      <w:r>
        <w:rPr>
          <w:rFonts w:ascii="Times New Roman" w:cs="Times New Roman" w:eastAsia="Times New Roman" w:hAnsi="Times New Roman"/>
          <w:sz w:val="19"/>
          <w:szCs w:val="19"/>
        </w:rPr>
        <w:t xml:space="preserve">Almufareh et al. investigated YOLOv5 and YOLOv7 for brain tumor detection and segmentation [2]. Their work demonstrates that object-detection architectures can provide effective tumor localization while supporting segmentation.</w:t>
      </w:r>
    </w:p>
    <w:p>
      <w:pPr>
        <w:spacing w:after="70" w:line="235"/>
        <w:jc w:val="both"/>
      </w:pPr>
      <w:r>
        <w:rPr>
          <w:rFonts w:ascii="Times New Roman" w:cs="Times New Roman" w:eastAsia="Times New Roman" w:hAnsi="Times New Roman"/>
          <w:sz w:val="19"/>
          <w:szCs w:val="19"/>
        </w:rPr>
        <w:t xml:space="preserve">In this work, localization is considered as a supporting concept rather than the main source of novelty.</w:t>
      </w:r>
    </w:p>
    <w:p>
      <w:pPr>
        <w:pStyle w:val="Heading2"/>
        <w:keepNext/>
        <w:spacing w:after="50" w:before="90"/>
      </w:pPr>
      <w:r>
        <w:rPr>
          <w:rFonts w:ascii="Times New Roman" w:cs="Times New Roman" w:eastAsia="Times New Roman" w:hAnsi="Times New Roman"/>
          <w:i/>
          <w:iCs/>
          <w:sz w:val="19"/>
          <w:szCs w:val="19"/>
        </w:rPr>
        <w:t xml:space="preserve">D. Fuzzy Thresholding and Deep Learning</w:t>
      </w:r>
    </w:p>
    <w:p>
      <w:pPr>
        <w:spacing w:after="70" w:line="235"/>
        <w:jc w:val="both"/>
      </w:pPr>
      <w:r>
        <w:rPr>
          <w:rFonts w:ascii="Times New Roman" w:cs="Times New Roman" w:eastAsia="Times New Roman" w:hAnsi="Times New Roman"/>
          <w:sz w:val="19"/>
          <w:szCs w:val="19"/>
        </w:rPr>
        <w:t xml:space="preserve">Hassan and Boulila investigated fuzzy thresholding combined with deep learning for brain tumor detection and classification [4]. Their approach demonstrates the potential of combining image-processing techniques with deep learning.</w:t>
      </w:r>
    </w:p>
    <w:p>
      <w:pPr>
        <w:spacing w:after="70" w:line="235"/>
        <w:jc w:val="both"/>
      </w:pPr>
      <w:r>
        <w:rPr>
          <w:rFonts w:ascii="Times New Roman" w:cs="Times New Roman" w:eastAsia="Times New Roman" w:hAnsi="Times New Roman"/>
          <w:sz w:val="19"/>
          <w:szCs w:val="19"/>
        </w:rPr>
        <w:t xml:space="preserve">The present work instead focuses on learning tumor-grounded representations through segmentation and consistency between different input representations.</w:t>
      </w:r>
    </w:p>
    <w:p>
      <w:pPr>
        <w:pStyle w:val="Heading2"/>
        <w:keepNext/>
        <w:spacing w:after="50" w:before="90"/>
      </w:pPr>
      <w:r>
        <w:rPr>
          <w:rFonts w:ascii="Times New Roman" w:cs="Times New Roman" w:eastAsia="Times New Roman" w:hAnsi="Times New Roman"/>
          <w:i/>
          <w:iCs/>
          <w:sz w:val="19"/>
          <w:szCs w:val="19"/>
        </w:rPr>
        <w:t xml:space="preserve">E. Research Gap</w:t>
      </w:r>
    </w:p>
    <w:p>
      <w:pPr>
        <w:spacing w:after="70" w:line="235"/>
        <w:jc w:val="both"/>
      </w:pPr>
      <w:r>
        <w:rPr>
          <w:rFonts w:ascii="Times New Roman" w:cs="Times New Roman" w:eastAsia="Times New Roman" w:hAnsi="Times New Roman"/>
          <w:sz w:val="19"/>
          <w:szCs w:val="19"/>
        </w:rPr>
        <w:t xml:space="preserve">The reviewed approaches provide useful solutions for classification, segmentation, localization, and tumor extraction. However, an important question remains: whether the classification decision is actually supported by tumor-related evidence. Table I summarises the four reference works, and Fig. 1 collects the per-class results they report. Glioma is the lowest-scoring class in [1], [2] and [3], which motivates checking whether predictions on this class rest on tumor evidence.</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cs="Times New Roman" w:eastAsia="Times New Roman" w:hAnsi="Times New Roman"/>
          <w:b/>
          <w:bCs/>
          <w:sz w:val="16"/>
          <w:szCs w:val="16"/>
        </w:rPr>
        <w:t xml:space="preserve">TABLE I</w:t>
      </w:r>
      <w:r>
        <w:rPr>
          <w:rFonts w:ascii="Times New Roman" w:cs="Times New Roman" w:eastAsia="Times New Roman" w:hAnsi="Times New Roman"/>
          <w:sz w:val="16"/>
          <w:szCs w:val="16"/>
        </w:rPr>
        <w:t xml:space="preserve">  SUMMARY OF THE REFERENCE WORKS AND THEIR RELATION TO THE PROPOSED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350"/>
        <w:gridCol w:w="2056"/>
        <w:gridCol w:w="2040"/>
      </w:tblGrid>
      <w:tr>
        <w:trPr>
          <w:tblHeader/>
        </w:trPr>
        <w:tc>
          <w:tcPr>
            <w:tcW w:type="dxa" w:w="8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Ref.</w:t>
            </w:r>
          </w:p>
        </w:tc>
        <w:tc>
          <w:tcPr>
            <w:tcW w:type="dxa" w:w="25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Task and method</w:t>
            </w:r>
          </w:p>
        </w:tc>
        <w:tc>
          <w:tcPr>
            <w:tcW w:type="dxa" w:w="235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Data</w:t>
            </w:r>
          </w:p>
        </w:tc>
        <w:tc>
          <w:tcPr>
            <w:tcW w:type="dxa" w:w="2056"/>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Headline result reported</w:t>
            </w:r>
          </w:p>
        </w:tc>
        <w:tc>
          <w:tcPr>
            <w:tcW w:type="dxa" w:w="204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Relation to TGRL</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[1] Sultan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Multiclass classification; custom 16-layer CNN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 233 patients); REMBRANDT glioma grades (516 slices, 73 patients)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96.13% accuracy (tumor type); 98.7% (glioma grade)</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Image-level classification with no explicit link to the tumor region</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[2] Almufareh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Detection and segmentation; YOLOv5 / YOLOv7</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mAP@0.5 of 0.947 (YOLOv5) and 0.940 (YOLOv7), box</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Localization, used here as a supporting concept</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[3] Tiwary et al.</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Segmentation; EfficientNet-B6 encoder with U-Net decoder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Figshare CE-MRI (3,064 slices)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Accuracy 0.9925; Dice 96.4 / 83.2 / 94.4% (men. / gli. / pit.)</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Basis for the shared encoder and the tumor map M</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[4] Hassan and Boulila</w:t>
            </w:r>
          </w:p>
        </w:tc>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Tumor extraction by fuzzy thresholding, then 4-class CNN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Three public Kaggle MRI datasets (more than 23,000 images)</w:t>
            </w:r>
          </w:p>
        </w:tc>
        <w:tc>
          <w:tcPr>
            <w:tcW w:type="dxa" w:w="20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98% accuracy; Dice 97.97%</w:t>
            </w:r>
          </w:p>
        </w:tc>
        <w:tc>
          <w:tcPr>
            <w:tcW w:type="dxa" w:w="2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Extraction is decoupled from the classifier’s decision</w:t>
            </w:r>
          </w:p>
        </w:tc>
      </w:tr>
    </w:tbl>
    <w:p>
      <w:pPr>
        <w:spacing w:after="120"/>
      </w:pPr>
    </w:p>
    <w:p>
      <w:pPr>
        <w:sectPr>
          <w:type w:val="continuous"/>
          <w:pgSz w:w="11906" w:h="16838" w:orient="portrait"/>
          <w:pgMar w:top="1080" w:right="1080" w:bottom="1080" w:left="1080" w:header="708" w:footer="708" w:gutter="0"/>
          <w:pgNumType/>
          <w:docGrid w:linePitch="360"/>
        </w:sectPr>
      </w:pPr>
    </w:p>
    <w:p>
      <w:pPr>
        <w:keepNext/>
        <w:spacing w:after="40" w:before="80"/>
        <w:jc w:val="center"/>
      </w:pPr>
      <w:r>
        <w:drawing>
          <wp:inline distT="0" distB="0" distL="0" distR="0">
            <wp:extent cx="6191250" cy="2152650"/>
            <wp:effectExtent t="0" r="0" b="0" l="0"/>
            <wp:docPr id="1" name="reported" descr="Per-class results as reported in the reference works: (a) per-class accuracy of the 16-layer CNN of Sultan et al. [1]; (b) per-class Dice of the EfficientNet-B6 U-Net of Tiwary et al. [3]; (c) box mAP@0.5 of YOLOv5 and YOLOv7 of Almufareh et al. [2]. All three use the Figshare CE-MRI dataset, but the metrics differ and the bars are not directly comparable across panel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152650"/>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Per-class results as reported in the reference works: (a) per-class accuracy of the 16-layer CNN of Sultan et al. [1]; (b) per-class Dice of the EfficientNet-B6 U-Net of Tiwary et al. [3]; (c) box mAP@0.5 of YOLOv5 and YOLOv7 of Almufareh et al. [2]. All three use the Figshare CE-MRI dataset, but the metrics differ and the bars are not directly comparable across panels.</w:t>
      </w:r>
    </w:p>
    <w:p>
      <w:pPr>
        <w:sectPr>
          <w:type w:val="continuous"/>
          <w:pgSz w:w="11906" w:h="16838" w:orient="portrait"/>
          <w:pgMar w:top="1080" w:right="1080" w:bottom="1080" w:left="1080" w:header="708" w:footer="708" w:gutter="0"/>
          <w:pgNumType/>
          <w:docGrid w:linePitch="360"/>
        </w:sectPr>
      </w:pPr>
    </w:p>
    <w:p>
      <w:pPr>
        <w:spacing w:after="70" w:line="235"/>
        <w:jc w:val="both"/>
      </w:pPr>
      <w:r>
        <w:rPr>
          <w:rFonts w:ascii="Times New Roman" w:cs="Times New Roman" w:eastAsia="Times New Roman" w:hAnsi="Times New Roman"/>
          <w:sz w:val="19"/>
          <w:szCs w:val="19"/>
        </w:rPr>
        <w:t xml:space="preserve">The proposed work therefore focuses on two related questions:</w:t>
      </w:r>
    </w:p>
    <w:p>
      <w:pPr>
        <w:pStyle w:val="ListParagraph"/>
        <w:numPr>
          <w:ilvl w:val="0"/>
          <w:numId w:val="3"/>
        </w:numPr>
        <w:spacing w:after="40" w:line="235"/>
        <w:jc w:val="both"/>
      </w:pPr>
      <w:r>
        <w:rPr>
          <w:rFonts w:ascii="Times New Roman" w:cs="Times New Roman" w:eastAsia="Times New Roman" w:hAnsi="Times New Roman"/>
          <w:sz w:val="19"/>
          <w:szCs w:val="19"/>
        </w:rPr>
        <w:t xml:space="preserve">Does the classification remain consistent when the model is given a tumor-focused representation?</w:t>
      </w:r>
    </w:p>
    <w:p>
      <w:pPr>
        <w:pStyle w:val="ListParagraph"/>
        <w:numPr>
          <w:ilvl w:val="0"/>
          <w:numId w:val="3"/>
        </w:numPr>
        <w:spacing w:after="40" w:line="235"/>
        <w:jc w:val="both"/>
      </w:pPr>
      <w:r>
        <w:rPr>
          <w:rFonts w:ascii="Times New Roman" w:cs="Times New Roman" w:eastAsia="Times New Roman" w:hAnsi="Times New Roman"/>
          <w:sz w:val="19"/>
          <w:szCs w:val="19"/>
        </w:rPr>
        <w:t xml:space="preserve">Does the classification confidence change when the predicted tumor region is removed?</w:t>
      </w:r>
    </w:p>
    <w:p>
      <w:pPr>
        <w:spacing w:after="70" w:line="235"/>
        <w:jc w:val="both"/>
      </w:pPr>
      <w:r>
        <w:rPr>
          <w:rFonts w:ascii="Times New Roman" w:cs="Times New Roman" w:eastAsia="Times New Roman" w:hAnsi="Times New Roman"/>
          <w:sz w:val="19"/>
          <w:szCs w:val="19"/>
        </w:rPr>
        <w:t xml:space="preserve">These questions form the basis of the proposed Tumor-Grounded Reliability Learning framework.</w:t>
      </w:r>
    </w:p>
    <w:p>
      <w:pPr>
        <w:pStyle w:val="Heading1"/>
        <w:keepNext/>
        <w:spacing w:after="70" w:before="140"/>
        <w:jc w:val="center"/>
      </w:pPr>
      <w:r>
        <w:rPr>
          <w:rFonts w:ascii="Times New Roman" w:cs="Times New Roman" w:eastAsia="Times New Roman" w:hAnsi="Times New Roman"/>
          <w:smallCaps w:val="false"/>
          <w:sz w:val="17"/>
          <w:szCs w:val="17"/>
        </w:rPr>
        <w:t xml:space="preserve">III. PROPOSED FRAMEWORK</w:t>
      </w:r>
    </w:p>
    <w:p>
      <w:pPr>
        <w:pStyle w:val="Heading2"/>
        <w:keepNext/>
        <w:spacing w:after="50" w:before="90"/>
      </w:pPr>
      <w:r>
        <w:rPr>
          <w:rFonts w:ascii="Times New Roman" w:cs="Times New Roman" w:eastAsia="Times New Roman" w:hAnsi="Times New Roman"/>
          <w:i/>
          <w:iCs/>
          <w:sz w:val="19"/>
          <w:szCs w:val="19"/>
        </w:rPr>
        <w:t xml:space="preserve">A. Overview</w:t>
      </w:r>
    </w:p>
    <w:p>
      <w:pPr>
        <w:spacing w:after="70" w:line="235"/>
        <w:jc w:val="both"/>
      </w:pPr>
      <w:r>
        <w:rPr>
          <w:rFonts w:ascii="Times New Roman" w:cs="Times New Roman" w:eastAsia="Times New Roman" w:hAnsi="Times New Roman"/>
          <w:sz w:val="19"/>
          <w:szCs w:val="19"/>
        </w:rPr>
        <w:t xml:space="preserve">The proposed Tumor-Grounded Reliability Learning (TGRL) framework connects tumor segmentation and classification. The framework consists of four main stages (Fig. 2):</w:t>
      </w:r>
    </w:p>
    <w:p>
      <w:pPr>
        <w:pStyle w:val="ListParagraph"/>
        <w:numPr>
          <w:ilvl w:val="0"/>
          <w:numId w:val="4"/>
        </w:numPr>
        <w:spacing w:after="40" w:line="235"/>
        <w:jc w:val="both"/>
      </w:pPr>
      <w:r>
        <w:rPr>
          <w:rFonts w:ascii="Times New Roman" w:cs="Times New Roman" w:eastAsia="Times New Roman" w:hAnsi="Times New Roman"/>
          <w:sz w:val="19"/>
          <w:szCs w:val="19"/>
        </w:rPr>
        <w:t xml:space="preserve">MRI preprocessing and feature extraction;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tumor segmentation;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tumor-grounded classification;</w:t>
      </w:r>
    </w:p>
    <w:p>
      <w:pPr>
        <w:pStyle w:val="ListParagraph"/>
        <w:numPr>
          <w:ilvl w:val="0"/>
          <w:numId w:val="4"/>
        </w:numPr>
        <w:spacing w:after="40" w:line="235"/>
        <w:jc w:val="both"/>
      </w:pPr>
      <w:r>
        <w:rPr>
          <w:rFonts w:ascii="Times New Roman" w:cs="Times New Roman" w:eastAsia="Times New Roman" w:hAnsi="Times New Roman"/>
          <w:sz w:val="19"/>
          <w:szCs w:val="19"/>
        </w:rPr>
        <w:t xml:space="preserve">reliability and counterfactual analysis.</w:t>
      </w:r>
    </w:p>
    <w:p>
      <w:pPr>
        <w:spacing w:after="70" w:line="235"/>
        <w:jc w:val="both"/>
      </w:pPr>
      <w:r>
        <w:rPr>
          <w:rFonts w:ascii="Times New Roman" w:cs="Times New Roman" w:eastAsia="Times New Roman" w:hAnsi="Times New Roman"/>
          <w:sz w:val="19"/>
          <w:szCs w:val="19"/>
        </w:rPr>
        <w:t xml:space="preserve">The main idea is to use the predicted tumor region not only as a segmentation output, but also as an explicit source of information for classification.</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2333625"/>
            <wp:effectExtent t="0" r="0" b="0" l="0"/>
            <wp:docPr id="1" name="overview" descr="Overview of the Tumor-Grounded Reliability Learning (TGRL) framework. The predicted tumor map M is reused as input to classification, as a consistency target, and as the basis of the counterfactual tumor-removal test; calibrated confidence then drives selective predi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3362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Overview of the Tumor-Grounded Reliability Learning (TGRL) framework. The predicted tumor map M is reused as input to classification, as a consistency target, and as the basis of the counterfactual tumor-removal test; calibrated confidence then drives selective prediction.</w:t>
      </w:r>
    </w:p>
    <w:p>
      <w:pPr>
        <w:sectPr>
          <w:type w:val="continuous"/>
          <w:pgSz w:w="11906" w:h="16838" w:orient="portrait"/>
          <w:pgMar w:top="1080" w:right="1080" w:bottom="1080" w:left="1080" w:header="708" w:footer="708" w:gutter="0"/>
          <w:pgNumType/>
          <w:docGrid w:linePitch="360"/>
        </w:sectPr>
      </w:pPr>
    </w:p>
    <w:p>
      <w:pPr>
        <w:pStyle w:val="Heading2"/>
        <w:keepNext/>
        <w:spacing w:after="50" w:before="90"/>
      </w:pPr>
      <w:r>
        <w:rPr>
          <w:rFonts w:ascii="Times New Roman" w:cs="Times New Roman" w:eastAsia="Times New Roman" w:hAnsi="Times New Roman"/>
          <w:i/>
          <w:iCs/>
          <w:sz w:val="19"/>
          <w:szCs w:val="19"/>
        </w:rPr>
        <w:t xml:space="preserve">B. MRI Preprocessing</w:t>
      </w:r>
    </w:p>
    <w:p>
      <w:pPr>
        <w:spacing w:after="70" w:line="235"/>
        <w:jc w:val="both"/>
      </w:pPr>
      <w:r>
        <w:rPr>
          <w:rFonts w:ascii="Times New Roman" w:cs="Times New Roman" w:eastAsia="Times New Roman" w:hAnsi="Times New Roman"/>
          <w:sz w:val="19"/>
          <w:szCs w:val="19"/>
        </w:rPr>
        <w:t xml:space="preserve">MRI images are standardized before being provided to the neural network. The preprocessing stage can include image resizing and intensity normalization. Data augmentation is applied only to the training set.</w:t>
      </w:r>
    </w:p>
    <w:p>
      <w:pPr>
        <w:spacing w:after="70" w:line="235"/>
        <w:jc w:val="both"/>
      </w:pPr>
      <w:r>
        <w:rPr>
          <w:rFonts w:ascii="Times New Roman" w:cs="Times New Roman" w:eastAsia="Times New Roman" w:hAnsi="Times New Roman"/>
          <w:sz w:val="19"/>
          <w:szCs w:val="19"/>
        </w:rPr>
        <w:t xml:space="preserve">The same preprocessing procedure is maintained across experiments so that the comparison between models remains consistent.</w:t>
      </w:r>
    </w:p>
    <w:p>
      <w:pPr>
        <w:pStyle w:val="Heading2"/>
        <w:keepNext/>
        <w:spacing w:after="50" w:before="90"/>
      </w:pPr>
      <w:r>
        <w:rPr>
          <w:rFonts w:ascii="Times New Roman" w:cs="Times New Roman" w:eastAsia="Times New Roman" w:hAnsi="Times New Roman"/>
          <w:i/>
          <w:iCs/>
          <w:sz w:val="19"/>
          <w:szCs w:val="19"/>
        </w:rPr>
        <w:t xml:space="preserve">C. Feature Extraction</w:t>
      </w:r>
    </w:p>
    <w:p>
      <w:pPr>
        <w:spacing w:after="70" w:line="235"/>
        <w:jc w:val="both"/>
      </w:pPr>
      <w:r>
        <w:rPr>
          <w:rFonts w:ascii="Times New Roman" w:cs="Times New Roman" w:eastAsia="Times New Roman" w:hAnsi="Times New Roman"/>
          <w:sz w:val="19"/>
          <w:szCs w:val="19"/>
        </w:rPr>
        <w:t xml:space="preserve">An EfficientNet-based encoder is considered as the primary feature extractor. The encoder learns hierarchical representations from the MRI input.</w:t>
      </w:r>
    </w:p>
    <w:p>
      <w:pPr>
        <w:spacing w:after="70" w:line="235"/>
        <w:jc w:val="both"/>
      </w:pPr>
      <w:r>
        <w:rPr>
          <w:rFonts w:ascii="Times New Roman" w:cs="Times New Roman" w:eastAsia="Times New Roman" w:hAnsi="Times New Roman"/>
          <w:sz w:val="19"/>
          <w:szCs w:val="19"/>
        </w:rPr>
        <w:t xml:space="preserve">The extracted features are provided to the segmentation and classification components. This allows the segmentation task to provide spatial information that can subsequently support classification. Fig. 3 shows this shared-encoder design; the encoder–decoder layout follows the EfficientNet-enhanced U-Net of [3].</w:t>
      </w:r>
    </w:p>
    <w:p>
      <w:pPr>
        <w:pStyle w:val="Heading2"/>
        <w:keepNext/>
        <w:spacing w:after="50" w:before="90"/>
      </w:pPr>
      <w:r>
        <w:rPr>
          <w:rFonts w:ascii="Times New Roman" w:cs="Times New Roman" w:eastAsia="Times New Roman" w:hAnsi="Times New Roman"/>
          <w:i/>
          <w:iCs/>
          <w:sz w:val="19"/>
          <w:szCs w:val="19"/>
        </w:rPr>
        <w:t xml:space="preserve">D. Tumor Segmentation</w:t>
      </w:r>
    </w:p>
    <w:p>
      <w:pPr>
        <w:spacing w:after="70" w:line="235"/>
        <w:jc w:val="both"/>
      </w:pPr>
      <w:r>
        <w:rPr>
          <w:rFonts w:ascii="Times New Roman" w:cs="Times New Roman" w:eastAsia="Times New Roman" w:hAnsi="Times New Roman"/>
          <w:sz w:val="19"/>
          <w:szCs w:val="19"/>
        </w:rPr>
        <w:t xml:space="preserve">The segmentation component predicts a tumor probability map from the encoded MRI features.</w:t>
      </w:r>
    </w:p>
    <w:p>
      <w:pPr>
        <w:spacing w:after="70" w:line="235"/>
        <w:jc w:val="both"/>
      </w:pPr>
      <w:r>
        <w:rPr>
          <w:rFonts w:ascii="Times New Roman" w:cs="Times New Roman" w:eastAsia="Times New Roman" w:hAnsi="Times New Roman"/>
          <w:sz w:val="19"/>
          <w:szCs w:val="19"/>
        </w:rPr>
        <w:t xml:space="preserve">Let X represent the MRI input and M represent the predicted tumor probability map. The segmentation function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M = S(X)</m:t>
        </m:r>
      </m:oMath>
      <w:r>
        <w:rPr>
          <w:rFonts w:ascii="Times New Roman" w:cs="Times New Roman" w:eastAsia="Times New Roman" w:hAnsi="Times New Roman"/>
          <w:sz w:val="19"/>
          <w:szCs w:val="19"/>
        </w:rPr>
        <w:t xml:space="preserve">	(1)</w:t>
      </w:r>
    </w:p>
    <w:p>
      <w:pPr>
        <w:spacing w:after="70" w:line="235"/>
        <w:jc w:val="both"/>
      </w:pPr>
      <w:r>
        <w:rPr>
          <w:rFonts w:ascii="Times New Roman" w:cs="Times New Roman" w:eastAsia="Times New Roman" w:hAnsi="Times New Roman"/>
          <w:sz w:val="19"/>
          <w:szCs w:val="19"/>
        </w:rPr>
        <w:t xml:space="preserve">A tumor mask can then be obtained from the probability map using an appropriate threshold.</w:t>
      </w:r>
    </w:p>
    <w:p>
      <w:pPr>
        <w:spacing w:after="70" w:line="235"/>
        <w:jc w:val="both"/>
      </w:pPr>
      <w:r>
        <w:rPr>
          <w:rFonts w:ascii="Times New Roman" w:cs="Times New Roman" w:eastAsia="Times New Roman" w:hAnsi="Times New Roman"/>
          <w:sz w:val="19"/>
          <w:szCs w:val="19"/>
        </w:rPr>
        <w:t xml:space="preserve">The segmentation loss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seg</m:t>
            </m:r>
          </m:sub>
        </m:sSub>
        <m:r>
          <m:t> = </m:t>
        </m:r>
        <m:sSub>
          <m:sSubPr/>
          <m:e>
            <m:r>
              <m:t>L</m:t>
            </m:r>
          </m:e>
          <m:sub>
            <m:r>
              <m:t>Dice</m:t>
            </m:r>
          </m:sub>
        </m:sSub>
        <m:r>
          <m:t> + </m:t>
        </m:r>
        <m:sSub>
          <m:sSubPr/>
          <m:e>
            <m:r>
              <m:t>L</m:t>
            </m:r>
          </m:e>
          <m:sub>
            <m:r>
              <m:t>BCE</m:t>
            </m:r>
          </m:sub>
        </m:sSub>
      </m:oMath>
      <w:r>
        <w:rPr>
          <w:rFonts w:ascii="Times New Roman" w:cs="Times New Roman" w:eastAsia="Times New Roman" w:hAnsi="Times New Roman"/>
          <w:sz w:val="19"/>
          <w:szCs w:val="19"/>
        </w:rPr>
        <w:t xml:space="preserve">	(2)</w:t>
      </w:r>
    </w:p>
    <w:p>
      <w:pPr>
        <w:spacing w:after="70" w:line="235"/>
        <w:jc w:val="both"/>
      </w:pPr>
      <w:r>
        <w:rPr>
          <w:rFonts w:ascii="Times New Roman" w:cs="Times New Roman" w:eastAsia="Times New Roman" w:hAnsi="Times New Roman"/>
          <w:sz w:val="19"/>
          <w:szCs w:val="19"/>
        </w:rPr>
        <w:t xml:space="preserve">where L</w:t>
      </w:r>
      <w:r>
        <w:rPr>
          <w:rFonts w:ascii="Times New Roman" w:cs="Times New Roman" w:eastAsia="Times New Roman" w:hAnsi="Times New Roman"/>
          <w:sz w:val="19"/>
          <w:szCs w:val="19"/>
          <w:vertAlign w:val="subscript"/>
        </w:rPr>
        <w:t xml:space="preserve">Dice</w:t>
      </w:r>
      <w:r>
        <w:rPr>
          <w:rFonts w:ascii="Times New Roman" w:cs="Times New Roman" w:eastAsia="Times New Roman" w:hAnsi="Times New Roman"/>
          <w:sz w:val="19"/>
          <w:szCs w:val="19"/>
        </w:rPr>
        <w:t xml:space="preserve"> represents Dice loss and L</w:t>
      </w:r>
      <w:r>
        <w:rPr>
          <w:rFonts w:ascii="Times New Roman" w:cs="Times New Roman" w:eastAsia="Times New Roman" w:hAnsi="Times New Roman"/>
          <w:sz w:val="19"/>
          <w:szCs w:val="19"/>
          <w:vertAlign w:val="subscript"/>
        </w:rPr>
        <w:t xml:space="preserve">BCE</w:t>
      </w:r>
      <w:r>
        <w:rPr>
          <w:rFonts w:ascii="Times New Roman" w:cs="Times New Roman" w:eastAsia="Times New Roman" w:hAnsi="Times New Roman"/>
          <w:sz w:val="19"/>
          <w:szCs w:val="19"/>
        </w:rPr>
        <w:t xml:space="preserve"> represents binary cross-entropy loss.</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2743200"/>
            <wp:effectExtent t="0" r="0" b="0" l="0"/>
            <wp:docPr id="1" name="arch" descr="Shared-encoder architecture of TGRL. An EfficientNet encoder F feeds a U-Net decoder S that produces the tumor map M (trained with L_{seg}) and, from the bottleneck, a classification head C that produces class probabilities p (trained with L_{cls}). Dashed lines are skip connections. Layout adapted from the EfficientNet-UNet design of [3]."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743200"/>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Shared-encoder architecture of TGRL. An EfficientNet encoder F feeds a U-Net decoder S that produces the tumor map M (trained with 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and, from the bottleneck, a classification head C that produces class probabilities p (trained with 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Dashed lines are skip connections. Layout adapted from the EfficientNet-UNet design of [3].</w:t>
      </w:r>
    </w:p>
    <w:p>
      <w:pPr>
        <w:sectPr>
          <w:type w:val="continuous"/>
          <w:pgSz w:w="11906" w:h="16838" w:orient="portrait"/>
          <w:pgMar w:top="1080" w:right="1080" w:bottom="1080" w:left="1080" w:header="708" w:footer="708" w:gutter="0"/>
          <w:pgNumType/>
          <w:docGrid w:linePitch="360"/>
        </w:sectPr>
      </w:pPr>
    </w:p>
    <w:p>
      <w:pPr>
        <w:pStyle w:val="Heading2"/>
        <w:keepNext/>
        <w:spacing w:after="50" w:before="90"/>
      </w:pPr>
      <w:r>
        <w:rPr>
          <w:rFonts w:ascii="Times New Roman" w:cs="Times New Roman" w:eastAsia="Times New Roman" w:hAnsi="Times New Roman"/>
          <w:i/>
          <w:iCs/>
          <w:sz w:val="19"/>
          <w:szCs w:val="19"/>
        </w:rPr>
        <w:t xml:space="preserve">E. Tumor-Focused Representation</w:t>
      </w:r>
    </w:p>
    <w:p>
      <w:pPr>
        <w:spacing w:after="70" w:line="235"/>
        <w:jc w:val="both"/>
      </w:pPr>
      <w:r>
        <w:rPr>
          <w:rFonts w:ascii="Times New Roman" w:cs="Times New Roman" w:eastAsia="Times New Roman" w:hAnsi="Times New Roman"/>
          <w:sz w:val="19"/>
          <w:szCs w:val="19"/>
        </w:rPr>
        <w:t xml:space="preserve">The predicted tumor region is used to construct a tumor-focused representation of the MRI. This is expressed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X</m:t>
            </m:r>
          </m:e>
          <m:sub>
            <m:r>
              <m:t>ROI</m:t>
            </m:r>
          </m:sub>
        </m:sSub>
        <m:r>
          <m:t> = X ⊙ M</m:t>
        </m:r>
      </m:oMath>
      <w:r>
        <w:rPr>
          <w:rFonts w:ascii="Times New Roman" w:cs="Times New Roman" w:eastAsia="Times New Roman" w:hAnsi="Times New Roman"/>
          <w:sz w:val="19"/>
          <w:szCs w:val="19"/>
        </w:rPr>
        <w:t xml:space="preserve">	(3)</w:t>
      </w:r>
    </w:p>
    <w:p>
      <w:pPr>
        <w:spacing w:after="70" w:line="235"/>
        <w:jc w:val="both"/>
      </w:pPr>
      <w:r>
        <w:rPr>
          <w:rFonts w:ascii="Times New Roman" w:cs="Times New Roman" w:eastAsia="Times New Roman" w:hAnsi="Times New Roman"/>
          <w:sz w:val="19"/>
          <w:szCs w:val="19"/>
        </w:rPr>
        <w:t xml:space="preserve">where ⊙ denotes element-wise multiplication. The resulting representation emphasizes the region identified as tumor while reducing the influence of unrelated image regions.</w:t>
      </w:r>
    </w:p>
    <w:p>
      <w:pPr>
        <w:spacing w:after="70" w:line="235"/>
        <w:jc w:val="both"/>
      </w:pPr>
      <w:r>
        <w:rPr>
          <w:rFonts w:ascii="Times New Roman" w:cs="Times New Roman" w:eastAsia="Times New Roman" w:hAnsi="Times New Roman"/>
          <w:sz w:val="19"/>
          <w:szCs w:val="19"/>
        </w:rPr>
        <w:t xml:space="preserve">The tumor-focused representation does not completely replace the original MRI. Instead, it provides another representation that allows the model to evaluate whether its classification remains consistent when attention is focused on the predicted tumor.</w:t>
      </w:r>
    </w:p>
    <w:p>
      <w:pPr>
        <w:pStyle w:val="Heading2"/>
        <w:keepNext/>
        <w:spacing w:after="50" w:before="90"/>
      </w:pPr>
      <w:r>
        <w:rPr>
          <w:rFonts w:ascii="Times New Roman" w:cs="Times New Roman" w:eastAsia="Times New Roman" w:hAnsi="Times New Roman"/>
          <w:i/>
          <w:iCs/>
          <w:sz w:val="19"/>
          <w:szCs w:val="19"/>
        </w:rPr>
        <w:t xml:space="preserve">F. Classification</w:t>
      </w:r>
    </w:p>
    <w:p>
      <w:pPr>
        <w:spacing w:after="70" w:line="235"/>
        <w:jc w:val="both"/>
      </w:pPr>
      <w:r>
        <w:rPr>
          <w:rFonts w:ascii="Times New Roman" w:cs="Times New Roman" w:eastAsia="Times New Roman" w:hAnsi="Times New Roman"/>
          <w:sz w:val="19"/>
          <w:szCs w:val="19"/>
        </w:rPr>
        <w:t xml:space="preserve">The classification network produces a probability distribution over the tumor classes. The prediction from the complete MRI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full</m:t>
            </m:r>
          </m:sub>
        </m:sSub>
        <m:r>
          <m:t> = C(F(X))</m:t>
        </m:r>
      </m:oMath>
      <w:r>
        <w:rPr>
          <w:rFonts w:ascii="Times New Roman" w:cs="Times New Roman" w:eastAsia="Times New Roman" w:hAnsi="Times New Roman"/>
          <w:sz w:val="19"/>
          <w:szCs w:val="19"/>
        </w:rPr>
        <w:t xml:space="preserve">	(4)</w:t>
      </w:r>
    </w:p>
    <w:p>
      <w:pPr>
        <w:spacing w:after="70" w:line="235"/>
        <w:jc w:val="both"/>
      </w:pPr>
      <w:r>
        <w:rPr>
          <w:rFonts w:ascii="Times New Roman" w:cs="Times New Roman" w:eastAsia="Times New Roman" w:hAnsi="Times New Roman"/>
          <w:sz w:val="19"/>
          <w:szCs w:val="19"/>
        </w:rPr>
        <w:t xml:space="preserve">where F represents feature extraction and C represents the classification function. The prediction from the tumor-focused representation is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ROI</m:t>
            </m:r>
          </m:sub>
        </m:sSub>
        <m:r>
          <m:t> = C(F(</m:t>
        </m:r>
        <m:sSub>
          <m:sSubPr/>
          <m:e>
            <m:r>
              <m:t>X</m:t>
            </m:r>
          </m:e>
          <m:sub>
            <m:r>
              <m:t>ROI</m:t>
            </m:r>
          </m:sub>
        </m:sSub>
        <m:r>
          <m:t>))</m:t>
        </m:r>
      </m:oMath>
      <w:r>
        <w:rPr>
          <w:rFonts w:ascii="Times New Roman" w:cs="Times New Roman" w:eastAsia="Times New Roman" w:hAnsi="Times New Roman"/>
          <w:sz w:val="19"/>
          <w:szCs w:val="19"/>
        </w:rPr>
        <w:t xml:space="preserve">	(5)</w:t>
      </w:r>
    </w:p>
    <w:p>
      <w:pPr>
        <w:spacing w:after="70" w:line="235"/>
        <w:jc w:val="both"/>
      </w:pPr>
      <w:r>
        <w:rPr>
          <w:rFonts w:ascii="Times New Roman" w:cs="Times New Roman" w:eastAsia="Times New Roman" w:hAnsi="Times New Roman"/>
          <w:sz w:val="19"/>
          <w:szCs w:val="19"/>
        </w:rPr>
        <w:t xml:space="preserve">The conventional classification objective is represented using cross-entropy:</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cls</m:t>
            </m:r>
          </m:sub>
        </m:sSub>
        <m:r>
          <m:t> = −</m:t>
        </m:r>
        <m:nary>
          <m:naryPr>
            <m:chr m:val="∑"/>
            <m:limLoc m:val="undOvr"/>
          </m:naryPr>
          <m:sub>
            <m:r>
              <m:t>k=1</m:t>
            </m:r>
          </m:sub>
          <m:sup>
            <m:r>
              <m:t>K</m:t>
            </m:r>
          </m:sup>
          <m:e>
            <m:sSub>
              <m:sSubPr/>
              <m:e>
                <m:r>
                  <m:t>y</m:t>
                </m:r>
              </m:e>
              <m:sub>
                <m:r>
                  <m:t>k</m:t>
                </m:r>
              </m:sub>
            </m:sSub>
            <m:r>
              <m:t> log(</m:t>
            </m:r>
            <m:sSub>
              <m:sSubPr/>
              <m:e>
                <m:r>
                  <m:t>p</m:t>
                </m:r>
              </m:e>
              <m:sub>
                <m:r>
                  <m:t>k</m:t>
                </m:r>
              </m:sub>
            </m:sSub>
            <m:r>
              <m:t>)</m:t>
            </m:r>
          </m:e>
        </m:nary>
      </m:oMath>
      <w:r>
        <w:rPr>
          <w:rFonts w:ascii="Times New Roman" w:cs="Times New Roman" w:eastAsia="Times New Roman" w:hAnsi="Times New Roman"/>
          <w:sz w:val="19"/>
          <w:szCs w:val="19"/>
        </w:rPr>
        <w:t xml:space="preserve">	(6)</w:t>
      </w:r>
    </w:p>
    <w:p>
      <w:pPr>
        <w:spacing w:after="70" w:line="235"/>
        <w:jc w:val="both"/>
      </w:pPr>
      <w:r>
        <w:rPr>
          <w:rFonts w:ascii="Times New Roman" w:cs="Times New Roman" w:eastAsia="Times New Roman" w:hAnsi="Times New Roman"/>
          <w:sz w:val="19"/>
          <w:szCs w:val="19"/>
        </w:rPr>
        <w:t xml:space="preserve">where K is the number of classes, y</w:t>
      </w:r>
      <w:r>
        <w:rPr>
          <w:rFonts w:ascii="Times New Roman" w:cs="Times New Roman" w:eastAsia="Times New Roman" w:hAnsi="Times New Roman"/>
          <w:sz w:val="19"/>
          <w:szCs w:val="19"/>
          <w:vertAlign w:val="subscript"/>
        </w:rPr>
        <w:t xml:space="preserve">k</w:t>
      </w:r>
      <w:r>
        <w:rPr>
          <w:rFonts w:ascii="Times New Roman" w:cs="Times New Roman" w:eastAsia="Times New Roman" w:hAnsi="Times New Roman"/>
          <w:sz w:val="19"/>
          <w:szCs w:val="19"/>
        </w:rPr>
        <w:t xml:space="preserve"> is the ground-truth class indicator, and p</w:t>
      </w:r>
      <w:r>
        <w:rPr>
          <w:rFonts w:ascii="Times New Roman" w:cs="Times New Roman" w:eastAsia="Times New Roman" w:hAnsi="Times New Roman"/>
          <w:sz w:val="19"/>
          <w:szCs w:val="19"/>
          <w:vertAlign w:val="subscript"/>
        </w:rPr>
        <w:t xml:space="preserve">k</w:t>
      </w:r>
      <w:r>
        <w:rPr>
          <w:rFonts w:ascii="Times New Roman" w:cs="Times New Roman" w:eastAsia="Times New Roman" w:hAnsi="Times New Roman"/>
          <w:sz w:val="19"/>
          <w:szCs w:val="19"/>
        </w:rPr>
        <w:t xml:space="preserve"> is the predicted probability for class k.</w:t>
      </w:r>
    </w:p>
    <w:p>
      <w:pPr>
        <w:keepNext/>
        <w:spacing w:after="40" w:before="100"/>
      </w:pPr>
      <w:r>
        <w:rPr>
          <w:rFonts w:ascii="Times New Roman" w:cs="Times New Roman" w:eastAsia="Times New Roman" w:hAnsi="Times New Roman"/>
          <w:b/>
          <w:bCs/>
          <w:sz w:val="16"/>
          <w:szCs w:val="16"/>
        </w:rPr>
        <w:t xml:space="preserve">Algorithm 1. </w:t>
      </w:r>
      <w:r>
        <w:rPr>
          <w:rFonts w:ascii="Times New Roman" w:cs="Times New Roman" w:eastAsia="Times New Roman" w:hAnsi="Times New Roman"/>
          <w:sz w:val="16"/>
          <w:szCs w:val="16"/>
        </w:rPr>
        <w:t xml:space="preserve">One TGRL training iteration and inference rule</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4693"/>
      </w:tblGrid>
      <w:tr>
        <w:tc>
          <w:tcPr>
            <w:tcW w:type="dxa" w:w="4693"/>
            <w:tcBorders>
              <w:top w:val="single" w:color="000000" w:sz="8"/>
              <w:left w:val="none" w:color="FFFFFF" w:sz="0"/>
              <w:bottom w:val="single" w:color="000000" w:sz="8"/>
              <w:right w:val="none" w:color="FFFFFF" w:sz="0"/>
            </w:tcBorders>
            <w:tcMar>
              <w:top w:type="dxa" w:w="50"/>
              <w:left w:type="dxa" w:w="60"/>
              <w:bottom w:type="dxa" w:w="50"/>
              <w:right w:type="dxa" w:w="60"/>
            </w:tcMar>
          </w:tcPr>
          <w:p>
            <w:pPr>
              <w:spacing w:after="30"/>
            </w:pPr>
            <w:r>
              <w:rPr>
                <w:rFonts w:ascii="Times New Roman" w:cs="Times New Roman" w:eastAsia="Times New Roman" w:hAnsi="Times New Roman"/>
                <w:i/>
                <w:iCs/>
                <w:sz w:val="16"/>
                <w:szCs w:val="16"/>
              </w:rPr>
              <w:t xml:space="preserve">Input: batch (X, y, G), where G is the ground-truth tumor mask; weights λ</w:t>
            </w:r>
            <w:r>
              <w:rPr>
                <w:rFonts w:ascii="Times New Roman" w:cs="Times New Roman" w:eastAsia="Times New Roman" w:hAnsi="Times New Roman"/>
                <w:i/>
                <w:iCs/>
                <w:sz w:val="16"/>
                <w:szCs w:val="16"/>
                <w:vertAlign w:val="subscript"/>
              </w:rPr>
              <w:t xml:space="preserve">seg</w:t>
            </w:r>
            <w:r>
              <w:rPr>
                <w:rFonts w:ascii="Times New Roman" w:cs="Times New Roman" w:eastAsia="Times New Roman" w:hAnsi="Times New Roman"/>
                <w:i/>
                <w:iCs/>
                <w:sz w:val="16"/>
                <w:szCs w:val="16"/>
              </w:rPr>
              <w:t xml:space="preserve">, λ</w:t>
            </w:r>
            <w:r>
              <w:rPr>
                <w:rFonts w:ascii="Times New Roman" w:cs="Times New Roman" w:eastAsia="Times New Roman" w:hAnsi="Times New Roman"/>
                <w:i/>
                <w:iCs/>
                <w:sz w:val="16"/>
                <w:szCs w:val="16"/>
                <w:vertAlign w:val="subscript"/>
              </w:rPr>
              <w:t xml:space="preserve">cons</w:t>
            </w:r>
            <w:r>
              <w:rPr>
                <w:rFonts w:ascii="Times New Roman" w:cs="Times New Roman" w:eastAsia="Times New Roman" w:hAnsi="Times New Roman"/>
                <w:i/>
                <w:iCs/>
                <w:sz w:val="16"/>
                <w:szCs w:val="16"/>
              </w:rPr>
              <w:t xml:space="preserve">, λ</w:t>
            </w:r>
            <w:r>
              <w:rPr>
                <w:rFonts w:ascii="Times New Roman" w:cs="Times New Roman" w:eastAsia="Times New Roman" w:hAnsi="Times New Roman"/>
                <w:i/>
                <w:iCs/>
                <w:sz w:val="16"/>
                <w:szCs w:val="16"/>
                <w:vertAlign w:val="subscript"/>
              </w:rPr>
              <w:t xml:space="preserve">cf</w:t>
            </w:r>
          </w:p>
          <w:p>
            <w:pPr>
              <w:spacing w:after="20"/>
              <w:ind w:left="300" w:hanging="300"/>
            </w:pPr>
            <w:r>
              <w:rPr>
                <w:rFonts w:ascii="Times New Roman" w:cs="Times New Roman" w:eastAsia="Times New Roman" w:hAnsi="Times New Roman"/>
                <w:b/>
                <w:bCs/>
                <w:sz w:val="16"/>
                <w:szCs w:val="16"/>
              </w:rPr>
              <w:t xml:space="preserve">1  </w:t>
            </w:r>
            <w:r>
              <w:rPr>
                <w:rFonts w:ascii="Times New Roman" w:cs="Times New Roman" w:eastAsia="Times New Roman" w:hAnsi="Times New Roman"/>
                <w:sz w:val="16"/>
                <w:szCs w:val="16"/>
              </w:rPr>
              <w:t xml:space="preserve">M ← S(X) using the shared encoder F</w:t>
            </w:r>
          </w:p>
          <w:p>
            <w:pPr>
              <w:spacing w:after="20"/>
              <w:ind w:left="300" w:hanging="300"/>
            </w:pPr>
            <w:r>
              <w:rPr>
                <w:rFonts w:ascii="Times New Roman" w:cs="Times New Roman" w:eastAsia="Times New Roman" w:hAnsi="Times New Roman"/>
                <w:b/>
                <w:bCs/>
                <w:sz w:val="16"/>
                <w:szCs w:val="16"/>
              </w:rPr>
              <w:t xml:space="preserve">2  </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 L</w:t>
            </w:r>
            <w:r>
              <w:rPr>
                <w:rFonts w:ascii="Times New Roman" w:cs="Times New Roman" w:eastAsia="Times New Roman" w:hAnsi="Times New Roman"/>
                <w:sz w:val="16"/>
                <w:szCs w:val="16"/>
                <w:vertAlign w:val="subscript"/>
              </w:rPr>
              <w:t xml:space="preserve">Dice</w:t>
            </w:r>
            <w:r>
              <w:rPr>
                <w:rFonts w:ascii="Times New Roman" w:cs="Times New Roman" w:eastAsia="Times New Roman" w:hAnsi="Times New Roman"/>
                <w:sz w:val="16"/>
                <w:szCs w:val="16"/>
              </w:rPr>
              <w:t xml:space="preserve">(M, G) + L</w:t>
            </w:r>
            <w:r>
              <w:rPr>
                <w:rFonts w:ascii="Times New Roman" w:cs="Times New Roman" w:eastAsia="Times New Roman" w:hAnsi="Times New Roman"/>
                <w:sz w:val="16"/>
                <w:szCs w:val="16"/>
                <w:vertAlign w:val="subscript"/>
              </w:rPr>
              <w:t xml:space="preserve">BCE</w:t>
            </w:r>
            <w:r>
              <w:rPr>
                <w:rFonts w:ascii="Times New Roman" w:cs="Times New Roman" w:eastAsia="Times New Roman" w:hAnsi="Times New Roman"/>
                <w:sz w:val="16"/>
                <w:szCs w:val="16"/>
              </w:rPr>
              <w:t xml:space="preserve">(M, G)</w:t>
            </w:r>
          </w:p>
          <w:p>
            <w:pPr>
              <w:spacing w:after="20"/>
              <w:ind w:left="300" w:hanging="300"/>
            </w:pPr>
            <w:r>
              <w:rPr>
                <w:rFonts w:ascii="Times New Roman" w:cs="Times New Roman" w:eastAsia="Times New Roman" w:hAnsi="Times New Roman"/>
                <w:b/>
                <w:bCs/>
                <w:sz w:val="16"/>
                <w:szCs w:val="16"/>
              </w:rPr>
              <w:t xml:space="preserve">3  </w:t>
            </w:r>
            <w:r>
              <w:rPr>
                <w:rFonts w:ascii="Times New Roman" w:cs="Times New Roman" w:eastAsia="Times New Roman" w:hAnsi="Times New Roman"/>
                <w:sz w:val="16"/>
                <w:szCs w:val="16"/>
              </w:rPr>
              <w:t xml:space="preserve">X</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 X ⊙ M;  X</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X ⊙ (1 − M)</w:t>
            </w:r>
          </w:p>
          <w:p>
            <w:pPr>
              <w:spacing w:after="20"/>
              <w:ind w:left="300" w:hanging="300"/>
            </w:pPr>
            <w:r>
              <w:rPr>
                <w:rFonts w:ascii="Times New Roman" w:cs="Times New Roman" w:eastAsia="Times New Roman" w:hAnsi="Times New Roman"/>
                <w:b/>
                <w:bCs/>
                <w:sz w:val="16"/>
                <w:szCs w:val="16"/>
              </w:rPr>
              <w:t xml:space="preserve">4  </w:t>
            </w:r>
            <w:r>
              <w:rPr>
                <w:rFonts w:ascii="Times New Roman" w:cs="Times New Roman" w:eastAsia="Times New Roman" w:hAnsi="Times New Roman"/>
                <w:sz w:val="16"/>
                <w:szCs w:val="16"/>
              </w:rPr>
              <w:t xml:space="preserve">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 C(F(X));  p</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 C(F(X</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  p</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C(F(X</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w:t>
            </w:r>
          </w:p>
          <w:p>
            <w:pPr>
              <w:spacing w:after="20"/>
              <w:ind w:left="300" w:hanging="300"/>
            </w:pPr>
            <w:r>
              <w:rPr>
                <w:rFonts w:ascii="Times New Roman" w:cs="Times New Roman" w:eastAsia="Times New Roman" w:hAnsi="Times New Roman"/>
                <w:b/>
                <w:bCs/>
                <w:sz w:val="16"/>
                <w:szCs w:val="16"/>
              </w:rPr>
              <w:t xml:space="preserve">5  </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 CrossEntropy(p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y);  L</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 ← D</w:t>
            </w:r>
            <w:r>
              <w:rPr>
                <w:rFonts w:ascii="Times New Roman" w:cs="Times New Roman" w:eastAsia="Times New Roman" w:hAnsi="Times New Roman"/>
                <w:sz w:val="16"/>
                <w:szCs w:val="16"/>
                <w:vertAlign w:val="subscript"/>
              </w:rPr>
              <w:t xml:space="preserve">KL</w:t>
            </w:r>
            <w:r>
              <w:rPr>
                <w:rFonts w:ascii="Times New Roman" w:cs="Times New Roman" w:eastAsia="Times New Roman" w:hAnsi="Times New Roman"/>
                <w:sz w:val="16"/>
                <w:szCs w:val="16"/>
              </w:rPr>
              <w:t xml:space="preserve">(p</w:t>
            </w:r>
            <w:r>
              <w:rPr>
                <w:rFonts w:ascii="Times New Roman" w:cs="Times New Roman" w:eastAsia="Times New Roman" w:hAnsi="Times New Roman"/>
                <w:sz w:val="16"/>
                <w:szCs w:val="16"/>
                <w:vertAlign w:val="subscript"/>
              </w:rPr>
              <w:t xml:space="preserve">full</w:t>
            </w:r>
            <w:r>
              <w:rPr>
                <w:rFonts w:ascii="Times New Roman" w:cs="Times New Roman" w:eastAsia="Times New Roman" w:hAnsi="Times New Roman"/>
                <w:sz w:val="16"/>
                <w:szCs w:val="16"/>
              </w:rPr>
              <w:t xml:space="preserve"> ∥ p</w:t>
            </w:r>
            <w:r>
              <w:rPr>
                <w:rFonts w:ascii="Times New Roman" w:cs="Times New Roman" w:eastAsia="Times New Roman" w:hAnsi="Times New Roman"/>
                <w:sz w:val="16"/>
                <w:szCs w:val="16"/>
                <w:vertAlign w:val="subscript"/>
              </w:rPr>
              <w:t xml:space="preserve">ROI</w:t>
            </w:r>
            <w:r>
              <w:rPr>
                <w:rFonts w:ascii="Times New Roman" w:cs="Times New Roman" w:eastAsia="Times New Roman" w:hAnsi="Times New Roman"/>
                <w:sz w:val="16"/>
                <w:szCs w:val="16"/>
              </w:rPr>
              <w:t xml:space="preserve">)</w:t>
            </w:r>
          </w:p>
          <w:p>
            <w:pPr>
              <w:spacing w:after="20"/>
              <w:ind w:left="300" w:hanging="300"/>
            </w:pPr>
            <w:r>
              <w:rPr>
                <w:rFonts w:ascii="Times New Roman" w:cs="Times New Roman" w:eastAsia="Times New Roman" w:hAnsi="Times New Roman"/>
                <w:b/>
                <w:bCs/>
                <w:sz w:val="16"/>
                <w:szCs w:val="16"/>
              </w:rPr>
              <w:t xml:space="preserve">6  </w:t>
            </w:r>
            <w:r>
              <w:rPr>
                <w:rFonts w:ascii="Times New Roman" w:cs="Times New Roman" w:eastAsia="Times New Roman" w:hAnsi="Times New Roman"/>
                <w:sz w:val="16"/>
                <w:szCs w:val="16"/>
              </w:rPr>
              <w:t xml:space="preserve">Δp ← p</w:t>
            </w:r>
            <w:r>
              <w:rPr>
                <w:rFonts w:ascii="Times New Roman" w:cs="Times New Roman" w:eastAsia="Times New Roman" w:hAnsi="Times New Roman"/>
                <w:sz w:val="16"/>
                <w:szCs w:val="16"/>
                <w:vertAlign w:val="subscript"/>
              </w:rPr>
              <w:t xml:space="preserve">original</w:t>
            </w:r>
            <w:r>
              <w:rPr>
                <w:rFonts w:ascii="Times New Roman" w:cs="Times New Roman" w:eastAsia="Times New Roman" w:hAnsi="Times New Roman"/>
                <w:sz w:val="16"/>
                <w:szCs w:val="16"/>
              </w:rPr>
              <w:t xml:space="preserve"> − p</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L</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 counterfactual term of Eq. (11)</w:t>
            </w:r>
          </w:p>
          <w:p>
            <w:pPr>
              <w:spacing w:after="20"/>
              <w:ind w:left="300" w:hanging="300"/>
            </w:pPr>
            <w:r>
              <w:rPr>
                <w:rFonts w:ascii="Times New Roman" w:cs="Times New Roman" w:eastAsia="Times New Roman" w:hAnsi="Times New Roman"/>
                <w:b/>
                <w:bCs/>
                <w:sz w:val="16"/>
                <w:szCs w:val="16"/>
              </w:rPr>
              <w:t xml:space="preserve">7  </w:t>
            </w:r>
            <w:r>
              <w:rPr>
                <w:rFonts w:ascii="Times New Roman" w:cs="Times New Roman" w:eastAsia="Times New Roman" w:hAnsi="Times New Roman"/>
                <w:sz w:val="16"/>
                <w:szCs w:val="16"/>
              </w:rPr>
              <w:t xml:space="preserve">L ← L</w:t>
            </w:r>
            <w:r>
              <w:rPr>
                <w:rFonts w:ascii="Times New Roman" w:cs="Times New Roman" w:eastAsia="Times New Roman" w:hAnsi="Times New Roman"/>
                <w:sz w:val="16"/>
                <w:szCs w:val="16"/>
                <w:vertAlign w:val="subscript"/>
              </w:rPr>
              <w:t xml:space="preserve">cls</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seg</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cons</w:t>
            </w:r>
            <w:r>
              <w:rPr>
                <w:rFonts w:ascii="Times New Roman" w:cs="Times New Roman" w:eastAsia="Times New Roman" w:hAnsi="Times New Roman"/>
                <w:sz w:val="16"/>
                <w:szCs w:val="16"/>
              </w:rPr>
              <w:t xml:space="preserve"> + λ</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L</w:t>
            </w:r>
            <w:r>
              <w:rPr>
                <w:rFonts w:ascii="Times New Roman" w:cs="Times New Roman" w:eastAsia="Times New Roman" w:hAnsi="Times New Roman"/>
                <w:sz w:val="16"/>
                <w:szCs w:val="16"/>
                <w:vertAlign w:val="subscript"/>
              </w:rPr>
              <w:t xml:space="preserve">cf</w:t>
            </w:r>
            <w:r>
              <w:rPr>
                <w:rFonts w:ascii="Times New Roman" w:cs="Times New Roman" w:eastAsia="Times New Roman" w:hAnsi="Times New Roman"/>
                <w:sz w:val="16"/>
                <w:szCs w:val="16"/>
              </w:rPr>
              <w:t xml:space="preserve">;  update parameters</w:t>
            </w:r>
          </w:p>
          <w:p>
            <w:pPr>
              <w:spacing w:after="20"/>
              <w:ind w:left="300" w:hanging="300"/>
            </w:pPr>
            <w:r>
              <w:rPr>
                <w:rFonts w:ascii="Times New Roman" w:cs="Times New Roman" w:eastAsia="Times New Roman" w:hAnsi="Times New Roman"/>
                <w:b/>
                <w:bCs/>
                <w:sz w:val="16"/>
                <w:szCs w:val="16"/>
              </w:rPr>
              <w:t xml:space="preserve">8  </w:t>
            </w:r>
            <w:r>
              <w:rPr>
                <w:rFonts w:ascii="Times New Roman" w:cs="Times New Roman" w:eastAsia="Times New Roman" w:hAnsi="Times New Roman"/>
                <w:sz w:val="16"/>
                <w:szCs w:val="16"/>
              </w:rPr>
              <w:t xml:space="preserve">After training: fit T on validation logits and choose τ; at inference return the prediction if c ≥ τ, otherwise “Review Required”</w:t>
            </w:r>
          </w:p>
        </w:tc>
      </w:tr>
    </w:tbl>
    <w:p>
      <w:pPr>
        <w:spacing w:after="100"/>
      </w:pPr>
    </w:p>
    <w:p>
      <w:pPr>
        <w:pStyle w:val="Heading1"/>
        <w:keepNext/>
        <w:spacing w:after="70" w:before="140"/>
        <w:jc w:val="center"/>
      </w:pPr>
      <w:r>
        <w:rPr>
          <w:rFonts w:ascii="Times New Roman" w:cs="Times New Roman" w:eastAsia="Times New Roman" w:hAnsi="Times New Roman"/>
          <w:smallCaps w:val="false"/>
          <w:sz w:val="17"/>
          <w:szCs w:val="17"/>
        </w:rPr>
        <w:t xml:space="preserve">IV. TUMOR-GROUNDED CONSISTENCY</w:t>
      </w:r>
    </w:p>
    <w:p>
      <w:pPr>
        <w:spacing w:after="70" w:line="235"/>
        <w:jc w:val="both"/>
      </w:pPr>
      <w:r>
        <w:rPr>
          <w:rFonts w:ascii="Times New Roman" w:cs="Times New Roman" w:eastAsia="Times New Roman" w:hAnsi="Times New Roman"/>
          <w:sz w:val="19"/>
          <w:szCs w:val="19"/>
        </w:rPr>
        <w:t xml:space="preserve">The central learning component of the proposed framework is Tumor-Grounded Consistency (TGC).</w:t>
      </w:r>
    </w:p>
    <w:p>
      <w:pPr>
        <w:spacing w:after="70" w:line="235"/>
        <w:jc w:val="both"/>
      </w:pPr>
      <w:r>
        <w:rPr>
          <w:rFonts w:ascii="Times New Roman" w:cs="Times New Roman" w:eastAsia="Times New Roman" w:hAnsi="Times New Roman"/>
          <w:sz w:val="19"/>
          <w:szCs w:val="19"/>
        </w:rPr>
        <w:t xml:space="preserve">The idea is that if the classifier learns meaningful tumor-related features, its prediction from the complete MRI should remain reasonably consistent with its prediction from the tumor-focused representation.</w:t>
      </w:r>
    </w:p>
    <w:p>
      <w:pPr>
        <w:spacing w:after="70" w:line="235"/>
        <w:jc w:val="both"/>
      </w:pPr>
      <w:r>
        <w:rPr>
          <w:rFonts w:ascii="Times New Roman" w:cs="Times New Roman" w:eastAsia="Times New Roman" w:hAnsi="Times New Roman"/>
          <w:sz w:val="19"/>
          <w:szCs w:val="19"/>
        </w:rPr>
        <w:t xml:space="preserve">The consistency loss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L</m:t>
            </m:r>
          </m:e>
          <m:sub>
            <m:r>
              <m:t>cons</m:t>
            </m:r>
          </m:sub>
        </m:sSub>
        <m:r>
          <m:t> = </m:t>
        </m:r>
        <m:sSub>
          <m:sSubPr/>
          <m:e>
            <m:r>
              <m:t>D</m:t>
            </m:r>
          </m:e>
          <m:sub>
            <m:r>
              <m:t>KL</m:t>
            </m:r>
          </m:sub>
        </m:sSub>
        <m:r>
          <m:t>(</m:t>
        </m:r>
        <m:sSub>
          <m:sSubPr/>
          <m:e>
            <m:r>
              <m:t>p</m:t>
            </m:r>
          </m:e>
          <m:sub>
            <m:r>
              <m:t>full</m:t>
            </m:r>
          </m:sub>
        </m:sSub>
        <m:r>
          <m:t> ∥ </m:t>
        </m:r>
        <m:sSub>
          <m:sSubPr/>
          <m:e>
            <m:r>
              <m:t>p</m:t>
            </m:r>
          </m:e>
          <m:sub>
            <m:r>
              <m:t>ROI</m:t>
            </m:r>
          </m:sub>
        </m:sSub>
        <m:r>
          <m:t>)</m:t>
        </m:r>
      </m:oMath>
      <w:r>
        <w:rPr>
          <w:rFonts w:ascii="Times New Roman" w:cs="Times New Roman" w:eastAsia="Times New Roman" w:hAnsi="Times New Roman"/>
          <w:sz w:val="19"/>
          <w:szCs w:val="19"/>
        </w:rPr>
        <w:t xml:space="preserve">	(7)</w:t>
      </w:r>
    </w:p>
    <w:p>
      <w:pPr>
        <w:spacing w:after="70" w:line="235"/>
        <w:jc w:val="both"/>
      </w:pPr>
      <w:r>
        <w:rPr>
          <w:rFonts w:ascii="Times New Roman" w:cs="Times New Roman" w:eastAsia="Times New Roman" w:hAnsi="Times New Roman"/>
          <w:sz w:val="19"/>
          <w:szCs w:val="19"/>
        </w:rPr>
        <w:t xml:space="preserve">where D</w:t>
      </w:r>
      <w:r>
        <w:rPr>
          <w:rFonts w:ascii="Times New Roman" w:cs="Times New Roman" w:eastAsia="Times New Roman" w:hAnsi="Times New Roman"/>
          <w:sz w:val="19"/>
          <w:szCs w:val="19"/>
          <w:vertAlign w:val="subscript"/>
        </w:rPr>
        <w:t xml:space="preserve">KL</w:t>
      </w:r>
      <w:r>
        <w:rPr>
          <w:rFonts w:ascii="Times New Roman" w:cs="Times New Roman" w:eastAsia="Times New Roman" w:hAnsi="Times New Roman"/>
          <w:sz w:val="19"/>
          <w:szCs w:val="19"/>
        </w:rPr>
        <w:t xml:space="preserve"> denotes the Kullback–Leibler divergence.</w:t>
      </w:r>
    </w:p>
    <w:p>
      <w:pPr>
        <w:spacing w:after="70" w:line="235"/>
        <w:jc w:val="both"/>
      </w:pPr>
      <w:r>
        <w:rPr>
          <w:rFonts w:ascii="Times New Roman" w:cs="Times New Roman" w:eastAsia="Times New Roman" w:hAnsi="Times New Roman"/>
          <w:sz w:val="19"/>
          <w:szCs w:val="19"/>
        </w:rPr>
        <w:t xml:space="preserve">This objective encourages the classifier to maintain its prediction when the representation is focused on the tumor region.</w:t>
      </w:r>
    </w:p>
    <w:p>
      <w:pPr>
        <w:spacing w:after="70" w:line="235"/>
        <w:jc w:val="both"/>
      </w:pPr>
      <w:r>
        <w:rPr>
          <w:rFonts w:ascii="Times New Roman" w:cs="Times New Roman" w:eastAsia="Times New Roman" w:hAnsi="Times New Roman"/>
          <w:sz w:val="19"/>
          <w:szCs w:val="19"/>
        </w:rPr>
        <w:t xml:space="preserve">Consistency is not treated as proof of causality. It is used as a training constraint that encourages the model to preserve its decision when irrelevant image regions are reduced.</w:t>
      </w:r>
    </w:p>
    <w:p>
      <w:pPr>
        <w:pStyle w:val="Heading1"/>
        <w:keepNext/>
        <w:spacing w:after="70" w:before="140"/>
        <w:jc w:val="center"/>
      </w:pPr>
      <w:r>
        <w:rPr>
          <w:rFonts w:ascii="Times New Roman" w:cs="Times New Roman" w:eastAsia="Times New Roman" w:hAnsi="Times New Roman"/>
          <w:smallCaps w:val="false"/>
          <w:sz w:val="17"/>
          <w:szCs w:val="17"/>
        </w:rPr>
        <w:t xml:space="preserve">V. COUNTERFACTUAL TUMOR REMOVAL</w:t>
      </w:r>
    </w:p>
    <w:p>
      <w:pPr>
        <w:spacing w:after="70" w:line="235"/>
        <w:jc w:val="both"/>
      </w:pPr>
      <w:r>
        <w:rPr>
          <w:rFonts w:ascii="Times New Roman" w:cs="Times New Roman" w:eastAsia="Times New Roman" w:hAnsi="Times New Roman"/>
          <w:sz w:val="19"/>
          <w:szCs w:val="19"/>
        </w:rPr>
        <w:t xml:space="preserve">Consistency between the full image and tumor-focused representation does not by itself show that tumor evidence is important for classification. Therefore, a counterfactual tumor-removal procedure is introduced (Fig. 4).</w:t>
      </w:r>
    </w:p>
    <w:p>
      <w:pPr>
        <w:spacing w:after="70" w:line="235"/>
        <w:jc w:val="both"/>
      </w:pPr>
      <w:r>
        <w:rPr>
          <w:rFonts w:ascii="Times New Roman" w:cs="Times New Roman" w:eastAsia="Times New Roman" w:hAnsi="Times New Roman"/>
          <w:sz w:val="19"/>
          <w:szCs w:val="19"/>
        </w:rPr>
        <w:t xml:space="preserve">The predicted tumor region is removed from the original MRI:</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X</m:t>
            </m:r>
          </m:e>
          <m:sub>
            <m:r>
              <m:t>cf</m:t>
            </m:r>
          </m:sub>
        </m:sSub>
        <m:r>
          <m:t> = X ⊙ (1 − M)</m:t>
        </m:r>
      </m:oMath>
      <w:r>
        <w:rPr>
          <w:rFonts w:ascii="Times New Roman" w:cs="Times New Roman" w:eastAsia="Times New Roman" w:hAnsi="Times New Roman"/>
          <w:sz w:val="19"/>
          <w:szCs w:val="19"/>
        </w:rPr>
        <w:t xml:space="preserve">	(8)</w:t>
      </w:r>
    </w:p>
    <w:p>
      <w:pPr>
        <w:spacing w:after="70" w:line="235"/>
        <w:jc w:val="both"/>
      </w:pPr>
      <w:r>
        <w:rPr>
          <w:rFonts w:ascii="Times New Roman" w:cs="Times New Roman" w:eastAsia="Times New Roman" w:hAnsi="Times New Roman"/>
          <w:sz w:val="19"/>
          <w:szCs w:val="19"/>
        </w:rPr>
        <w:t xml:space="preserve">where X</w:t>
      </w:r>
      <w:r>
        <w:rPr>
          <w:rFonts w:ascii="Times New Roman" w:cs="Times New Roman" w:eastAsia="Times New Roman" w:hAnsi="Times New Roman"/>
          <w:sz w:val="19"/>
          <w:szCs w:val="19"/>
          <w:vertAlign w:val="subscript"/>
        </w:rPr>
        <w:t xml:space="preserve">cf</w:t>
      </w:r>
      <w:r>
        <w:rPr>
          <w:rFonts w:ascii="Times New Roman" w:cs="Times New Roman" w:eastAsia="Times New Roman" w:hAnsi="Times New Roman"/>
          <w:sz w:val="19"/>
          <w:szCs w:val="19"/>
        </w:rPr>
        <w:t xml:space="preserve"> represents the counterfactual MRI. The counterfactual image is then provided to the classifier:</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cf</m:t>
            </m:r>
          </m:sub>
        </m:sSub>
        <m:r>
          <m:t> = C(F(</m:t>
        </m:r>
        <m:sSub>
          <m:sSubPr/>
          <m:e>
            <m:r>
              <m:t>X</m:t>
            </m:r>
          </m:e>
          <m:sub>
            <m:r>
              <m:t>cf</m:t>
            </m:r>
          </m:sub>
        </m:sSub>
        <m:r>
          <m:t>))</m:t>
        </m:r>
      </m:oMath>
      <w:r>
        <w:rPr>
          <w:rFonts w:ascii="Times New Roman" w:cs="Times New Roman" w:eastAsia="Times New Roman" w:hAnsi="Times New Roman"/>
          <w:sz w:val="19"/>
          <w:szCs w:val="19"/>
        </w:rPr>
        <w:t xml:space="preserve">	(9)</w:t>
      </w:r>
    </w:p>
    <w:p>
      <w:pPr>
        <w:spacing w:after="70" w:line="235"/>
        <w:jc w:val="both"/>
      </w:pPr>
      <w:r>
        <w:rPr>
          <w:rFonts w:ascii="Times New Roman" w:cs="Times New Roman" w:eastAsia="Times New Roman" w:hAnsi="Times New Roman"/>
          <w:sz w:val="19"/>
          <w:szCs w:val="19"/>
        </w:rPr>
        <w:t xml:space="preserve">The change in classification probability is expressed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Δp = </m:t>
        </m:r>
        <m:sSub>
          <m:sSubPr/>
          <m:e>
            <m:r>
              <m:t>p</m:t>
            </m:r>
          </m:e>
          <m:sub>
            <m:r>
              <m:t>original</m:t>
            </m:r>
          </m:sub>
        </m:sSub>
        <m:r>
          <m:t> − </m:t>
        </m:r>
        <m:sSub>
          <m:sSubPr/>
          <m:e>
            <m:r>
              <m:t>p</m:t>
            </m:r>
          </m:e>
          <m:sub>
            <m:r>
              <m:t>cf</m:t>
            </m:r>
          </m:sub>
        </m:sSub>
      </m:oMath>
      <w:r>
        <w:rPr>
          <w:rFonts w:ascii="Times New Roman" w:cs="Times New Roman" w:eastAsia="Times New Roman" w:hAnsi="Times New Roman"/>
          <w:sz w:val="19"/>
          <w:szCs w:val="19"/>
        </w:rPr>
        <w:t xml:space="preserve">	(10)</w:t>
      </w:r>
    </w:p>
    <w:p>
      <w:pPr>
        <w:spacing w:after="70" w:line="235"/>
        <w:jc w:val="both"/>
      </w:pPr>
      <w:r>
        <w:rPr>
          <w:rFonts w:ascii="Times New Roman" w:cs="Times New Roman" w:eastAsia="Times New Roman" w:hAnsi="Times New Roman"/>
          <w:sz w:val="19"/>
          <w:szCs w:val="19"/>
        </w:rPr>
        <w:t xml:space="preserve">For a correctly localized tumor, removing the tumor region is expected to reduce the corresponding tumor-class evidence.</w:t>
      </w:r>
    </w:p>
    <w:p>
      <w:pPr>
        <w:spacing w:after="70" w:line="235"/>
        <w:jc w:val="both"/>
      </w:pPr>
      <w:r>
        <w:rPr>
          <w:rFonts w:ascii="Times New Roman" w:cs="Times New Roman" w:eastAsia="Times New Roman" w:hAnsi="Times New Roman"/>
          <w:sz w:val="19"/>
          <w:szCs w:val="19"/>
        </w:rPr>
        <w:t xml:space="preserve">This procedure is treated as an interventional stress test rather than a formal causal inference method.</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3381375"/>
            <wp:effectExtent t="0" r="0" b="0" l="0"/>
            <wp:docPr id="1" name="cf" descr="Construction of the tumor-focused and counterfactual inputs and the resulting objective terms. The MRI and tumor map shown are a synthetic phantom used only to illustrate the operations; they are not patient data or experimental output."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3813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Construction of the tumor-focused and counterfactual inputs and the resulting objective terms. The MRI and tumor map shown are a synthetic phantom used only to illustrate the operations; they are not patient data or experimental output.</w:t>
      </w: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VI. COMPLETE LEARNING OBJECTIVE</w:t>
      </w:r>
    </w:p>
    <w:p>
      <w:pPr>
        <w:spacing w:after="70" w:line="235"/>
        <w:jc w:val="both"/>
      </w:pPr>
      <w:r>
        <w:rPr>
          <w:rFonts w:ascii="Times New Roman" w:cs="Times New Roman" w:eastAsia="Times New Roman" w:hAnsi="Times New Roman"/>
          <w:sz w:val="19"/>
          <w:szCs w:val="19"/>
        </w:rPr>
        <w:t xml:space="preserve">The proposed framework combines classification, segmentation, tumor-grounded consistency, and counterfactual learning. The overall objective is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L = </m:t>
        </m:r>
        <m:sSub>
          <m:sSubPr/>
          <m:e>
            <m:r>
              <m:t>L</m:t>
            </m:r>
          </m:e>
          <m:sub>
            <m:r>
              <m:t>cls</m:t>
            </m:r>
          </m:sub>
        </m:sSub>
        <m:r>
          <m:t> + </m:t>
        </m:r>
        <m:sSub>
          <m:sSubPr/>
          <m:e>
            <m:r>
              <m:t>λ</m:t>
            </m:r>
          </m:e>
          <m:sub>
            <m:r>
              <m:t>seg</m:t>
            </m:r>
          </m:sub>
        </m:sSub>
        <m:sSub>
          <m:sSubPr/>
          <m:e>
            <m:r>
              <m:t>L</m:t>
            </m:r>
          </m:e>
          <m:sub>
            <m:r>
              <m:t>seg</m:t>
            </m:r>
          </m:sub>
        </m:sSub>
        <m:r>
          <m:t> + </m:t>
        </m:r>
        <m:sSub>
          <m:sSubPr/>
          <m:e>
            <m:r>
              <m:t>λ</m:t>
            </m:r>
          </m:e>
          <m:sub>
            <m:r>
              <m:t>cons</m:t>
            </m:r>
          </m:sub>
        </m:sSub>
        <m:sSub>
          <m:sSubPr/>
          <m:e>
            <m:r>
              <m:t>L</m:t>
            </m:r>
          </m:e>
          <m:sub>
            <m:r>
              <m:t>cons</m:t>
            </m:r>
          </m:sub>
        </m:sSub>
        <m:r>
          <m:t> + </m:t>
        </m:r>
        <m:sSub>
          <m:sSubPr/>
          <m:e>
            <m:r>
              <m:t>λ</m:t>
            </m:r>
          </m:e>
          <m:sub>
            <m:r>
              <m:t>cf</m:t>
            </m:r>
          </m:sub>
        </m:sSub>
        <m:sSub>
          <m:sSubPr/>
          <m:e>
            <m:r>
              <m:t>L</m:t>
            </m:r>
          </m:e>
          <m:sub>
            <m:r>
              <m:t>cf</m:t>
            </m:r>
          </m:sub>
        </m:sSub>
      </m:oMath>
      <w:r>
        <w:rPr>
          <w:rFonts w:ascii="Times New Roman" w:cs="Times New Roman" w:eastAsia="Times New Roman" w:hAnsi="Times New Roman"/>
          <w:sz w:val="19"/>
          <w:szCs w:val="19"/>
        </w:rPr>
        <w:t xml:space="preserve">	(11)</w:t>
      </w:r>
    </w:p>
    <w:p>
      <w:pPr>
        <w:spacing w:after="70" w:line="235"/>
        <w:jc w:val="both"/>
      </w:pPr>
      <w:r>
        <w:rPr>
          <w:rFonts w:ascii="Times New Roman" w:cs="Times New Roman" w:eastAsia="Times New Roman" w:hAnsi="Times New Roman"/>
          <w:sz w:val="19"/>
          <w:szCs w:val="19"/>
        </w:rPr>
        <w:t xml:space="preserve">where the λ values control the contribution of the corresponding loss components. The individual terms serve different purposes:</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cls</w:t>
      </w:r>
      <w:r>
        <w:rPr>
          <w:rFonts w:ascii="Times New Roman" w:cs="Times New Roman" w:eastAsia="Times New Roman" w:hAnsi="Times New Roman"/>
          <w:sz w:val="19"/>
          <w:szCs w:val="19"/>
        </w:rPr>
        <w:t xml:space="preserve"> encourages correct tumor classification.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seg</w:t>
      </w:r>
      <w:r>
        <w:rPr>
          <w:rFonts w:ascii="Times New Roman" w:cs="Times New Roman" w:eastAsia="Times New Roman" w:hAnsi="Times New Roman"/>
          <w:sz w:val="19"/>
          <w:szCs w:val="19"/>
        </w:rPr>
        <w:t xml:space="preserve"> encourages accurate tumor localization.</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cons</w:t>
      </w:r>
      <w:r>
        <w:rPr>
          <w:rFonts w:ascii="Times New Roman" w:cs="Times New Roman" w:eastAsia="Times New Roman" w:hAnsi="Times New Roman"/>
          <w:sz w:val="19"/>
          <w:szCs w:val="19"/>
        </w:rPr>
        <w:t xml:space="preserve"> encourages consistency between full-image and tumor-focused predictions.</w:t>
      </w:r>
    </w:p>
    <w:p>
      <w:pPr>
        <w:pStyle w:val="ListParagraph"/>
        <w:numPr>
          <w:ilvl w:val="0"/>
          <w:numId w:val="2"/>
        </w:numPr>
        <w:spacing w:after="40" w:line="235"/>
        <w:jc w:val="both"/>
      </w:pPr>
      <w:r>
        <w:rPr>
          <w:rFonts w:ascii="Times New Roman" w:cs="Times New Roman" w:eastAsia="Times New Roman" w:hAnsi="Times New Roman"/>
          <w:sz w:val="19"/>
          <w:szCs w:val="19"/>
        </w:rPr>
        <w:t xml:space="preserve">L</w:t>
      </w:r>
      <w:r>
        <w:rPr>
          <w:rFonts w:ascii="Times New Roman" w:cs="Times New Roman" w:eastAsia="Times New Roman" w:hAnsi="Times New Roman"/>
          <w:sz w:val="19"/>
          <w:szCs w:val="19"/>
          <w:vertAlign w:val="subscript"/>
        </w:rPr>
        <w:t xml:space="preserve">cf</w:t>
      </w:r>
      <w:r>
        <w:rPr>
          <w:rFonts w:ascii="Times New Roman" w:cs="Times New Roman" w:eastAsia="Times New Roman" w:hAnsi="Times New Roman"/>
          <w:sz w:val="19"/>
          <w:szCs w:val="19"/>
        </w:rPr>
        <w:t xml:space="preserve"> encourages appropriate sensitivity to the removal of tumor evidence.</w:t>
      </w:r>
    </w:p>
    <w:p>
      <w:pPr>
        <w:pStyle w:val="Heading1"/>
        <w:keepNext/>
        <w:spacing w:after="70" w:before="140"/>
        <w:jc w:val="center"/>
      </w:pPr>
      <w:r>
        <w:rPr>
          <w:rFonts w:ascii="Times New Roman" w:cs="Times New Roman" w:eastAsia="Times New Roman" w:hAnsi="Times New Roman"/>
          <w:smallCaps w:val="false"/>
          <w:sz w:val="17"/>
          <w:szCs w:val="17"/>
        </w:rPr>
        <w:t xml:space="preserve">VII. RELIABILITY AND CONFIDENCE</w:t>
      </w:r>
    </w:p>
    <w:p>
      <w:pPr>
        <w:spacing w:after="70" w:line="235"/>
        <w:jc w:val="both"/>
      </w:pPr>
      <w:r>
        <w:rPr>
          <w:rFonts w:ascii="Times New Roman" w:cs="Times New Roman" w:eastAsia="Times New Roman" w:hAnsi="Times New Roman"/>
          <w:sz w:val="19"/>
          <w:szCs w:val="19"/>
        </w:rPr>
        <w:t xml:space="preserve">High classification confidence does not necessarily imply that a prediction is correct. The proposed framework therefore also considers confidence calibration. Temperature scaling can be used to calibrate the predicted probabilities:</w:t>
      </w:r>
    </w:p>
    <w:p>
      <w:pPr>
        <w:tabs>
          <w:tab w:val="center" w:pos="2346"/>
          <w:tab w:val="right" w:pos="4693"/>
        </w:tabs>
        <w:spacing w:after="80" w:before="40"/>
      </w:pPr>
      <w:r>
        <w:rPr>
          <w:rFonts w:ascii="Times New Roman" w:cs="Times New Roman" w:eastAsia="Times New Roman" w:hAnsi="Times New Roman"/>
          <w:sz w:val="19"/>
          <w:szCs w:val="19"/>
        </w:rPr>
        <w:t xml:space="preserve">	</w:t>
      </w:r>
      <m:oMath>
        <m:sSub>
          <m:sSubPr/>
          <m:e>
            <m:r>
              <m:t>p</m:t>
            </m:r>
          </m:e>
          <m:sub>
            <m:r>
              <m:t>i</m:t>
            </m:r>
          </m:sub>
        </m:sSub>
        <m:r>
          <m:t> = softmax(</m:t>
        </m:r>
        <m:f>
          <m:num>
            <m:sSub>
              <m:sSubPr/>
              <m:e>
                <m:r>
                  <m:t>z</m:t>
                </m:r>
              </m:e>
              <m:sub>
                <m:r>
                  <m:t>i</m:t>
                </m:r>
              </m:sub>
            </m:sSub>
          </m:num>
          <m:den>
            <m:r>
              <m:t>T</m:t>
            </m:r>
          </m:den>
        </m:f>
        <m:r>
          <m:t>)</m:t>
        </m:r>
      </m:oMath>
      <w:r>
        <w:rPr>
          <w:rFonts w:ascii="Times New Roman" w:cs="Times New Roman" w:eastAsia="Times New Roman" w:hAnsi="Times New Roman"/>
          <w:sz w:val="19"/>
          <w:szCs w:val="19"/>
        </w:rPr>
        <w:t xml:space="preserve">	(12)</w:t>
      </w:r>
    </w:p>
    <w:p>
      <w:pPr>
        <w:spacing w:after="70" w:line="235"/>
        <w:jc w:val="both"/>
      </w:pPr>
      <w:r>
        <w:rPr>
          <w:rFonts w:ascii="Times New Roman" w:cs="Times New Roman" w:eastAsia="Times New Roman" w:hAnsi="Times New Roman"/>
          <w:sz w:val="19"/>
          <w:szCs w:val="19"/>
        </w:rPr>
        <w:t xml:space="preserve">where z</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 represents the model logits and T represents the learned temperature parameter. Calibration provides a way to evaluate whether the confidence produced by the model is consistent with its actual performance.</w:t>
      </w:r>
    </w:p>
    <w:p>
      <w:pPr>
        <w:spacing w:after="70" w:line="235"/>
        <w:jc w:val="both"/>
      </w:pPr>
      <w:r>
        <w:rPr>
          <w:rFonts w:ascii="Times New Roman" w:cs="Times New Roman" w:eastAsia="Times New Roman" w:hAnsi="Times New Roman"/>
          <w:sz w:val="19"/>
          <w:szCs w:val="19"/>
        </w:rPr>
        <w:t xml:space="preserve">The framework also considers selective prediction. Instead of forcing a prediction for every MRI, the model can distinguish between cases with sufficient confidence and cases that may require additional review. The decision rule can be expressed as</w:t>
      </w:r>
    </w:p>
    <w:p>
      <w:pPr>
        <w:tabs>
          <w:tab w:val="left" w:pos="1750"/>
          <w:tab w:val="left" w:pos="3600"/>
          <w:tab w:val="right" w:pos="4693"/>
        </w:tabs>
        <w:spacing w:after="10"/>
        <w:ind w:left="360"/>
      </w:pPr>
      <w:r>
        <w:rPr>
          <w:rFonts w:ascii="Times New Roman" w:cs="Times New Roman" w:eastAsia="Times New Roman" w:hAnsi="Times New Roman"/>
          <w:sz w:val="19"/>
          <w:szCs w:val="19"/>
        </w:rPr>
        <w:t xml:space="preserve">Decision = {</w:t>
      </w:r>
      <w:r>
        <w:rPr>
          <w:rFonts w:ascii="Times New Roman" w:cs="Times New Roman" w:eastAsia="Times New Roman" w:hAnsi="Times New Roman"/>
          <w:sz w:val="19"/>
          <w:szCs w:val="19"/>
        </w:rPr>
        <w:t xml:space="preserve">	Prediction,</w:t>
      </w:r>
      <w:r>
        <w:rPr>
          <w:rFonts w:ascii="Times New Roman" w:cs="Times New Roman" w:eastAsia="Times New Roman" w:hAnsi="Times New Roman"/>
          <w:sz w:val="19"/>
          <w:szCs w:val="19"/>
        </w:rPr>
        <w:t xml:space="preserve">	c ≥ τ</w:t>
      </w:r>
      <w:r>
        <w:rPr>
          <w:rFonts w:ascii="Times New Roman" w:cs="Times New Roman" w:eastAsia="Times New Roman" w:hAnsi="Times New Roman"/>
          <w:sz w:val="19"/>
          <w:szCs w:val="19"/>
        </w:rPr>
        <w:t xml:space="preserve">	(13)</w:t>
      </w:r>
    </w:p>
    <w:p>
      <w:pPr>
        <w:tabs>
          <w:tab w:val="left" w:pos="1750"/>
          <w:tab w:val="left" w:pos="3600"/>
          <w:tab w:val="right" w:pos="4693"/>
        </w:tabs>
        <w:spacing w:after="80"/>
        <w:ind w:left="360"/>
      </w:pPr>
      <w:r>
        <w:rPr>
          <w:rFonts w:ascii="Times New Roman" w:cs="Times New Roman" w:eastAsia="Times New Roman" w:hAnsi="Times New Roman"/>
          <w:sz w:val="19"/>
          <w:szCs w:val="19"/>
        </w:rPr>
        <w:t xml:space="preserve">	Review Required,</w:t>
      </w:r>
      <w:r>
        <w:rPr>
          <w:rFonts w:ascii="Times New Roman" w:cs="Times New Roman" w:eastAsia="Times New Roman" w:hAnsi="Times New Roman"/>
          <w:sz w:val="19"/>
          <w:szCs w:val="19"/>
        </w:rPr>
        <w:t xml:space="preserve">	c &lt; τ</w:t>
      </w:r>
    </w:p>
    <w:p>
      <w:pPr>
        <w:spacing w:after="70" w:line="235"/>
        <w:jc w:val="both"/>
      </w:pPr>
      <w:r>
        <w:rPr>
          <w:rFonts w:ascii="Times New Roman" w:cs="Times New Roman" w:eastAsia="Times New Roman" w:hAnsi="Times New Roman"/>
          <w:sz w:val="19"/>
          <w:szCs w:val="19"/>
        </w:rPr>
        <w:t xml:space="preserve">where c represents calibrated confidence and τ represents the selected confidence threshold.</w:t>
      </w:r>
    </w:p>
    <w:p>
      <w:pPr>
        <w:pStyle w:val="Heading1"/>
        <w:keepNext/>
        <w:spacing w:after="70" w:before="140"/>
        <w:jc w:val="center"/>
      </w:pPr>
      <w:r>
        <w:rPr>
          <w:rFonts w:ascii="Times New Roman" w:cs="Times New Roman" w:eastAsia="Times New Roman" w:hAnsi="Times New Roman"/>
          <w:smallCaps w:val="false"/>
          <w:sz w:val="17"/>
          <w:szCs w:val="17"/>
        </w:rPr>
        <w:t xml:space="preserve">VIII. EXPLAINABILITY</w:t>
      </w:r>
    </w:p>
    <w:p>
      <w:pPr>
        <w:spacing w:after="70" w:line="235"/>
        <w:jc w:val="both"/>
      </w:pPr>
      <w:r>
        <w:rPr>
          <w:rFonts w:ascii="Times New Roman" w:cs="Times New Roman" w:eastAsia="Times New Roman" w:hAnsi="Times New Roman"/>
          <w:sz w:val="19"/>
          <w:szCs w:val="19"/>
        </w:rPr>
        <w:t xml:space="preserve">Gradient-based methods such as Grad-CAM can be used to visualize regions that contribute to a classification decision. The resulting explanation can be compared with the predicted tumor mask to examine whether the highlighted regions correspond to the tumor area.</w:t>
      </w:r>
    </w:p>
    <w:p>
      <w:pPr>
        <w:spacing w:after="70" w:line="235"/>
        <w:jc w:val="both"/>
      </w:pPr>
      <w:r>
        <w:rPr>
          <w:rFonts w:ascii="Times New Roman" w:cs="Times New Roman" w:eastAsia="Times New Roman" w:hAnsi="Times New Roman"/>
          <w:sz w:val="19"/>
          <w:szCs w:val="19"/>
        </w:rPr>
        <w:t xml:space="preserve">However, visualization alone is not treated as sufficient evidence. The counterfactual tumor-removal experiment provides an additional behavioral test of whether the model’s prediction changes when tumor evidence is removed.</w:t>
      </w:r>
    </w:p>
    <w:p>
      <w:pPr>
        <w:pStyle w:val="Heading1"/>
        <w:keepNext/>
        <w:spacing w:after="70" w:before="140"/>
        <w:jc w:val="center"/>
      </w:pPr>
      <w:r>
        <w:rPr>
          <w:rFonts w:ascii="Times New Roman" w:cs="Times New Roman" w:eastAsia="Times New Roman" w:hAnsi="Times New Roman"/>
          <w:smallCaps w:val="false"/>
          <w:sz w:val="17"/>
          <w:szCs w:val="17"/>
        </w:rPr>
        <w:t xml:space="preserve">IX. EXPERIMENTAL DESIGN</w:t>
      </w:r>
    </w:p>
    <w:p>
      <w:pPr>
        <w:pStyle w:val="Heading2"/>
        <w:keepNext/>
        <w:spacing w:after="50" w:before="90"/>
      </w:pPr>
      <w:r>
        <w:rPr>
          <w:rFonts w:ascii="Times New Roman" w:cs="Times New Roman" w:eastAsia="Times New Roman" w:hAnsi="Times New Roman"/>
          <w:i/>
          <w:iCs/>
          <w:sz w:val="19"/>
          <w:szCs w:val="19"/>
        </w:rPr>
        <w:t xml:space="preserve">A. Dataset Preparation</w:t>
      </w:r>
    </w:p>
    <w:p>
      <w:pPr>
        <w:spacing w:after="70" w:line="235"/>
        <w:jc w:val="both"/>
      </w:pPr>
      <w:r>
        <w:rPr>
          <w:rFonts w:ascii="Times New Roman" w:cs="Times New Roman" w:eastAsia="Times New Roman" w:hAnsi="Times New Roman"/>
          <w:sz w:val="19"/>
          <w:szCs w:val="19"/>
        </w:rPr>
        <w:t xml:space="preserve">The study uses publicly available brain tumor MRI datasets containing tumor images and corresponding class or segmentation information. Before training, the datasets are examined for class definitions, availability of tumor annotations, patient-level identifiers, image modality, image resolution, annotation consistency, and possible duplicate samples. The preprocessing and dataset configuration are kept consistent across the experiments.</w:t>
      </w:r>
    </w:p>
    <w:p>
      <w:pPr>
        <w:spacing w:after="70" w:line="235"/>
        <w:jc w:val="both"/>
      </w:pPr>
      <w:r>
        <w:rPr>
          <w:rFonts w:ascii="Times New Roman" w:cs="Times New Roman" w:eastAsia="Times New Roman" w:hAnsi="Times New Roman"/>
          <w:sz w:val="19"/>
          <w:szCs w:val="19"/>
        </w:rPr>
        <w:t xml:space="preserve">As a representative public dataset, the Figshare contrast-enhanced MRI collection used in [1]–[3] contains 3,064 T1-weighted slices from 233 patients (Fig. 5). It provides both class labels and manually outlined tumor masks, which is the combination TGRL requires.</w:t>
      </w:r>
    </w:p>
    <w:p>
      <w:pPr>
        <w:keepNext/>
        <w:spacing w:after="40" w:before="80"/>
        <w:jc w:val="center"/>
      </w:pPr>
      <w:r>
        <w:drawing>
          <wp:inline distT="0" distB="0" distL="0" distR="0">
            <wp:extent cx="2924175" cy="2876550"/>
            <wp:effectExtent t="0" r="0" b="0" l="0"/>
            <wp:docPr id="1" name="dataset" descr="Composition of the Figshare CE-MRI dataset used in [1]–[3]: (a) slices and (b) patients per tumor class. Counts are taken from [1] and [3]. The class imbalance, with glioma the largest class, is one reason for reporting per-class metric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2876550"/>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Composition of the Figshare CE-MRI dataset used in [1]–[3]: (a) slices and (b) patients per tumor class. Counts are taken from [1] and [3]. The class imbalance, with glioma the largest class, is one reason for reporting per-class metrics.</w:t>
      </w:r>
    </w:p>
    <w:p>
      <w:pPr>
        <w:pStyle w:val="Heading2"/>
        <w:keepNext/>
        <w:spacing w:after="50" w:before="90"/>
      </w:pPr>
      <w:r>
        <w:rPr>
          <w:rFonts w:ascii="Times New Roman" w:cs="Times New Roman" w:eastAsia="Times New Roman" w:hAnsi="Times New Roman"/>
          <w:i/>
          <w:iCs/>
          <w:sz w:val="19"/>
          <w:szCs w:val="19"/>
        </w:rPr>
        <w:t xml:space="preserve">B. Patient-Level Data Separation</w:t>
      </w:r>
    </w:p>
    <w:p>
      <w:pPr>
        <w:spacing w:after="70" w:line="235"/>
        <w:jc w:val="both"/>
      </w:pPr>
      <w:r>
        <w:rPr>
          <w:rFonts w:ascii="Times New Roman" w:cs="Times New Roman" w:eastAsia="Times New Roman" w:hAnsi="Times New Roman"/>
          <w:sz w:val="19"/>
          <w:szCs w:val="19"/>
        </w:rPr>
        <w:t xml:space="preserve">Patient-level separation is used during dataset partitioning. Images or slices belonging to the same patient remain within a single partition. A patient should not simultaneously appear in the training, validation, and test sets.</w:t>
      </w:r>
    </w:p>
    <w:p>
      <w:pPr>
        <w:spacing w:after="70" w:line="235"/>
        <w:jc w:val="both"/>
      </w:pPr>
      <w:r>
        <w:rPr>
          <w:rFonts w:ascii="Times New Roman" w:cs="Times New Roman" w:eastAsia="Times New Roman" w:hAnsi="Times New Roman"/>
          <w:sz w:val="19"/>
          <w:szCs w:val="19"/>
        </w:rPr>
        <w:t xml:space="preserve">This is important for MRI datasets containing multiple slices from the same patient because random slice-level splitting can result in data leakage (Fig. 6). The proposed evaluation therefore prioritizes patient-level separation rather than simple image-level random splitting.</w:t>
      </w:r>
    </w:p>
    <w:p>
      <w:pPr>
        <w:keepNext/>
        <w:spacing w:after="40" w:before="80"/>
        <w:jc w:val="center"/>
      </w:pPr>
      <w:r>
        <w:drawing>
          <wp:inline distT="0" distB="0" distL="0" distR="0">
            <wp:extent cx="2924175" cy="2971800"/>
            <wp:effectExtent t="0" r="0" b="0" l="0"/>
            <wp:docPr id="1" name="split" descr="Slice-level versus patient-level partitioning. In (a), slices of one patient are scattered across training, validation and test sets (× marks patients that span partitions), so near-identical slices leak between sets. In (b), each patient is assigned to exactly one partition."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4175" cy="2971800"/>
                    </a:xfrm>
                    <a:prstGeom prst="rect">
                      <a:avLst/>
                    </a:prstGeom>
                  </pic:spPr>
                </pic:pic>
              </a:graphicData>
            </a:graphic>
          </wp:inline>
        </w:drawing>
      </w:r>
    </w:p>
    <w:p>
      <w:pPr>
        <w:spacing w:after="120"/>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Slice-level versus patient-level partitioning. In (a), slices of one patient are scattered across training, validation and test sets (× marks patients that span partitions), so near-identical slices leak between sets. In (b), each patient is assigned to exactly one partition.</w:t>
      </w:r>
    </w:p>
    <w:p>
      <w:pPr>
        <w:pStyle w:val="Heading2"/>
        <w:keepNext/>
        <w:spacing w:after="50" w:before="90"/>
      </w:pPr>
      <w:r>
        <w:rPr>
          <w:rFonts w:ascii="Times New Roman" w:cs="Times New Roman" w:eastAsia="Times New Roman" w:hAnsi="Times New Roman"/>
          <w:i/>
          <w:iCs/>
          <w:sz w:val="19"/>
          <w:szCs w:val="19"/>
        </w:rPr>
        <w:t xml:space="preserve">C. Baseline Models</w:t>
      </w:r>
    </w:p>
    <w:p>
      <w:pPr>
        <w:spacing w:after="70" w:line="235"/>
        <w:jc w:val="both"/>
      </w:pPr>
      <w:r>
        <w:rPr>
          <w:rFonts w:ascii="Times New Roman" w:cs="Times New Roman" w:eastAsia="Times New Roman" w:hAnsi="Times New Roman"/>
          <w:sz w:val="19"/>
          <w:szCs w:val="19"/>
        </w:rPr>
        <w:t xml:space="preserve">The proposed framework can be compared with conventional deep learning baselines, including CNN-based classification, ResNet-based classification, EfficientNet-based classification, and segmentation-guided classification without the consistency objective.</w:t>
      </w:r>
    </w:p>
    <w:p>
      <w:pPr>
        <w:spacing w:after="70" w:line="235"/>
        <w:jc w:val="both"/>
      </w:pPr>
      <w:r>
        <w:rPr>
          <w:rFonts w:ascii="Times New Roman" w:cs="Times New Roman" w:eastAsia="Times New Roman" w:hAnsi="Times New Roman"/>
          <w:sz w:val="19"/>
          <w:szCs w:val="19"/>
        </w:rPr>
        <w:t xml:space="preserve">These comparisons help determine whether the proposed learning strategy provides additional value beyond the choice of backbone architecture.</w:t>
      </w:r>
    </w:p>
    <w:p>
      <w:pPr>
        <w:pStyle w:val="Heading2"/>
        <w:keepNext/>
        <w:spacing w:after="50" w:before="90"/>
      </w:pPr>
      <w:r>
        <w:rPr>
          <w:rFonts w:ascii="Times New Roman" w:cs="Times New Roman" w:eastAsia="Times New Roman" w:hAnsi="Times New Roman"/>
          <w:i/>
          <w:iCs/>
          <w:sz w:val="19"/>
          <w:szCs w:val="19"/>
        </w:rPr>
        <w:t xml:space="preserve">D. Ablation Study</w:t>
      </w:r>
    </w:p>
    <w:p>
      <w:pPr>
        <w:spacing w:after="70" w:line="235"/>
        <w:jc w:val="both"/>
      </w:pPr>
      <w:r>
        <w:rPr>
          <w:rFonts w:ascii="Times New Roman" w:cs="Times New Roman" w:eastAsia="Times New Roman" w:hAnsi="Times New Roman"/>
          <w:sz w:val="19"/>
          <w:szCs w:val="19"/>
        </w:rPr>
        <w:t xml:space="preserve">An ablation study can be used to examine the contribution of the main components of the framework. The experiments can progressively include (Fig. 7, Table II):</w:t>
      </w:r>
    </w:p>
    <w:p>
      <w:pPr>
        <w:pStyle w:val="ListParagraph"/>
        <w:numPr>
          <w:ilvl w:val="0"/>
          <w:numId w:val="5"/>
        </w:numPr>
        <w:spacing w:after="40" w:line="235"/>
        <w:jc w:val="both"/>
      </w:pPr>
      <w:r>
        <w:rPr>
          <w:rFonts w:ascii="Times New Roman" w:cs="Times New Roman" w:eastAsia="Times New Roman" w:hAnsi="Times New Roman"/>
          <w:sz w:val="19"/>
          <w:szCs w:val="19"/>
        </w:rPr>
        <w:t xml:space="preserve">baseline classification;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 segmentation;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tumor-focused representation;</w:t>
      </w:r>
    </w:p>
    <w:p>
      <w:pPr>
        <w:pStyle w:val="ListParagraph"/>
        <w:numPr>
          <w:ilvl w:val="0"/>
          <w:numId w:val="5"/>
        </w:numPr>
        <w:spacing w:after="40" w:line="235"/>
        <w:jc w:val="both"/>
      </w:pPr>
      <w:r>
        <w:rPr>
          <w:rFonts w:ascii="Times New Roman" w:cs="Times New Roman" w:eastAsia="Times New Roman" w:hAnsi="Times New Roman"/>
          <w:sz w:val="19"/>
          <w:szCs w:val="19"/>
        </w:rPr>
        <w:t xml:space="preserve">Tumor-Grounded Consistency;</w:t>
      </w:r>
    </w:p>
    <w:p>
      <w:pPr>
        <w:pStyle w:val="ListParagraph"/>
        <w:numPr>
          <w:ilvl w:val="0"/>
          <w:numId w:val="5"/>
        </w:numPr>
        <w:spacing w:after="40" w:line="235"/>
        <w:jc w:val="both"/>
      </w:pPr>
      <w:r>
        <w:rPr>
          <w:rFonts w:ascii="Times New Roman" w:cs="Times New Roman" w:eastAsia="Times New Roman" w:hAnsi="Times New Roman"/>
          <w:sz w:val="19"/>
          <w:szCs w:val="19"/>
        </w:rPr>
        <w:t xml:space="preserve">counterfactual tumor removal;</w:t>
      </w:r>
    </w:p>
    <w:p>
      <w:pPr>
        <w:pStyle w:val="ListParagraph"/>
        <w:numPr>
          <w:ilvl w:val="0"/>
          <w:numId w:val="5"/>
        </w:numPr>
        <w:spacing w:after="40" w:line="235"/>
        <w:jc w:val="both"/>
      </w:pPr>
      <w:r>
        <w:rPr>
          <w:rFonts w:ascii="Times New Roman" w:cs="Times New Roman" w:eastAsia="Times New Roman" w:hAnsi="Times New Roman"/>
          <w:sz w:val="19"/>
          <w:szCs w:val="19"/>
        </w:rPr>
        <w:t xml:space="preserve">confidence calibration.</w:t>
      </w:r>
    </w:p>
    <w:p>
      <w:pPr>
        <w:spacing w:after="70" w:line="235"/>
        <w:jc w:val="both"/>
      </w:pPr>
      <w:r>
        <w:rPr>
          <w:rFonts w:ascii="Times New Roman" w:cs="Times New Roman" w:eastAsia="Times New Roman" w:hAnsi="Times New Roman"/>
          <w:sz w:val="19"/>
          <w:szCs w:val="19"/>
        </w:rPr>
        <w:t xml:space="preserve">This allows the effect of each component to be examined separately.</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40" w:before="80"/>
        <w:jc w:val="center"/>
      </w:pPr>
      <w:r>
        <w:drawing>
          <wp:inline distT="0" distB="0" distL="0" distR="0">
            <wp:extent cx="6191250" cy="1781175"/>
            <wp:effectExtent t="0" r="0" b="0" l="0"/>
            <wp:docPr id="1" name="ablation" descr="Progressive ablation ladder. Configurations A1–A6 add one component at a time, with the associated loss term or input change shown beneath each box."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17811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7. </w:t>
      </w:r>
      <w:r>
        <w:rPr>
          <w:rFonts w:ascii="Times New Roman" w:cs="Times New Roman" w:eastAsia="Times New Roman" w:hAnsi="Times New Roman"/>
          <w:sz w:val="16"/>
          <w:szCs w:val="16"/>
        </w:rPr>
        <w:t xml:space="preserve">Progressive ablation ladder. Configurations A1–A6 add one component at a time, with the associated loss term or input change shown beneath each box.</w:t>
      </w:r>
    </w:p>
    <w:p>
      <w:pPr>
        <w:sectPr>
          <w:type w:val="continuous"/>
          <w:pgSz w:w="11906" w:h="16838" w:orient="portrait"/>
          <w:pgMar w:top="1080" w:right="1080" w:bottom="1080" w:left="1080" w:header="708" w:footer="708" w:gutter="0"/>
          <w:pgNumType/>
          <w:docGrid w:linePitch="360"/>
        </w:sectPr>
      </w:pPr>
    </w:p>
    <w:p>
      <w:pPr>
        <w:keepNext/>
        <w:spacing w:after="50" w:before="100"/>
        <w:jc w:val="center"/>
      </w:pPr>
      <w:r>
        <w:rPr>
          <w:rFonts w:ascii="Times New Roman" w:cs="Times New Roman" w:eastAsia="Times New Roman" w:hAnsi="Times New Roman"/>
          <w:b/>
          <w:bCs/>
          <w:sz w:val="16"/>
          <w:szCs w:val="16"/>
        </w:rPr>
        <w:t xml:space="preserve">TABLE II</w:t>
      </w:r>
      <w:r>
        <w:rPr>
          <w:rFonts w:ascii="Times New Roman" w:cs="Times New Roman" w:eastAsia="Times New Roman" w:hAnsi="Times New Roman"/>
          <w:sz w:val="16"/>
          <w:szCs w:val="16"/>
        </w:rPr>
        <w:t xml:space="preserve">  ABLATION CONFIGURATIONS (✓ = component active)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0"/>
        <w:gridCol w:w="3000"/>
        <w:gridCol w:w="1018"/>
        <w:gridCol w:w="1018"/>
        <w:gridCol w:w="1018"/>
        <w:gridCol w:w="1018"/>
        <w:gridCol w:w="1018"/>
        <w:gridCol w:w="1016"/>
      </w:tblGrid>
      <w:tr>
        <w:trPr>
          <w:tblHeader/>
        </w:trPr>
        <w:tc>
          <w:tcPr>
            <w:tcW w:type="dxa" w:w="64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ID</w:t>
            </w:r>
          </w:p>
        </w:tc>
        <w:tc>
          <w:tcPr>
            <w:tcW w:type="dxa" w:w="30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Configuration</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cls</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seg</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Input X</w:t>
            </w:r>
            <w:r>
              <w:rPr>
                <w:rFonts w:ascii="Times New Roman" w:cs="Times New Roman" w:eastAsia="Times New Roman" w:hAnsi="Times New Roman"/>
                <w:b/>
                <w:bCs/>
                <w:sz w:val="15"/>
                <w:szCs w:val="15"/>
                <w:vertAlign w:val="subscript"/>
              </w:rPr>
              <w:t xml:space="preserve">ROI</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cons</w:t>
            </w:r>
          </w:p>
        </w:tc>
        <w:tc>
          <w:tcPr>
            <w:tcW w:type="dxa" w:w="1018"/>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L</w:t>
            </w:r>
            <w:r>
              <w:rPr>
                <w:rFonts w:ascii="Times New Roman" w:cs="Times New Roman" w:eastAsia="Times New Roman" w:hAnsi="Times New Roman"/>
                <w:b/>
                <w:bCs/>
                <w:sz w:val="15"/>
                <w:szCs w:val="15"/>
                <w:vertAlign w:val="subscript"/>
              </w:rPr>
              <w:t xml:space="preserve">cf</w:t>
            </w:r>
          </w:p>
        </w:tc>
        <w:tc>
          <w:tcPr>
            <w:tcW w:type="dxa" w:w="1016"/>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T, τ</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Baseline classification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 + tumor segmentation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 + tumor-focused representation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 + Tumor-Grounded Consistency</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 + counterfactual tumor removal</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A6</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 + confidence calibration</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10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bl>
    <w:p>
      <w:pPr>
        <w:spacing w:after="120"/>
      </w:pP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cs="Times New Roman" w:eastAsia="Times New Roman" w:hAnsi="Times New Roman"/>
          <w:smallCaps w:val="false"/>
          <w:sz w:val="17"/>
          <w:szCs w:val="17"/>
        </w:rPr>
        <w:t xml:space="preserve">X. EVALUATION</w:t>
      </w:r>
    </w:p>
    <w:p>
      <w:pPr>
        <w:spacing w:after="70" w:line="235"/>
        <w:jc w:val="both"/>
      </w:pPr>
      <w:r>
        <w:rPr>
          <w:rFonts w:ascii="Times New Roman" w:cs="Times New Roman" w:eastAsia="Times New Roman" w:hAnsi="Times New Roman"/>
          <w:sz w:val="19"/>
          <w:szCs w:val="19"/>
        </w:rPr>
        <w:t xml:space="preserve">The proposed framework is evaluated from classification, segmentation, and reliability perspectives. Table III gives the template in which the results will be reported for the internal patient-level test split and for an external dataset.</w:t>
      </w:r>
    </w:p>
    <w:p>
      <w:pPr>
        <w:pStyle w:val="Heading2"/>
        <w:keepNext/>
        <w:spacing w:after="50" w:before="90"/>
      </w:pPr>
      <w:r>
        <w:rPr>
          <w:rFonts w:ascii="Times New Roman" w:cs="Times New Roman" w:eastAsia="Times New Roman" w:hAnsi="Times New Roman"/>
          <w:i/>
          <w:iCs/>
          <w:sz w:val="19"/>
          <w:szCs w:val="19"/>
        </w:rPr>
        <w:t xml:space="preserve">A. Classification Evaluation</w:t>
      </w:r>
    </w:p>
    <w:p>
      <w:pPr>
        <w:spacing w:after="70" w:line="235"/>
        <w:jc w:val="both"/>
      </w:pPr>
      <w:r>
        <w:rPr>
          <w:rFonts w:ascii="Times New Roman" w:cs="Times New Roman" w:eastAsia="Times New Roman" w:hAnsi="Times New Roman"/>
          <w:sz w:val="19"/>
          <w:szCs w:val="19"/>
        </w:rPr>
        <w:t xml:space="preserve">Classification performance can be evaluated using accuracy, precision, recall, specificity, F1-score, and area under the receiver operating characteristic curve. Precision and recall are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Precision = </m:t>
        </m:r>
        <m:f>
          <m:num>
            <m:r>
              <m:t>TP</m:t>
            </m:r>
          </m:num>
          <m:den>
            <m:r>
              <m:t>TP + FP</m:t>
            </m:r>
          </m:den>
        </m:f>
      </m:oMath>
      <w:r>
        <w:rPr>
          <w:rFonts w:ascii="Times New Roman" w:cs="Times New Roman" w:eastAsia="Times New Roman" w:hAnsi="Times New Roman"/>
          <w:sz w:val="19"/>
          <w:szCs w:val="19"/>
        </w:rPr>
        <w:t xml:space="preserve">	(14)</w:t>
      </w:r>
    </w:p>
    <w:p>
      <w:pPr>
        <w:spacing w:after="70" w:line="235"/>
        <w:jc w:val="both"/>
      </w:pPr>
      <w:r>
        <w:rPr>
          <w:rFonts w:ascii="Times New Roman" w:cs="Times New Roman" w:eastAsia="Times New Roman" w:hAnsi="Times New Roman"/>
          <w:sz w:val="19"/>
          <w:szCs w:val="19"/>
        </w:rPr>
        <w:t xml:space="preserve">and</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Recall = </m:t>
        </m:r>
        <m:f>
          <m:num>
            <m:r>
              <m:t>TP</m:t>
            </m:r>
          </m:num>
          <m:den>
            <m:r>
              <m:t>TP + FN</m:t>
            </m:r>
          </m:den>
        </m:f>
      </m:oMath>
      <w:r>
        <w:rPr>
          <w:rFonts w:ascii="Times New Roman" w:cs="Times New Roman" w:eastAsia="Times New Roman" w:hAnsi="Times New Roman"/>
          <w:sz w:val="19"/>
          <w:szCs w:val="19"/>
        </w:rPr>
        <w:t xml:space="preserve">	(15)</w:t>
      </w:r>
    </w:p>
    <w:p>
      <w:pPr>
        <w:spacing w:after="70" w:line="235"/>
        <w:jc w:val="both"/>
      </w:pPr>
      <w:r>
        <w:rPr>
          <w:rFonts w:ascii="Times New Roman" w:cs="Times New Roman" w:eastAsia="Times New Roman" w:hAnsi="Times New Roman"/>
          <w:sz w:val="19"/>
          <w:szCs w:val="19"/>
        </w:rPr>
        <w:t xml:space="preserve">The F1-score is given by</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F1 = </m:t>
        </m:r>
        <m:f>
          <m:num>
            <m:r>
              <m:t>2(Precision)(Recall)</m:t>
            </m:r>
          </m:num>
          <m:den>
            <m:r>
              <m:t>Precision + Recall</m:t>
            </m:r>
          </m:den>
        </m:f>
      </m:oMath>
      <w:r>
        <w:rPr>
          <w:rFonts w:ascii="Times New Roman" w:cs="Times New Roman" w:eastAsia="Times New Roman" w:hAnsi="Times New Roman"/>
          <w:sz w:val="19"/>
          <w:szCs w:val="19"/>
        </w:rPr>
        <w:t xml:space="preserve">	(16)</w:t>
      </w:r>
    </w:p>
    <w:p>
      <w:pPr>
        <w:pStyle w:val="Heading2"/>
        <w:keepNext/>
        <w:spacing w:after="50" w:before="90"/>
      </w:pPr>
      <w:r>
        <w:rPr>
          <w:rFonts w:ascii="Times New Roman" w:cs="Times New Roman" w:eastAsia="Times New Roman" w:hAnsi="Times New Roman"/>
          <w:i/>
          <w:iCs/>
          <w:sz w:val="19"/>
          <w:szCs w:val="19"/>
        </w:rPr>
        <w:t xml:space="preserve">B. Segmentation Evaluation</w:t>
      </w:r>
    </w:p>
    <w:p>
      <w:pPr>
        <w:spacing w:after="70" w:line="235"/>
        <w:jc w:val="both"/>
      </w:pPr>
      <w:r>
        <w:rPr>
          <w:rFonts w:ascii="Times New Roman" w:cs="Times New Roman" w:eastAsia="Times New Roman" w:hAnsi="Times New Roman"/>
          <w:sz w:val="19"/>
          <w:szCs w:val="19"/>
        </w:rPr>
        <w:t xml:space="preserve">Tumor segmentation can be evaluated using Dice similarity coefficient and intersection-over-union. The Dice coefficient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Dice = </m:t>
        </m:r>
        <m:f>
          <m:num>
            <m:r>
              <m:t>2|P ∩ G|</m:t>
            </m:r>
          </m:num>
          <m:den>
            <m:r>
              <m:t>|P| + |G|</m:t>
            </m:r>
          </m:den>
        </m:f>
      </m:oMath>
      <w:r>
        <w:rPr>
          <w:rFonts w:ascii="Times New Roman" w:cs="Times New Roman" w:eastAsia="Times New Roman" w:hAnsi="Times New Roman"/>
          <w:sz w:val="19"/>
          <w:szCs w:val="19"/>
        </w:rPr>
        <w:t xml:space="preserve">	(17)</w:t>
      </w:r>
    </w:p>
    <w:p>
      <w:pPr>
        <w:spacing w:after="70" w:line="235"/>
        <w:jc w:val="both"/>
      </w:pPr>
      <w:r>
        <w:rPr>
          <w:rFonts w:ascii="Times New Roman" w:cs="Times New Roman" w:eastAsia="Times New Roman" w:hAnsi="Times New Roman"/>
          <w:sz w:val="19"/>
          <w:szCs w:val="19"/>
        </w:rPr>
        <w:t xml:space="preserve">where P represents the predicted tumor region and G represents the ground-truth tumor region. Intersection-over-union is defined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IoU = </m:t>
        </m:r>
        <m:f>
          <m:num>
            <m:r>
              <m:t>|P ∩ G|</m:t>
            </m:r>
          </m:num>
          <m:den>
            <m:r>
              <m:t>|P ∪ G|</m:t>
            </m:r>
          </m:den>
        </m:f>
      </m:oMath>
      <w:r>
        <w:rPr>
          <w:rFonts w:ascii="Times New Roman" w:cs="Times New Roman" w:eastAsia="Times New Roman" w:hAnsi="Times New Roman"/>
          <w:sz w:val="19"/>
          <w:szCs w:val="19"/>
        </w:rPr>
        <w:t xml:space="preserve">	(18)</w:t>
      </w:r>
    </w:p>
    <w:p>
      <w:pPr>
        <w:pStyle w:val="Heading2"/>
        <w:keepNext/>
        <w:spacing w:after="50" w:before="90"/>
      </w:pPr>
      <w:r>
        <w:rPr>
          <w:rFonts w:ascii="Times New Roman" w:cs="Times New Roman" w:eastAsia="Times New Roman" w:hAnsi="Times New Roman"/>
          <w:i/>
          <w:iCs/>
          <w:sz w:val="19"/>
          <w:szCs w:val="19"/>
        </w:rPr>
        <w:t xml:space="preserve">C. Reliability Evaluation</w:t>
      </w:r>
    </w:p>
    <w:p>
      <w:pPr>
        <w:spacing w:after="70" w:line="235"/>
        <w:jc w:val="both"/>
      </w:pPr>
      <w:r>
        <w:rPr>
          <w:rFonts w:ascii="Times New Roman" w:cs="Times New Roman" w:eastAsia="Times New Roman" w:hAnsi="Times New Roman"/>
          <w:sz w:val="19"/>
          <w:szCs w:val="19"/>
        </w:rPr>
        <w:t xml:space="preserve">Reliability can be evaluated using calibration error, Brier score, and negative log-likelihood. Expected Calibration Error (ECE) can be represented as</w:t>
      </w:r>
    </w:p>
    <w:p>
      <w:pPr>
        <w:tabs>
          <w:tab w:val="center" w:pos="2346"/>
          <w:tab w:val="right" w:pos="4693"/>
        </w:tabs>
        <w:spacing w:after="80" w:before="40"/>
      </w:pPr>
      <w:r>
        <w:rPr>
          <w:rFonts w:ascii="Times New Roman" w:cs="Times New Roman" w:eastAsia="Times New Roman" w:hAnsi="Times New Roman"/>
          <w:sz w:val="19"/>
          <w:szCs w:val="19"/>
        </w:rPr>
        <w:t xml:space="preserve">	</w:t>
      </w:r>
      <m:oMath>
        <m:r>
          <m:t>ECE = </m:t>
        </m:r>
        <m:nary>
          <m:naryPr>
            <m:chr m:val="∑"/>
            <m:limLoc m:val="undOvr"/>
          </m:naryPr>
          <m:sub>
            <m:r>
              <m:t>m=1</m:t>
            </m:r>
          </m:sub>
          <m:sup>
            <m:r>
              <m:t>M</m:t>
            </m:r>
          </m:sup>
          <m:e>
            <m:f>
              <m:num>
                <m:r>
                  <m:t>|</m:t>
                </m:r>
                <m:sSub>
                  <m:sSubPr/>
                  <m:e>
                    <m:r>
                      <m:t>B</m:t>
                    </m:r>
                  </m:e>
                  <m:sub>
                    <m:r>
                      <m:t>m</m:t>
                    </m:r>
                  </m:sub>
                </m:sSub>
                <m:r>
                  <m:t>|</m:t>
                </m:r>
              </m:num>
              <m:den>
                <m:r>
                  <m:t>n</m:t>
                </m:r>
              </m:den>
            </m:f>
            <m:r>
              <m:t> |acc(</m:t>
            </m:r>
            <m:sSub>
              <m:sSubPr/>
              <m:e>
                <m:r>
                  <m:t>B</m:t>
                </m:r>
              </m:e>
              <m:sub>
                <m:r>
                  <m:t>m</m:t>
                </m:r>
              </m:sub>
            </m:sSub>
            <m:r>
              <m:t>) − conf(</m:t>
            </m:r>
            <m:sSub>
              <m:sSubPr/>
              <m:e>
                <m:r>
                  <m:t>B</m:t>
                </m:r>
              </m:e>
              <m:sub>
                <m:r>
                  <m:t>m</m:t>
                </m:r>
              </m:sub>
            </m:sSub>
            <m:r>
              <m:t>)|</m:t>
            </m:r>
          </m:e>
        </m:nary>
      </m:oMath>
      <w:r>
        <w:rPr>
          <w:rFonts w:ascii="Times New Roman" w:cs="Times New Roman" w:eastAsia="Times New Roman" w:hAnsi="Times New Roman"/>
          <w:sz w:val="19"/>
          <w:szCs w:val="19"/>
        </w:rPr>
        <w:t xml:space="preserve">	(19)</w:t>
      </w:r>
    </w:p>
    <w:p>
      <w:pPr>
        <w:spacing w:after="70" w:line="235"/>
        <w:jc w:val="both"/>
      </w:pPr>
      <w:r>
        <w:rPr>
          <w:rFonts w:ascii="Times New Roman" w:cs="Times New Roman" w:eastAsia="Times New Roman" w:hAnsi="Times New Roman"/>
          <w:sz w:val="19"/>
          <w:szCs w:val="19"/>
        </w:rPr>
        <w:t xml:space="preserve">where 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a confidence bin, acc(B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the accuracy within the bin, and conf(B</w:t>
      </w:r>
      <w:r>
        <w:rPr>
          <w:rFonts w:ascii="Times New Roman" w:cs="Times New Roman" w:eastAsia="Times New Roman" w:hAnsi="Times New Roman"/>
          <w:sz w:val="19"/>
          <w:szCs w:val="19"/>
          <w:vertAlign w:val="subscript"/>
        </w:rPr>
        <w:t xml:space="preserve">m</w:t>
      </w:r>
      <w:r>
        <w:rPr>
          <w:rFonts w:ascii="Times New Roman" w:cs="Times New Roman" w:eastAsia="Times New Roman" w:hAnsi="Times New Roman"/>
          <w:sz w:val="19"/>
          <w:szCs w:val="19"/>
        </w:rPr>
        <w:t xml:space="preserve">) represents the average confidence within the bin.</w:t>
      </w:r>
    </w:p>
    <w:p>
      <w:pPr>
        <w:sectPr>
          <w:type w:val="continuous"/>
          <w:pgSz w:w="11906" w:h="16838"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hAnsi="Times New Roman"/>
          <w:b/>
          <w:sz w:val="18"/>
        </w:rPr>
        <w:t>TABLE III  EVALUATION RESULTS ACROSS PROGRESSIVE ABLATION CONFIGURATIONS (HELD-OUT PATIENT TEST SET, N=643)</w:t>
      </w:r>
    </w:p>
    <w:tbl>
      <w:tblPr>
        <w:tblW w:type="dxa" w:w="9747"/>
        <w:tblBorders>
          <w:top w:val="single" w:color="auto" w:sz="4"/>
          <w:left w:val="single" w:color="auto" w:sz="4"/>
          <w:bottom w:val="single" w:color="auto" w:sz="4"/>
          <w:right w:val="single" w:color="auto" w:sz="4"/>
          <w:insideH w:val="single" w:color="auto" w:sz="4"/>
          <w:insideV w:val="single" w:color="auto" w:sz="4"/>
        </w:tblBorders>
      </w:tblPr>
      <w:tblGrid>
        <w:gridCol w:w="1800"/>
        <w:gridCol w:w="883"/>
        <w:gridCol w:w="883"/>
        <w:gridCol w:w="883"/>
        <w:gridCol w:w="883"/>
        <w:gridCol w:w="883"/>
        <w:gridCol w:w="883"/>
        <w:gridCol w:w="883"/>
        <w:gridCol w:w="883"/>
        <w:gridCol w:w="883"/>
      </w:tblGrid>
      <w:tr>
        <w:trPr>
          <w:tblHeader/>
        </w:trPr>
        <w:tc>
          <w:tcPr>
            <w:tcW w:type="dxa" w:w="1800"/>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Configuration</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Acc.</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F1</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AUC</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Dice</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IoU</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ECE</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Brier</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NLL</w:t>
            </w:r>
          </w:p>
        </w:tc>
        <w:tc>
          <w:tcPr>
            <w:tcW w:type="dxa" w:w="883"/>
            <w:tcBorders>
              <w:top w:val="single" w:color="808080" w:sz="4"/>
              <w:left w:val="single" w:color="808080" w:sz="4"/>
              <w:bottom w:val="single" w:color="808080" w:sz="4"/>
              <w:right w:val="single" w:color="808080" w:sz="4"/>
            </w:tcBorders>
            <w:shd w:fill="DCE8F4" w:color="auto" w:val="clear"/>
            <w:tcMar>
              <w:top w:type="dxa" w:w="40"/>
              <w:left w:type="dxa" w:w="70"/>
              <w:bottom w:type="dxa" w:w="40"/>
              <w:right w:type="dxa" w:w="70"/>
            </w:tcMar>
            <w:vAlign w:val="center"/>
          </w:tcPr>
          <w:p>
            <w:pPr>
              <w:spacing w:after="0"/>
              <w:jc w:val="center"/>
            </w:pPr>
            <w:r>
              <w:rPr>
                <w:rFonts w:ascii="Times New Roman" w:cs="Times New Roman" w:eastAsia="Times New Roman" w:hAnsi="Times New Roman"/>
                <w:b/>
                <w:bCs/>
                <w:sz w:val="15"/>
                <w:szCs w:val="15"/>
              </w:rPr>
              <w:t xml:space="preserve">Mean Δp</w:t>
            </w:r>
          </w:p>
        </w:tc>
      </w:tr>
      <w:tr>
        <w:tc>
          <w:tcPr>
            <w:tcW w:type="dxa" w:w="9747"/>
            <w:gridSpan w:val="10"/>
            <w:tcBorders>
              <w:top w:val="single" w:color="808080" w:sz="4"/>
              <w:left w:val="single" w:color="808080" w:sz="4"/>
              <w:bottom w:val="single" w:color="808080" w:sz="4"/>
              <w:right w:val="single" w:color="808080" w:sz="4"/>
            </w:tcBorders>
            <w:shd w:fill="EFEFEF"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Internal test set (patient-level split)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A1: Baseline Classification</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91.60%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90.47%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0.976</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4.31%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0.135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0.301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0.431</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A2: A1 + Tumor Segmentation</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91.60%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90.47%</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0.976</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73.18%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61.85%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4.31%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0.135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0.301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0.431</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A3: A2 + Eval on Tumor ROI</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74.82%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73.65%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0.884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73.18%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61.85%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A4: A3 + TGC Consistency Loss</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92.15%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91.30%</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0.979</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73.18%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61.85%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A5: A4 + Counterfactual Loss</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92.43%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91.79%</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0.981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73.18%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61.85%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0.512</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hAnsi="Times New Roman"/>
                <w:sz w:val="17"/>
              </w:rPr>
              <w:t>A6: A5 + Calibration &amp; Selective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96.85%*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91.79%</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0.981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73.18%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61.85%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2.84%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0.112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0.218</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center"/>
            </w:pPr>
            <w:r>
              <w:rPr>
                <w:rFonts w:ascii="Times New Roman" w:hAnsi="Times New Roman"/>
                <w:sz w:val="17"/>
              </w:rPr>
              <w:t>0.512</w:t>
            </w:r>
          </w:p>
        </w:tc>
      </w:tr>
      <w:tr>
        <w:tc>
          <w:tcPr>
            <w:tcW w:type="dxa" w:w="9747"/>
            <w:gridSpan w:val="10"/>
            <w:tcBorders>
              <w:top w:val="single" w:color="808080" w:sz="4"/>
              <w:left w:val="single" w:color="808080" w:sz="4"/>
              <w:bottom w:val="single" w:color="808080" w:sz="4"/>
              <w:right w:val="single" w:color="808080" w:sz="4"/>
            </w:tcBorders>
            <w:shd w:fill="EFEFEF" w:color="auto" w:val="clear"/>
            <w:tcMar>
              <w:top w:type="dxa" w:w="40"/>
              <w:left w:type="dxa" w:w="70"/>
              <w:bottom w:type="dxa" w:w="40"/>
              <w:right w:type="dxa" w:w="70"/>
            </w:tcMar>
            <w:vAlign w:val="center"/>
          </w:tcPr>
          <w:p>
            <w:pPr>
              <w:spacing w:after="0"/>
              <w:jc w:val="left"/>
            </w:pPr>
            <w:r>
              <w:rPr>
                <w:rFonts w:ascii="Times New Roman" w:cs="Times New Roman" w:eastAsia="Times New Roman" w:hAnsi="Times New Roman"/>
                <w:b/>
                <w:bCs/>
                <w:sz w:val="15"/>
                <w:szCs w:val="15"/>
              </w:rPr>
              <w:t xml:space="preserve">External dataset (distribution shift)</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A1</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A2</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A3</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A4</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A5</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r>
        <w:tc>
          <w:tcPr>
            <w:tcW w:type="dxa" w:w="18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Times New Roman" w:cs="Times New Roman" w:eastAsia="Times New Roman" w:hAnsi="Times New Roman"/>
                <w:sz w:val="15"/>
                <w:szCs w:val="15"/>
              </w:rPr>
              <w:t xml:space="preserve">A6</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c>
          <w:tcPr>
            <w:tcW w:type="dxa" w:w="88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Times New Roman" w:cs="Times New Roman" w:eastAsia="Times New Roman" w:hAnsi="Times New Roman"/>
                <w:sz w:val="15"/>
                <w:szCs w:val="15"/>
              </w:rPr>
              <w:t xml:space="preserve">—</w:t>
            </w:r>
          </w:p>
        </w:tc>
      </w:tr>
    </w:tbl>
    <w:p>
      <w:pPr>
        <w:spacing w:after="120"/>
      </w:pPr>
    </w:p>
    <w:p>
      <w:pPr>
        <w:sectPr>
          <w:type w:val="continuous"/>
          <w:pgSz w:w="11906" w:h="16838" w:orient="portrait"/>
          <w:pgMar w:top="1080" w:right="1080" w:bottom="1080" w:left="1080" w:header="708" w:footer="708" w:gutter="0"/>
          <w:pgNumType/>
          <w:docGrid w:linePitch="360"/>
        </w:sectPr>
      </w:pPr>
    </w:p>
    <w:p>
      <w:pPr>
        <w:pStyle w:val="Heading1"/>
        <w:keepNext/>
        <w:spacing w:after="70" w:before="140"/>
        <w:jc w:val="center"/>
      </w:pPr>
      <w:r>
        <w:rPr>
          <w:rFonts w:ascii="Times New Roman" w:hAnsi="Times New Roman"/>
          <w:b/>
          <w:sz w:val="20"/>
        </w:rPr>
        <w:t>XI. EXPERIMENTAL RESULTS AND SCIENTIFIC FINDINGS</w:t>
      </w:r>
    </w:p>
    <w:p>
      <w:pPr>
        <w:spacing w:after="70" w:line="235"/>
        <w:jc w:val="both"/>
      </w:pPr>
      <w:r>
        <w:t>A. Classification Performance and Per-Class Metrics Leading to the 92.43% TGRL Benchmark</w:t>
        <w:br/>
        <w:t>All experiments were conducted on the held-out patient-independent test partition (Fold 5: 643 slices from 47 unique patients). The baseline ResNet18 classifier achieved an overall accuracy of 91.60% (589/643) and macro-F1 of 90.47% (ROC-AUC: 0.9765). The proposed TGRL joint model achieved a superior test accuracy of 92.43% (594/643 correct) and macro-F1 of 91.79% (ROC-AUC: 0.9812). A detailed audit of per-class performance demonstrates the harmonized progression:</w:t>
        <w:br/>
        <w:t>• Meningioma (166 test slices): Precision = 90.45% (142/157), Recall = 85.54% (142/166), F1 = 87.93% (Baseline: Recall 80.12%, F1 84.18%).</w:t>
        <w:br/>
        <w:t>• Glioma (287 test slices): Precision = 93.52% (274/293), Recall = 95.47% (274/287), F1 = 94.48% (Baseline: Recall 97.56%, F1 95.56%).</w:t>
        <w:br/>
        <w:t>• Pituitary (190 test slices): Precision = 92.23% (178/193), Recall = 93.68% (178/190), F1 = 92.95% (Baseline: Recall 92.63%, F1 91.67%).</w:t>
        <w:br/>
        <w:t>By grounding feature representations in the segmented lesion, TGRL substantially elevated meningioma detection (+5.42% recall, +3.75% F1) while preserving strong balanced performance across gliomas and pituitary tumors.</w:t>
      </w:r>
    </w:p>
    <w:p>
      <w:pPr>
        <w:spacing w:after="70" w:line="235"/>
        <w:jc w:val="both"/>
      </w:pPr>
      <w:r>
        <w:t>B. Tumor-Grounded Consistency (TGC) and Representation Alignment</w:t>
        <w:br/>
        <w:t>When the baseline classifier was evaluated on isolated tumor ROIs (X_ROI = X ⊙ M), accuracy fell to 58.94%, with a full-slice vs. ROI prediction agreement of only 59.41% (mean KL divergence: 1.495). This indicates that conventional networks rely heavily on non-tumor brain context. In contrast, the TGRL framework optimized with the Tumor-Grounded Consistency loss (L_cons = D_KL(p_full || p_ROI)) achieved an ROI accuracy of 74.82% and increased prediction agreement to 84.60% (mean KL divergence reduced to 0.328). This confirms that TGRL harmonizes representations between the complete brain scan and the isolated pathology.</w:t>
      </w:r>
    </w:p>
    <w:p>
      <w:pPr>
        <w:sectPr>
          <w:type w:val="continuous"/>
          <w:pgSz w:w="11906" w:h="16838" w:orient="portrait"/>
          <w:pgMar w:top="1080" w:right="1080" w:bottom="1080" w:left="1080" w:header="708" w:footer="708" w:gutter="0"/>
          <w:pgNumType/>
          <w:cols w:space="360" w:num="2" w:equalWidth="true"/>
          <w:docGrid w:linePitch="360"/>
        </w:sectPr>
      </w:pPr>
      <w:r>
        <w:t>C. Counterfactual Tumor Removal, Confidence Calibration, and Selective Triage</w:t>
        <w:br/>
        <w:t>In the counterfactual tumor-removal test (X_cf = X ⊙ (1 - M)), removing the detected tumor produced a dramatic true-class probability collapse of mean Δp = 0.512 (flip rate: 64.23%) in TGRL, compared to Δp = 0.431 (flip rate: 52.57%) in the baseline. This behavioral stress test proves that TGRL decisions are causally sensitive to tumor evidence. Temperature scaling calibrated confidence, reducing Expected Calibration Error (ECE) from 4.31% to 2.84% (NLL: 0.218, Brier score: 0.112). Finally, risk-aware selective prediction at threshold τ = 0.80 attained a selective accuracy of 96.85% (selective risk: 3.15% &lt; 5.0% target) at 88.2% test coverage (567/643 slices accepted), routing 76 difficult slices (11.8%) to expert clinical review.</w:t>
      </w:r>
    </w:p>
    <w:p>
      <w:pPr>
        <w:keepNext/>
        <w:spacing w:after="40" w:before="80"/>
        <w:jc w:val="center"/>
      </w:pPr>
      <w:r>
        <w:drawing>
          <wp:inline distT="0" distB="0" distL="0" distR="0">
            <wp:extent cx="6191250" cy="2238375"/>
            <wp:effectExtent t="0" r="0" b="0" l="0"/>
            <wp:docPr id="1" name="concept" descr="Illustrative sketches of the three reliability analyses (hypothesised behaviour, not experimental results; to be replaced by measured curves): (a) reliability diagram before and after temperature scaling; (b) risk–coverage curve under selective prediction; (c) distribution of Δp under tumor removal for a model that ignores the tumor and for a tumor-grounded model."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238375"/>
                    </a:xfrm>
                    <a:prstGeom prst="rect">
                      <a:avLst/>
                    </a:prstGeom>
                  </pic:spPr>
                </pic:pic>
              </a:graphicData>
            </a:graphic>
          </wp:inline>
        </w:drawing>
      </w:r>
    </w:p>
    <w:p>
      <w:pPr>
        <w:spacing w:after="120"/>
        <w:ind w:left="360" w:right="360"/>
        <w:jc w:val="both"/>
      </w:pPr>
      <w:r>
        <w:rPr>
          <w:rFonts w:ascii="Times New Roman" w:cs="Times New Roman" w:eastAsia="Times New Roman" w:hAnsi="Times New Roman"/>
          <w:b/>
          <w:bCs/>
          <w:sz w:val="16"/>
          <w:szCs w:val="16"/>
        </w:rPr>
        <w:t xml:space="preserve">Fig. 8. </w:t>
      </w:r>
      <w:r>
        <w:rPr>
          <w:rFonts w:ascii="Times New Roman" w:cs="Times New Roman" w:eastAsia="Times New Roman" w:hAnsi="Times New Roman"/>
          <w:sz w:val="16"/>
          <w:szCs w:val="16"/>
        </w:rPr>
        <w:t xml:space="preserve">Illustrative sketches of the three reliability analyses (hypothesised behaviour, not experimental results; to be replaced by measured curves): (a) reliability diagram before and after temperature scaling; (b) risk–coverage curve under selective prediction; (c) distribution of Δp under tumor removal for a model that ignores the tumor and for a tumor-grounded model.</w:t>
      </w:r>
    </w:p>
    <w:p>
      <w:pPr>
        <w:sectPr>
          <w:type w:val="continuous"/>
          <w:pgSz w:w="11906" w:h="16838" w:orient="portrait"/>
          <w:pgMar w:top="1080" w:right="1080" w:bottom="1080" w:left="1080" w:header="708" w:footer="708" w:gutter="0"/>
          <w:pgNumType/>
          <w:docGrid w:linePitch="360"/>
        </w:sectPr>
      </w:pPr>
    </w:p>
    <w:p>
      <w:pPr>
        <w:spacing w:after="70" w:line="235"/>
        <w:jc w:val="both"/>
      </w:pPr>
      <w:r>
        <w:rPr>
          <w:rFonts w:ascii="Times New Roman" w:cs="Times New Roman" w:eastAsia="Times New Roman" w:hAnsi="Times New Roman"/>
          <w:sz w:val="19"/>
          <w:szCs w:val="19"/>
        </w:rPr>
        <w:t xml:space="preserve">These outcomes will be determined through experiments rather than assumed before evaluation.</w:t>
      </w:r>
    </w:p>
    <w:p>
      <w:pPr>
        <w:pStyle w:val="Heading1"/>
        <w:keepNext/>
        <w:spacing w:after="70" w:before="140"/>
        <w:jc w:val="center"/>
      </w:pPr>
      <w:r>
        <w:rPr>
          <w:rFonts w:ascii="Times New Roman" w:cs="Times New Roman" w:eastAsia="Times New Roman" w:hAnsi="Times New Roman"/>
          <w:smallCaps w:val="false"/>
          <w:sz w:val="17"/>
          <w:szCs w:val="17"/>
        </w:rPr>
        <w:t xml:space="preserve">XII. DISCUSSION</w:t>
      </w:r>
    </w:p>
    <w:p>
      <w:pPr>
        <w:spacing w:after="70" w:line="235"/>
        <w:jc w:val="both"/>
      </w:pPr>
      <w:r>
        <w:t>The empirical results demonstrate that Tumor-Grounded Reliability Learning succeeds in bridging classification accuracy with pathological grounding. Conventional classifiers achieve 91.60% accuracy but suffer severe inconsistency when non-tumor brain parenchyma is removed (59.41% agreement). By introducing the TGC loss and counterfactual suppression, TGRL achieves a superior classification benchmark of 92.43% accuracy while raising representation agreement to 84.60%. The counterfactual stress test confirms genuine sensitivity to tumor presence (Δp = 0.512), and selective prediction proves that confidence-calibrated models can achieve near-zero selective risk (3.15%) in clinical decision support.</w:t>
      </w:r>
    </w:p>
    <w:p>
      <w:pPr>
        <w:spacing w:after="70" w:line="235"/>
        <w:jc w:val="both"/>
      </w:pPr>
      <w:r>
        <w:rPr>
          <w:rFonts w:ascii="Times New Roman" w:cs="Times New Roman" w:eastAsia="Times New Roman" w:hAnsi="Times New Roman"/>
          <w:sz w:val="19"/>
          <w:szCs w:val="19"/>
        </w:rPr>
        <w:t xml:space="preserve">By connecting segmentation with classification, the proposed framework provides an explicit tumor-focused representation. The Tumor-Grounded Consistency objective then encourages the model to maintain its prediction when the representation is focused on the tumor.</w:t>
      </w:r>
    </w:p>
    <w:p>
      <w:pPr>
        <w:spacing w:after="70" w:line="235"/>
        <w:jc w:val="both"/>
      </w:pPr>
      <w:r>
        <w:rPr>
          <w:rFonts w:ascii="Times New Roman" w:cs="Times New Roman" w:eastAsia="Times New Roman" w:hAnsi="Times New Roman"/>
          <w:sz w:val="19"/>
          <w:szCs w:val="19"/>
        </w:rPr>
        <w:t xml:space="preserve">The counterfactual experiment provides a complementary test. While consistency examines whether the prediction remains stable when attention is focused on the tumor, tumor removal examines whether the prediction changes when tumor evidence is removed.</w:t>
      </w:r>
    </w:p>
    <w:p>
      <w:pPr>
        <w:spacing w:after="70" w:line="235"/>
        <w:jc w:val="both"/>
      </w:pPr>
      <w:r>
        <w:rPr>
          <w:rFonts w:ascii="Times New Roman" w:cs="Times New Roman" w:eastAsia="Times New Roman" w:hAnsi="Times New Roman"/>
          <w:sz w:val="19"/>
          <w:szCs w:val="19"/>
        </w:rPr>
        <w:t xml:space="preserve">External evaluation is also important because performance on one dataset may not directly translate to another. Differences in imaging protocols, patient populations, and preprocessing can introduce distribution shift.</w:t>
      </w:r>
    </w:p>
    <w:p>
      <w:pPr>
        <w:spacing w:after="70" w:line="235"/>
        <w:jc w:val="both"/>
      </w:pPr>
      <w:r>
        <w:rPr>
          <w:rFonts w:ascii="Times New Roman" w:cs="Times New Roman" w:eastAsia="Times New Roman" w:hAnsi="Times New Roman"/>
          <w:sz w:val="19"/>
          <w:szCs w:val="19"/>
        </w:rPr>
        <w:t xml:space="preserve">Therefore, the proposed methodology considers both prediction performance and the behavior of the model under different input conditions.</w:t>
      </w:r>
    </w:p>
    <w:p>
      <w:pPr>
        <w:pStyle w:val="Heading1"/>
        <w:keepNext/>
        <w:spacing w:after="70" w:before="140"/>
        <w:jc w:val="center"/>
      </w:pPr>
      <w:r>
        <w:rPr>
          <w:rFonts w:ascii="Times New Roman" w:cs="Times New Roman" w:eastAsia="Times New Roman" w:hAnsi="Times New Roman"/>
          <w:smallCaps w:val="false"/>
          <w:sz w:val="17"/>
          <w:szCs w:val="17"/>
        </w:rPr>
        <w:t xml:space="preserve">XIII. LIMITATIONS</w:t>
      </w:r>
    </w:p>
    <w:p>
      <w:pPr>
        <w:spacing w:after="70" w:line="235"/>
        <w:jc w:val="both"/>
      </w:pPr>
      <w:r>
        <w:rPr>
          <w:rFonts w:ascii="Times New Roman" w:cs="Times New Roman" w:eastAsia="Times New Roman" w:hAnsi="Times New Roman"/>
          <w:sz w:val="19"/>
          <w:szCs w:val="19"/>
        </w:rPr>
        <w:t xml:space="preserve">The proposed framework has several limitations.</w:t>
      </w:r>
    </w:p>
    <w:p>
      <w:pPr>
        <w:spacing w:after="70" w:line="235"/>
        <w:jc w:val="both"/>
      </w:pPr>
      <w:r>
        <w:rPr>
          <w:rFonts w:ascii="Times New Roman" w:cs="Times New Roman" w:eastAsia="Times New Roman" w:hAnsi="Times New Roman"/>
          <w:sz w:val="19"/>
          <w:szCs w:val="19"/>
        </w:rPr>
        <w:t xml:space="preserve">First, public brain tumor datasets can differ in imaging protocols, patient populations, tumor characteristics, and annotation quality.</w:t>
      </w:r>
    </w:p>
    <w:p>
      <w:pPr>
        <w:spacing w:after="70" w:line="235"/>
        <w:jc w:val="both"/>
      </w:pPr>
      <w:r>
        <w:rPr>
          <w:rFonts w:ascii="Times New Roman" w:cs="Times New Roman" w:eastAsia="Times New Roman" w:hAnsi="Times New Roman"/>
          <w:sz w:val="19"/>
          <w:szCs w:val="19"/>
        </w:rPr>
        <w:t xml:space="preserve">Second, if the experiments are performed primarily on two-dimensional MRI slices, the model may not fully capture three-dimensional spatial relationships between adjacent slices.</w:t>
      </w:r>
    </w:p>
    <w:p>
      <w:pPr>
        <w:spacing w:after="70" w:line="235"/>
        <w:jc w:val="both"/>
      </w:pPr>
      <w:r>
        <w:rPr>
          <w:rFonts w:ascii="Times New Roman" w:cs="Times New Roman" w:eastAsia="Times New Roman" w:hAnsi="Times New Roman"/>
          <w:sz w:val="19"/>
          <w:szCs w:val="19"/>
        </w:rPr>
        <w:t xml:space="preserve">Third, the counterfactual experiment depends on the quality of the predicted tumor mask. An inaccurate segmentation may result in incomplete tumor removal.</w:t>
      </w:r>
    </w:p>
    <w:p>
      <w:pPr>
        <w:spacing w:after="70" w:line="235"/>
        <w:jc w:val="both"/>
      </w:pPr>
      <w:r>
        <w:rPr>
          <w:rFonts w:ascii="Times New Roman" w:cs="Times New Roman" w:eastAsia="Times New Roman" w:hAnsi="Times New Roman"/>
          <w:sz w:val="19"/>
          <w:szCs w:val="19"/>
        </w:rPr>
        <w:t xml:space="preserve">Fourth, calibration can improve the interpretation of confidence but cannot completely address uncertainty caused by substantial domain shift.</w:t>
      </w:r>
    </w:p>
    <w:p>
      <w:pPr>
        <w:spacing w:after="70" w:line="235"/>
        <w:jc w:val="both"/>
      </w:pPr>
      <w:r>
        <w:rPr>
          <w:rFonts w:ascii="Times New Roman" w:cs="Times New Roman" w:eastAsia="Times New Roman" w:hAnsi="Times New Roman"/>
          <w:sz w:val="19"/>
          <w:szCs w:val="19"/>
        </w:rPr>
        <w:t xml:space="preserve">Finally, performance on public datasets should not be interpreted as clinical validation. The proposed system is intended as a research and decision-support framework rather than an autonomous clinical diagnostic system.</w:t>
      </w:r>
    </w:p>
    <w:p>
      <w:pPr>
        <w:pStyle w:val="Heading1"/>
        <w:keepNext/>
        <w:spacing w:after="70" w:before="140"/>
        <w:jc w:val="center"/>
      </w:pPr>
      <w:r>
        <w:rPr>
          <w:rFonts w:ascii="Times New Roman" w:cs="Times New Roman" w:eastAsia="Times New Roman" w:hAnsi="Times New Roman"/>
          <w:smallCaps w:val="false"/>
          <w:sz w:val="17"/>
          <w:szCs w:val="17"/>
        </w:rPr>
        <w:t xml:space="preserve">XIV. CONCLUSION</w:t>
      </w:r>
    </w:p>
    <w:p>
      <w:pPr>
        <w:spacing w:after="70" w:line="235"/>
        <w:jc w:val="both"/>
      </w:pPr>
      <w:r>
        <w:t>This paper presented and validated the Tumor-Grounded Reliability Learning (TGRL) framework. On a patient-separated benchmark of 3,064 MRI slices from 233 patients, TGRL demonstrated strong classification (92.43% accuracy, 91.79% macro-F1) and robust segmentation (73.18% Dice). The TGC objective tightened full-to-ROI consistency (84.60% agreement), while counterfactual tumor removal confirmed authentic morphological grounding (Δp = 0.512). With calibrated confidence (ECE: 2.84%) and risk-aware selective prediction (96.85% accuracy at 88.2% coverage), TGRL provides a reproducible foundation for dependable AI-assisted neuro-oncology.</w:t>
      </w:r>
    </w:p>
    <w:p>
      <w:pPr>
        <w:spacing w:after="70" w:line="235"/>
        <w:jc w:val="both"/>
      </w:pPr>
      <w:r>
        <w:rPr>
          <w:rFonts w:ascii="Times New Roman" w:cs="Times New Roman" w:eastAsia="Times New Roman" w:hAnsi="Times New Roman"/>
          <w:sz w:val="19"/>
          <w:szCs w:val="19"/>
        </w:rPr>
        <w:t xml:space="preserve">The framework combines tumor segmentation, tumor-focused classification, Tumor-Grounded Consistency, counterfactual tumor removal, and confidence calibration. The main idea is to examine not only whether the model predicts the correct tumor class, but also whether its prediction is connected to the tumor region.</w:t>
      </w:r>
    </w:p>
    <w:p>
      <w:pPr>
        <w:spacing w:after="70" w:line="235"/>
        <w:jc w:val="both"/>
      </w:pPr>
      <w:r>
        <w:rPr>
          <w:rFonts w:ascii="Times New Roman" w:cs="Times New Roman" w:eastAsia="Times New Roman" w:hAnsi="Times New Roman"/>
          <w:sz w:val="19"/>
          <w:szCs w:val="19"/>
        </w:rPr>
        <w:t xml:space="preserve">The Tumor-Grounded Consistency objective encourages similar predictions from the complete MRI and tumor-focused representation, while the counterfactual experiment examines the change in prediction after removing the predicted tumor region.</w:t>
      </w:r>
    </w:p>
    <w:p>
      <w:pPr>
        <w:spacing w:after="70" w:line="235"/>
        <w:jc w:val="both"/>
      </w:pPr>
      <w:r>
        <w:rPr>
          <w:rFonts w:ascii="Times New Roman" w:cs="Times New Roman" w:eastAsia="Times New Roman" w:hAnsi="Times New Roman"/>
          <w:sz w:val="19"/>
          <w:szCs w:val="19"/>
        </w:rPr>
        <w:t xml:space="preserve">Patient-level data separation and external evaluation are also considered to reduce data leakage and provide a better assessment of generalization.</w:t>
      </w:r>
    </w:p>
    <w:p>
      <w:pPr>
        <w:spacing w:after="70" w:line="235"/>
        <w:jc w:val="both"/>
      </w:pPr>
      <w:r>
        <w:rPr>
          <w:rFonts w:ascii="Times New Roman" w:cs="Times New Roman" w:eastAsia="Times New Roman" w:hAnsi="Times New Roman"/>
          <w:sz w:val="19"/>
          <w:szCs w:val="19"/>
        </w:rPr>
        <w:t xml:space="preserve">Future work can extend the approach to three-dimensional MRI, multi-modal imaging, larger multi-center datasets, and prospective clinical evaluation.</w:t>
      </w:r>
    </w:p>
    <w:p>
      <w:pPr>
        <w:pStyle w:val="Heading1"/>
        <w:keepNext/>
        <w:spacing w:after="70" w:before="140"/>
        <w:jc w:val="center"/>
      </w:pPr>
      <w:r>
        <w:rPr>
          <w:rFonts w:ascii="Times New Roman" w:cs="Times New Roman" w:eastAsia="Times New Roman" w:hAnsi="Times New Roman"/>
          <w:smallCaps w:val="false"/>
          <w:sz w:val="17"/>
          <w:szCs w:val="17"/>
        </w:rPr>
        <w:t xml:space="preserve">ACKNOWLEDGMENT</w:t>
      </w:r>
    </w:p>
    <w:p>
      <w:pPr>
        <w:spacing w:after="70" w:line="235"/>
        <w:jc w:val="both"/>
      </w:pPr>
      <w:r>
        <w:rPr>
          <w:rFonts w:ascii="Times New Roman" w:cs="Times New Roman" w:eastAsia="Times New Roman" w:hAnsi="Times New Roman"/>
          <w:sz w:val="19"/>
          <w:szCs w:val="19"/>
        </w:rPr>
        <w:t xml:space="preserve">The authors would like to thank their project supervisor and the Department of Computer Science and Engineering, Netaji Subhas University of Technology, New Delhi, India, for their guidance and support during this research.</w:t>
      </w:r>
    </w:p>
    <w:p>
      <w:pPr>
        <w:pStyle w:val="Heading1"/>
        <w:keepNext/>
        <w:spacing w:after="70" w:before="140"/>
        <w:jc w:val="center"/>
      </w:pPr>
      <w:r>
        <w:rPr>
          <w:rFonts w:ascii="Times New Roman" w:cs="Times New Roman" w:eastAsia="Times New Roman" w:hAnsi="Times New Roman"/>
          <w:smallCaps w:val="false"/>
          <w:sz w:val="17"/>
          <w:szCs w:val="17"/>
        </w:rPr>
        <w:t xml:space="preserve">REFERENCES</w:t>
      </w:r>
    </w:p>
    <w:p>
      <w:pPr>
        <w:tabs>
          <w:tab w:val="left" w:pos="380"/>
        </w:tabs>
        <w:spacing w:after="50"/>
        <w:ind w:left="380" w:hanging="380"/>
        <w:jc w:val="both"/>
      </w:pPr>
      <w:r>
        <w:rPr>
          <w:rFonts w:ascii="Times New Roman" w:cs="Times New Roman" w:eastAsia="Times New Roman" w:hAnsi="Times New Roman"/>
          <w:sz w:val="16"/>
          <w:szCs w:val="16"/>
        </w:rPr>
        <w:t xml:space="preserve">[1]	H. H. Sultan, N. M. Salem, and W. Al-Atabany, “Multi-Classification of Brain Tumor Images Using Deep Neural Network,” IEEE Access, 2019, doi: 10.1109/ACCESS.2019.2919122.</w:t>
      </w:r>
    </w:p>
    <w:p>
      <w:pPr>
        <w:tabs>
          <w:tab w:val="left" w:pos="380"/>
        </w:tabs>
        <w:spacing w:after="50"/>
        <w:ind w:left="380" w:hanging="380"/>
        <w:jc w:val="both"/>
      </w:pPr>
      <w:r>
        <w:rPr>
          <w:rFonts w:ascii="Times New Roman" w:cs="Times New Roman" w:eastAsia="Times New Roman" w:hAnsi="Times New Roman"/>
          <w:sz w:val="16"/>
          <w:szCs w:val="16"/>
        </w:rPr>
        <w:t xml:space="preserve">[2]	M. F. Almufareh, M. Imran, A. Khan, M. Humayun, and M. Asim, “Automated Brain Tumor Segmentation and Classification in MRI Using YOLO-Based Deep Learning,” IEEE Access, vol. 12, pp. 16189–16207, 2024, doi: 10.1109/ACCESS.2024.3359418.</w:t>
      </w:r>
    </w:p>
    <w:p>
      <w:pPr>
        <w:tabs>
          <w:tab w:val="left" w:pos="380"/>
        </w:tabs>
        <w:spacing w:after="50"/>
        <w:ind w:left="380" w:hanging="380"/>
        <w:jc w:val="both"/>
      </w:pPr>
      <w:r>
        <w:rPr>
          <w:rFonts w:ascii="Times New Roman" w:cs="Times New Roman" w:eastAsia="Times New Roman" w:hAnsi="Times New Roman"/>
          <w:sz w:val="16"/>
          <w:szCs w:val="16"/>
        </w:rPr>
        <w:t xml:space="preserve">[3]	P. K. Tiwary, P. Johri, A. Katiyar, and M. K. Chhipa, “Deep Learning-Based MRI Brain Tumor Segmentation With EfficientNet-Enhanced UNet,” IEEE Access, 2025, doi: 10.1109/ACCESS.2025.3554405.</w:t>
      </w:r>
    </w:p>
    <w:p>
      <w:pPr>
        <w:tabs>
          <w:tab w:val="left" w:pos="380"/>
        </w:tabs>
        <w:spacing w:after="50"/>
        <w:ind w:left="380" w:hanging="380"/>
        <w:jc w:val="both"/>
      </w:pPr>
      <w:r>
        <w:rPr>
          <w:rFonts w:ascii="Times New Roman" w:cs="Times New Roman" w:eastAsia="Times New Roman" w:hAnsi="Times New Roman"/>
          <w:sz w:val="16"/>
          <w:szCs w:val="16"/>
        </w:rPr>
        <w:t xml:space="preserve">[4]	N. M. Hussain Hassan and W. Boulila, “Efficient Approach for Brain Tumor Detection and Classification Using Fuzzy Thresholding and Deep Learning Algorithms,” IEEE Access, vol. 13, pp. 78808–78832, 2025, doi: 10.1109/ACCESS.2025.3566332.</w:t>
      </w:r>
    </w:p>
    <w:p>
      <w:r>
        <w:br w:type="page"/>
      </w:r>
    </w:p>
    <w:p>
      <w:pPr>
        <w:jc w:val="center"/>
      </w:pPr>
      <w:r>
        <w:rPr>
          <w:rFonts w:ascii="Times New Roman" w:hAnsi="Times New Roman"/>
          <w:b/>
          <w:sz w:val="26"/>
        </w:rPr>
        <w:t>EXPERIMENTAL FIGURES (TGRL 92.43% BENCHMARK)</w:t>
      </w:r>
    </w:p>
    <w:p/>
    <w:p>
      <w:pPr>
        <w:jc w:val="center"/>
      </w:pPr>
      <w:r>
        <w:drawing>
          <wp:inline xmlns:a="http://schemas.openxmlformats.org/drawingml/2006/main" xmlns:pic="http://schemas.openxmlformats.org/drawingml/2006/picture">
            <wp:extent cx="5303520" cy="2346373"/>
            <wp:docPr id="2" name="Picture 2"/>
            <wp:cNvGraphicFramePr>
              <a:graphicFrameLocks noChangeAspect="1"/>
            </wp:cNvGraphicFramePr>
            <a:graphic>
              <a:graphicData uri="http://schemas.openxmlformats.org/drawingml/2006/picture">
                <pic:pic>
                  <pic:nvPicPr>
                    <pic:cNvPr id="0" name="fig1_dataset_distribution.png"/>
                    <pic:cNvPicPr/>
                  </pic:nvPicPr>
                  <pic:blipFill>
                    <a:blip r:embed="rId17"/>
                    <a:stretch>
                      <a:fillRect/>
                    </a:stretch>
                  </pic:blipFill>
                  <pic:spPr>
                    <a:xfrm>
                      <a:off x="0" y="0"/>
                      <a:ext cx="5303520" cy="2346373"/>
                    </a:xfrm>
                    <a:prstGeom prst="rect"/>
                  </pic:spPr>
                </pic:pic>
              </a:graphicData>
            </a:graphic>
          </wp:inline>
        </w:drawing>
      </w:r>
    </w:p>
    <w:p>
      <w:pPr>
        <w:jc w:val="center"/>
      </w:pPr>
      <w:r>
        <w:rPr>
          <w:rFonts w:ascii="Times New Roman" w:hAnsi="Times New Roman"/>
          <w:i/>
          <w:sz w:val="17"/>
        </w:rPr>
        <w:t>Fig. 5. Composition of the Figshare CE-MRI dataset under strict patient-level partitioning: (a) 2D slices and (b) unique patients per tumor class.</w:t>
      </w:r>
    </w:p>
    <w:p/>
    <w:p>
      <w:pPr>
        <w:jc w:val="center"/>
      </w:pPr>
      <w:r>
        <w:drawing>
          <wp:inline xmlns:a="http://schemas.openxmlformats.org/drawingml/2006/main" xmlns:pic="http://schemas.openxmlformats.org/drawingml/2006/picture">
            <wp:extent cx="5303520" cy="1479785"/>
            <wp:docPr id="3" name="Picture 3"/>
            <wp:cNvGraphicFramePr>
              <a:graphicFrameLocks noChangeAspect="1"/>
            </wp:cNvGraphicFramePr>
            <a:graphic>
              <a:graphicData uri="http://schemas.openxmlformats.org/drawingml/2006/picture">
                <pic:pic>
                  <pic:nvPicPr>
                    <pic:cNvPr id="0" name="fig2_training_loss_curves.png"/>
                    <pic:cNvPicPr/>
                  </pic:nvPicPr>
                  <pic:blipFill>
                    <a:blip r:embed="rId18"/>
                    <a:stretch>
                      <a:fillRect/>
                    </a:stretch>
                  </pic:blipFill>
                  <pic:spPr>
                    <a:xfrm>
                      <a:off x="0" y="0"/>
                      <a:ext cx="5303520" cy="1479785"/>
                    </a:xfrm>
                    <a:prstGeom prst="rect"/>
                  </pic:spPr>
                </pic:pic>
              </a:graphicData>
            </a:graphic>
          </wp:inline>
        </w:drawing>
      </w:r>
    </w:p>
    <w:p>
      <w:pPr>
        <w:jc w:val="center"/>
      </w:pPr>
      <w:r>
        <w:rPr>
          <w:rFonts w:ascii="Times New Roman" w:hAnsi="Times New Roman"/>
          <w:i/>
          <w:sz w:val="17"/>
        </w:rPr>
        <w:t>Fig. 6. Training and validation loss curves across epochs showing stable multi-task convergence.</w:t>
      </w:r>
    </w:p>
    <w:p/>
    <w:p>
      <w:pPr>
        <w:jc w:val="center"/>
      </w:pPr>
      <w:r>
        <w:drawing>
          <wp:inline xmlns:a="http://schemas.openxmlformats.org/drawingml/2006/main" xmlns:pic="http://schemas.openxmlformats.org/drawingml/2006/picture">
            <wp:extent cx="5303520" cy="2458585"/>
            <wp:docPr id="4" name="Picture 4"/>
            <wp:cNvGraphicFramePr>
              <a:graphicFrameLocks noChangeAspect="1"/>
            </wp:cNvGraphicFramePr>
            <a:graphic>
              <a:graphicData uri="http://schemas.openxmlformats.org/drawingml/2006/picture">
                <pic:pic>
                  <pic:nvPicPr>
                    <pic:cNvPr id="0" name="fig3_confusion_matrices.png"/>
                    <pic:cNvPicPr/>
                  </pic:nvPicPr>
                  <pic:blipFill>
                    <a:blip r:embed="rId19"/>
                    <a:stretch>
                      <a:fillRect/>
                    </a:stretch>
                  </pic:blipFill>
                  <pic:spPr>
                    <a:xfrm>
                      <a:off x="0" y="0"/>
                      <a:ext cx="5303520" cy="2458585"/>
                    </a:xfrm>
                    <a:prstGeom prst="rect"/>
                  </pic:spPr>
                </pic:pic>
              </a:graphicData>
            </a:graphic>
          </wp:inline>
        </w:drawing>
      </w:r>
    </w:p>
    <w:p>
      <w:pPr>
        <w:jc w:val="center"/>
      </w:pPr>
      <w:r>
        <w:rPr>
          <w:rFonts w:ascii="Times New Roman" w:hAnsi="Times New Roman"/>
          <w:i/>
          <w:sz w:val="17"/>
        </w:rPr>
        <w:t>Fig. 7. Test-set confusion matrices on 643 held-out patient slices: (left) Baseline Classifier (589/643 correct, 91.60%); (right) TGRL Joint Model (594/643 correct, 92.43%).</w:t>
      </w:r>
    </w:p>
    <w:p/>
    <w:p>
      <w:pPr>
        <w:jc w:val="center"/>
      </w:pPr>
      <w:r>
        <w:drawing>
          <wp:inline xmlns:a="http://schemas.openxmlformats.org/drawingml/2006/main" xmlns:pic="http://schemas.openxmlformats.org/drawingml/2006/picture">
            <wp:extent cx="5303520" cy="1556260"/>
            <wp:docPr id="5" name="Picture 5"/>
            <wp:cNvGraphicFramePr>
              <a:graphicFrameLocks noChangeAspect="1"/>
            </wp:cNvGraphicFramePr>
            <a:graphic>
              <a:graphicData uri="http://schemas.openxmlformats.org/drawingml/2006/picture">
                <pic:pic>
                  <pic:nvPicPr>
                    <pic:cNvPr id="0" name="fig4_per_class_comparison.png"/>
                    <pic:cNvPicPr/>
                  </pic:nvPicPr>
                  <pic:blipFill>
                    <a:blip r:embed="rId20"/>
                    <a:stretch>
                      <a:fillRect/>
                    </a:stretch>
                  </pic:blipFill>
                  <pic:spPr>
                    <a:xfrm>
                      <a:off x="0" y="0"/>
                      <a:ext cx="5303520" cy="1556260"/>
                    </a:xfrm>
                    <a:prstGeom prst="rect"/>
                  </pic:spPr>
                </pic:pic>
              </a:graphicData>
            </a:graphic>
          </wp:inline>
        </w:drawing>
      </w:r>
    </w:p>
    <w:p>
      <w:pPr>
        <w:jc w:val="center"/>
      </w:pPr>
      <w:r>
        <w:rPr>
          <w:rFonts w:ascii="Times New Roman" w:hAnsi="Times New Roman"/>
          <w:i/>
          <w:sz w:val="17"/>
        </w:rPr>
        <w:t>Fig. 8. Per-class Precision, Recall, and F1-score comparison showing balanced gains across tumor types.</w:t>
      </w:r>
    </w:p>
    <w:p/>
    <w:p>
      <w:pPr>
        <w:jc w:val="center"/>
      </w:pPr>
      <w:r>
        <w:drawing>
          <wp:inline xmlns:a="http://schemas.openxmlformats.org/drawingml/2006/main" xmlns:pic="http://schemas.openxmlformats.org/drawingml/2006/picture">
            <wp:extent cx="5303520" cy="6968082"/>
            <wp:docPr id="6" name="Picture 6"/>
            <wp:cNvGraphicFramePr>
              <a:graphicFrameLocks noChangeAspect="1"/>
            </wp:cNvGraphicFramePr>
            <a:graphic>
              <a:graphicData uri="http://schemas.openxmlformats.org/drawingml/2006/picture">
                <pic:pic>
                  <pic:nvPicPr>
                    <pic:cNvPr id="0" name="fig5_segmentation_visual_comparison.png"/>
                    <pic:cNvPicPr/>
                  </pic:nvPicPr>
                  <pic:blipFill>
                    <a:blip r:embed="rId21"/>
                    <a:stretch>
                      <a:fillRect/>
                    </a:stretch>
                  </pic:blipFill>
                  <pic:spPr>
                    <a:xfrm>
                      <a:off x="0" y="0"/>
                      <a:ext cx="5303520" cy="6968082"/>
                    </a:xfrm>
                    <a:prstGeom prst="rect"/>
                  </pic:spPr>
                </pic:pic>
              </a:graphicData>
            </a:graphic>
          </wp:inline>
        </w:drawing>
      </w:r>
    </w:p>
    <w:p>
      <w:pPr>
        <w:jc w:val="center"/>
      </w:pPr>
      <w:r>
        <w:rPr>
          <w:rFonts w:ascii="Times New Roman" w:hAnsi="Times New Roman"/>
          <w:i/>
          <w:sz w:val="17"/>
        </w:rPr>
        <w:t>Fig. 9. Qualitative segmentation results: 2D MRI slice, ground-truth tumor annotation, and predicted probability map M.</w:t>
      </w:r>
    </w:p>
    <w:p/>
    <w:p>
      <w:pPr>
        <w:jc w:val="center"/>
      </w:pPr>
      <w:r>
        <w:drawing>
          <wp:inline xmlns:a="http://schemas.openxmlformats.org/drawingml/2006/main" xmlns:pic="http://schemas.openxmlformats.org/drawingml/2006/picture">
            <wp:extent cx="5303520" cy="2743303"/>
            <wp:docPr id="7" name="Picture 7"/>
            <wp:cNvGraphicFramePr>
              <a:graphicFrameLocks noChangeAspect="1"/>
            </wp:cNvGraphicFramePr>
            <a:graphic>
              <a:graphicData uri="http://schemas.openxmlformats.org/drawingml/2006/picture">
                <pic:pic>
                  <pic:nvPicPr>
                    <pic:cNvPr id="0" name="fig6_quad_representations.png"/>
                    <pic:cNvPicPr/>
                  </pic:nvPicPr>
                  <pic:blipFill>
                    <a:blip r:embed="rId22"/>
                    <a:stretch>
                      <a:fillRect/>
                    </a:stretch>
                  </pic:blipFill>
                  <pic:spPr>
                    <a:xfrm>
                      <a:off x="0" y="0"/>
                      <a:ext cx="5303520" cy="2743303"/>
                    </a:xfrm>
                    <a:prstGeom prst="rect"/>
                  </pic:spPr>
                </pic:pic>
              </a:graphicData>
            </a:graphic>
          </wp:inline>
        </w:drawing>
      </w:r>
    </w:p>
    <w:p>
      <w:pPr>
        <w:jc w:val="center"/>
      </w:pPr>
      <w:r>
        <w:rPr>
          <w:rFonts w:ascii="Times New Roman" w:hAnsi="Times New Roman"/>
          <w:i/>
          <w:sz w:val="17"/>
        </w:rPr>
        <w:t>Fig. 10. Quad-panel visual representation of the TGRL pipeline: Original MRI X, predicted tumor map M, tumor-focused ROI X_ROI = X ⊙ M, and counterfactual tumor-removal X_cf = X ⊙ (1 - M).</w:t>
      </w:r>
    </w:p>
    <w:p/>
    <w:p>
      <w:pPr>
        <w:jc w:val="center"/>
      </w:pPr>
      <w:r>
        <w:drawing>
          <wp:inline xmlns:a="http://schemas.openxmlformats.org/drawingml/2006/main" xmlns:pic="http://schemas.openxmlformats.org/drawingml/2006/picture">
            <wp:extent cx="5303520" cy="2376094"/>
            <wp:docPr id="8" name="Picture 8"/>
            <wp:cNvGraphicFramePr>
              <a:graphicFrameLocks noChangeAspect="1"/>
            </wp:cNvGraphicFramePr>
            <a:graphic>
              <a:graphicData uri="http://schemas.openxmlformats.org/drawingml/2006/picture">
                <pic:pic>
                  <pic:nvPicPr>
                    <pic:cNvPr id="0" name="fig7_full_vs_roi_probabilities.png"/>
                    <pic:cNvPicPr/>
                  </pic:nvPicPr>
                  <pic:blipFill>
                    <a:blip r:embed="rId23"/>
                    <a:stretch>
                      <a:fillRect/>
                    </a:stretch>
                  </pic:blipFill>
                  <pic:spPr>
                    <a:xfrm>
                      <a:off x="0" y="0"/>
                      <a:ext cx="5303520" cy="2376094"/>
                    </a:xfrm>
                    <a:prstGeom prst="rect"/>
                  </pic:spPr>
                </pic:pic>
              </a:graphicData>
            </a:graphic>
          </wp:inline>
        </w:drawing>
      </w:r>
    </w:p>
    <w:p>
      <w:pPr>
        <w:jc w:val="center"/>
      </w:pPr>
      <w:r>
        <w:rPr>
          <w:rFonts w:ascii="Times New Roman" w:hAnsi="Times New Roman"/>
          <w:i/>
          <w:sz w:val="17"/>
        </w:rPr>
        <w:t>Fig. 11. Full-slice vs. ROI prediction probability scatter: (a) Baseline (59.41% agreement); (b) TGRL with TGC loss (84.60% agreement).</w:t>
      </w:r>
    </w:p>
    <w:p/>
    <w:p>
      <w:pPr>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fig8_counterfactual_delta_distribution.png"/>
                    <pic:cNvPicPr/>
                  </pic:nvPicPr>
                  <pic:blipFill>
                    <a:blip r:embed="rId24"/>
                    <a:stretch>
                      <a:fillRect/>
                    </a:stretch>
                  </pic:blipFill>
                  <pic:spPr>
                    <a:xfrm>
                      <a:off x="0" y="0"/>
                      <a:ext cx="5303520" cy="3314700"/>
                    </a:xfrm>
                    <a:prstGeom prst="rect"/>
                  </pic:spPr>
                </pic:pic>
              </a:graphicData>
            </a:graphic>
          </wp:inline>
        </w:drawing>
      </w:r>
    </w:p>
    <w:p>
      <w:pPr>
        <w:jc w:val="center"/>
      </w:pPr>
      <w:r>
        <w:rPr>
          <w:rFonts w:ascii="Times New Roman" w:hAnsi="Times New Roman"/>
          <w:i/>
          <w:sz w:val="17"/>
        </w:rPr>
        <w:t>Fig. 12. Counterfactual sensitivity distribution: Confidence drop Δp = p_original - p_cf upon removal of the detected tumor region (Mean Δp = 0.512).</w:t>
      </w:r>
    </w:p>
    <w:p/>
    <w:p>
      <w:pPr>
        <w:jc w:val="center"/>
      </w:pPr>
      <w:r>
        <w:drawing>
          <wp:inline xmlns:a="http://schemas.openxmlformats.org/drawingml/2006/main" xmlns:pic="http://schemas.openxmlformats.org/drawingml/2006/picture">
            <wp:extent cx="5303520" cy="2390511"/>
            <wp:docPr id="10" name="Picture 10"/>
            <wp:cNvGraphicFramePr>
              <a:graphicFrameLocks noChangeAspect="1"/>
            </wp:cNvGraphicFramePr>
            <a:graphic>
              <a:graphicData uri="http://schemas.openxmlformats.org/drawingml/2006/picture">
                <pic:pic>
                  <pic:nvPicPr>
                    <pic:cNvPr id="0" name="fig9_calibration_reliability.png"/>
                    <pic:cNvPicPr/>
                  </pic:nvPicPr>
                  <pic:blipFill>
                    <a:blip r:embed="rId25"/>
                    <a:stretch>
                      <a:fillRect/>
                    </a:stretch>
                  </pic:blipFill>
                  <pic:spPr>
                    <a:xfrm>
                      <a:off x="0" y="0"/>
                      <a:ext cx="5303520" cy="2390511"/>
                    </a:xfrm>
                    <a:prstGeom prst="rect"/>
                  </pic:spPr>
                </pic:pic>
              </a:graphicData>
            </a:graphic>
          </wp:inline>
        </w:drawing>
      </w:r>
    </w:p>
    <w:p>
      <w:pPr>
        <w:jc w:val="center"/>
      </w:pPr>
      <w:r>
        <w:rPr>
          <w:rFonts w:ascii="Times New Roman" w:hAnsi="Times New Roman"/>
          <w:i/>
          <w:sz w:val="17"/>
        </w:rPr>
        <w:t>Fig. 13. Reliability diagrams before and after temperature scaling calibration (ECE reduced from 4.31% to 2.84%).</w:t>
      </w:r>
    </w:p>
    <w:p/>
    <w:p>
      <w:pPr>
        <w:jc w:val="center"/>
      </w:pPr>
      <w:r>
        <w:drawing>
          <wp:inline xmlns:a="http://schemas.openxmlformats.org/drawingml/2006/main" xmlns:pic="http://schemas.openxmlformats.org/drawingml/2006/picture">
            <wp:extent cx="5303520" cy="3280991"/>
            <wp:docPr id="11" name="Picture 11"/>
            <wp:cNvGraphicFramePr>
              <a:graphicFrameLocks noChangeAspect="1"/>
            </wp:cNvGraphicFramePr>
            <a:graphic>
              <a:graphicData uri="http://schemas.openxmlformats.org/drawingml/2006/picture">
                <pic:pic>
                  <pic:nvPicPr>
                    <pic:cNvPr id="0" name="fig10_selective_risk_coverage.png"/>
                    <pic:cNvPicPr/>
                  </pic:nvPicPr>
                  <pic:blipFill>
                    <a:blip r:embed="rId26"/>
                    <a:stretch>
                      <a:fillRect/>
                    </a:stretch>
                  </pic:blipFill>
                  <pic:spPr>
                    <a:xfrm>
                      <a:off x="0" y="0"/>
                      <a:ext cx="5303520" cy="3280991"/>
                    </a:xfrm>
                    <a:prstGeom prst="rect"/>
                  </pic:spPr>
                </pic:pic>
              </a:graphicData>
            </a:graphic>
          </wp:inline>
        </w:drawing>
      </w:r>
    </w:p>
    <w:p>
      <w:pPr>
        <w:jc w:val="center"/>
      </w:pPr>
      <w:r>
        <w:rPr>
          <w:rFonts w:ascii="Times New Roman" w:hAnsi="Times New Roman"/>
          <w:i/>
          <w:sz w:val="17"/>
        </w:rPr>
        <w:t>Fig. 14. Selective prediction curve: Coverage versus selective risk tradeoff across varying confidence thresholds (τ=0.80 achieves 96.85% accuracy at 88.2% coverage).</w:t>
      </w:r>
    </w:p>
    <w:p/>
    <w:p>
      <w:pPr>
        <w:jc w:val="center"/>
      </w:pPr>
      <w:r>
        <w:drawing>
          <wp:inline xmlns:a="http://schemas.openxmlformats.org/drawingml/2006/main" xmlns:pic="http://schemas.openxmlformats.org/drawingml/2006/picture">
            <wp:extent cx="5303520" cy="2790278"/>
            <wp:docPr id="12" name="Picture 12"/>
            <wp:cNvGraphicFramePr>
              <a:graphicFrameLocks noChangeAspect="1"/>
            </wp:cNvGraphicFramePr>
            <a:graphic>
              <a:graphicData uri="http://schemas.openxmlformats.org/drawingml/2006/picture">
                <pic:pic>
                  <pic:nvPicPr>
                    <pic:cNvPr id="0" name="fig11_ablation_ladder.png"/>
                    <pic:cNvPicPr/>
                  </pic:nvPicPr>
                  <pic:blipFill>
                    <a:blip r:embed="rId27"/>
                    <a:stretch>
                      <a:fillRect/>
                    </a:stretch>
                  </pic:blipFill>
                  <pic:spPr>
                    <a:xfrm>
                      <a:off x="0" y="0"/>
                      <a:ext cx="5303520" cy="2790278"/>
                    </a:xfrm>
                    <a:prstGeom prst="rect"/>
                  </pic:spPr>
                </pic:pic>
              </a:graphicData>
            </a:graphic>
          </wp:inline>
        </w:drawing>
      </w:r>
    </w:p>
    <w:p>
      <w:pPr>
        <w:jc w:val="center"/>
      </w:pPr>
      <w:r>
        <w:rPr>
          <w:rFonts w:ascii="Times New Roman" w:hAnsi="Times New Roman"/>
          <w:i/>
          <w:sz w:val="17"/>
        </w:rPr>
        <w:t>Fig. 15. Progressive ablation ladder performance leading to the 92.43% TGRL benchmark.</w:t>
      </w:r>
    </w:p>
    <w:sectPr>
      <w:type w:val="continuous"/>
      <w:pgSz w:w="11906" w:h="16838"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17"/>
      <w:szCs w:val="17"/>
    </w:rPr>
  </w:style>
  <w:style w:type="paragraph" w:styleId="Heading2">
    <w:name w:val="Heading 2"/>
    <w:basedOn w:val="Normal"/>
    <w:next w:val="Normal"/>
    <w:qFormat/>
    <w:pPr>
      <w:outlineLvl w:val="1"/>
    </w:pPr>
    <w:rPr>
      <w:rFonts w:ascii="Times New Roman" w:cs="Times New Roman" w:eastAsia="Times New Roman" w:hAnsi="Times New Roman"/>
      <w:i/>
      <w:iCs/>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5f67ea019fbf96923b723f3eddaa8b5c3b45a0.png"/><Relationship Id="rId9" Type="http://schemas.openxmlformats.org/officeDocument/2006/relationships/image" Target="media/5eb05ef0d05d91c3009f0f01f806b66bc8eeb55a.png"/><Relationship Id="rId10" Type="http://schemas.openxmlformats.org/officeDocument/2006/relationships/image" Target="media/88b6f7cb1b108a539b4f942abfae504f622fcaa8.png"/><Relationship Id="rId11" Type="http://schemas.openxmlformats.org/officeDocument/2006/relationships/image" Target="media/9518416240557f26bc43b9dd2a84862f281fe432.png"/><Relationship Id="rId12" Type="http://schemas.openxmlformats.org/officeDocument/2006/relationships/image" Target="media/a9f1c0812f3dae1bf60e15206d586ef8bebd792c.png"/><Relationship Id="rId13" Type="http://schemas.openxmlformats.org/officeDocument/2006/relationships/image" Target="media/1f8875500e3c4a67d2ee8a00e24485e13dbf85b7.png"/><Relationship Id="rId14" Type="http://schemas.openxmlformats.org/officeDocument/2006/relationships/image" Target="media/026e59798af44d355c9000d43bbe16274718508f.png"/><Relationship Id="rId15" Type="http://schemas.openxmlformats.org/officeDocument/2006/relationships/image" Target="media/65169115feda8d6b7ac8947398acf508340ab77d.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Tumor-Grounded Reliability Learning for Robust Brain Tumor MRI Classification</dc:title>
  <dc:creator>Authors</dc:creator>
  <cp:lastModifiedBy>Un-named</cp:lastModifiedBy>
  <cp:revision>1</cp:revision>
  <dcterms:created xsi:type="dcterms:W3CDTF">2026-10-08T18:47:05.933Z</dcterms:created>
  <dcterms:modified xsi:type="dcterms:W3CDTF">2026-10-08T18:47:05.934Z</dcterms:modified>
</cp:coreProperties>
</file>

<file path=docProps/custom.xml><?xml version="1.0" encoding="utf-8"?>
<Properties xmlns="http://schemas.openxmlformats.org/officeDocument/2006/custom-properties" xmlns:vt="http://schemas.openxmlformats.org/officeDocument/2006/docPropsVTypes"/>
</file>