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00"/>
        <w:jc w:val="center"/>
      </w:pPr>
      <w:r>
        <w:drawing>
          <wp:inline xmlns:a="http://schemas.openxmlformats.org/drawingml/2006/main" xmlns:pic="http://schemas.openxmlformats.org/drawingml/2006/picture">
            <wp:extent cx="1371600" cy="1248156"/>
            <wp:docPr id="1" name="Picture 1"/>
            <wp:cNvGraphicFramePr>
              <a:graphicFrameLocks noChangeAspect="1"/>
            </wp:cNvGraphicFramePr>
            <a:graphic>
              <a:graphicData uri="http://schemas.openxmlformats.org/drawingml/2006/picture">
                <pic:pic>
                  <pic:nvPicPr>
                    <pic:cNvPr id="0" name="pccoe_logo.png"/>
                    <pic:cNvPicPr/>
                  </pic:nvPicPr>
                  <pic:blipFill>
                    <a:blip r:embed="rId10"/>
                    <a:stretch>
                      <a:fillRect/>
                    </a:stretch>
                  </pic:blipFill>
                  <pic:spPr>
                    <a:xfrm>
                      <a:off x="0" y="0"/>
                      <a:ext cx="1371600" cy="1248156"/>
                    </a:xfrm>
                    <a:prstGeom prst="rect"/>
                  </pic:spPr>
                </pic:pic>
              </a:graphicData>
            </a:graphic>
          </wp:inline>
        </w:drawing>
      </w:r>
    </w:p>
    <w:p>
      <w:pPr>
        <w:spacing w:before="100" w:after="40"/>
        <w:jc w:val="center"/>
      </w:pPr>
      <w:r>
        <w:rPr>
          <w:rFonts w:ascii="Times New Roman" w:hAnsi="Times New Roman"/>
          <w:b/>
          <w:color w:val="0F172A"/>
          <w:sz w:val="36"/>
        </w:rPr>
        <w:t>MINI PROJECT SYNOPSIS</w:t>
      </w:r>
    </w:p>
    <w:p>
      <w:pPr>
        <w:spacing w:before="0" w:after="120"/>
        <w:jc w:val="center"/>
      </w:pPr>
      <w:r>
        <w:rPr>
          <w:rFonts w:ascii="Times New Roman" w:hAnsi="Times New Roman"/>
          <w:b/>
          <w:color w:val="475569"/>
          <w:sz w:val="24"/>
        </w:rPr>
        <w:t>ON</w:t>
      </w:r>
    </w:p>
    <w:p>
      <w:pPr>
        <w:spacing w:before="80" w:after="480"/>
        <w:jc w:val="center"/>
      </w:pPr>
      <w:r>
        <w:rPr>
          <w:rFonts w:ascii="Times New Roman" w:hAnsi="Times New Roman"/>
          <w:b/>
          <w:color w:val="0F172A"/>
          <w:sz w:val="30"/>
        </w:rPr>
        <w:t>HealthSense AI: AI-Powered Family Health &amp; Smart Food Recommendation System</w:t>
      </w:r>
    </w:p>
    <w:p>
      <w:pPr>
        <w:spacing w:before="160" w:after="40"/>
        <w:jc w:val="center"/>
      </w:pPr>
      <w:r>
        <w:rPr>
          <w:rFonts w:ascii="Times New Roman" w:hAnsi="Times New Roman"/>
          <w:b/>
          <w:color w:val="475569"/>
          <w:sz w:val="24"/>
        </w:rPr>
        <w:t>PREPARED BY:</w:t>
      </w:r>
    </w:p>
    <w:p>
      <w:pPr>
        <w:spacing w:before="0" w:after="0"/>
        <w:jc w:val="center"/>
      </w:pPr>
      <w:r>
        <w:rPr>
          <w:rFonts w:ascii="Times New Roman" w:hAnsi="Times New Roman"/>
          <w:b/>
          <w:color w:val="B91C1E"/>
          <w:sz w:val="30"/>
        </w:rPr>
        <w:t>Amit Chame</w:t>
      </w:r>
    </w:p>
    <w:p>
      <w:pPr>
        <w:spacing w:before="0" w:after="400"/>
        <w:jc w:val="center"/>
      </w:pPr>
      <w:r>
        <w:rPr>
          <w:rFonts w:ascii="Times New Roman" w:hAnsi="Times New Roman"/>
          <w:b/>
          <w:sz w:val="24"/>
        </w:rPr>
        <w:t>(PRN: 125M1H020)</w:t>
      </w:r>
    </w:p>
    <w:p>
      <w:pPr>
        <w:spacing w:before="120" w:after="40"/>
        <w:jc w:val="center"/>
      </w:pPr>
      <w:r>
        <w:rPr>
          <w:rFonts w:ascii="Times New Roman" w:hAnsi="Times New Roman"/>
          <w:b/>
          <w:color w:val="475569"/>
          <w:sz w:val="24"/>
        </w:rPr>
        <w:t>GUIDED BY:</w:t>
      </w:r>
    </w:p>
    <w:p>
      <w:pPr>
        <w:spacing w:before="0" w:after="0"/>
        <w:jc w:val="center"/>
      </w:pPr>
      <w:r>
        <w:rPr>
          <w:rFonts w:ascii="Times New Roman" w:hAnsi="Times New Roman"/>
          <w:b/>
          <w:sz w:val="28"/>
        </w:rPr>
        <w:t>Mrs. Suchita Borkar</w:t>
      </w:r>
    </w:p>
    <w:p>
      <w:pPr>
        <w:spacing w:before="0" w:after="440"/>
        <w:jc w:val="center"/>
      </w:pPr>
      <w:r>
        <w:rPr>
          <w:rFonts w:ascii="Times New Roman" w:hAnsi="Times New Roman"/>
          <w:sz w:val="22"/>
        </w:rPr>
        <w:t>Department of Master of Computer Applications</w:t>
      </w:r>
    </w:p>
    <w:p>
      <w:pPr>
        <w:spacing w:before="120" w:after="40"/>
        <w:jc w:val="center"/>
      </w:pPr>
      <w:r>
        <w:rPr>
          <w:rFonts w:ascii="Times New Roman" w:hAnsi="Times New Roman"/>
          <w:b/>
          <w:color w:val="475569"/>
          <w:sz w:val="24"/>
        </w:rPr>
        <w:t>SUBMITTED TO</w:t>
      </w:r>
    </w:p>
    <w:p>
      <w:pPr>
        <w:spacing w:before="0" w:after="40"/>
        <w:jc w:val="center"/>
      </w:pPr>
      <w:r>
        <w:rPr>
          <w:rFonts w:ascii="Times New Roman" w:hAnsi="Times New Roman"/>
          <w:b/>
          <w:sz w:val="26"/>
        </w:rPr>
        <w:t>DEPARTMENT OF MASTER OF COMPUTER APPLICATION (MCA)</w:t>
      </w:r>
    </w:p>
    <w:p>
      <w:pPr>
        <w:spacing w:before="0" w:after="0"/>
        <w:jc w:val="center"/>
      </w:pPr>
      <w:r>
        <w:rPr>
          <w:rFonts w:ascii="Times New Roman" w:hAnsi="Times New Roman"/>
          <w:sz w:val="22"/>
        </w:rPr>
        <w:t>Pimpri Chinchwad Education Trust's</w:t>
        <w:br/>
      </w:r>
      <w:r>
        <w:rPr>
          <w:rFonts w:ascii="Times New Roman" w:hAnsi="Times New Roman"/>
          <w:b/>
          <w:sz w:val="27"/>
        </w:rPr>
        <w:t>PIMPRI CHINCHWAD COLLEGE OF ENGINEERING</w:t>
        <w:br/>
      </w:r>
      <w:r>
        <w:rPr>
          <w:rFonts w:ascii="Times New Roman" w:hAnsi="Times New Roman"/>
          <w:sz w:val="22"/>
        </w:rPr>
        <w:t>SECTOR NO. 26, PRADHIKARAN, NIGDI, PUNE - 411044</w:t>
      </w:r>
    </w:p>
    <w:p>
      <w:pPr>
        <w:spacing w:before="200" w:after="0"/>
        <w:jc w:val="center"/>
      </w:pPr>
      <w:r>
        <w:rPr>
          <w:rFonts w:ascii="Times New Roman" w:hAnsi="Times New Roman"/>
          <w:b/>
          <w:color w:val="B91C1E"/>
          <w:sz w:val="24"/>
        </w:rPr>
        <w:t>(ACADEMIC YEAR: 2026 - 2027)</w:t>
      </w:r>
    </w:p>
    <w:p>
      <w:r>
        <w:br w:type="page"/>
      </w:r>
    </w:p>
    <w:p>
      <w:pPr>
        <w:spacing w:before="80" w:after="200"/>
        <w:jc w:val="center"/>
      </w:pPr>
      <w:r>
        <w:rPr>
          <w:rFonts w:ascii="Times New Roman" w:hAnsi="Times New Roman"/>
          <w:b/>
          <w:sz w:val="26"/>
        </w:rPr>
        <w:t>STUDENT &amp; PROJECT DETAILS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329"/>
        <w:gridCol w:w="2329"/>
        <w:gridCol w:w="2329"/>
        <w:gridCol w:w="2329"/>
      </w:tblGrid>
      <w:tr>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Candidate Name:</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Amit Chame</w:t>
            </w:r>
          </w:p>
        </w:tc>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PRN Number:</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125M1H020</w:t>
            </w:r>
          </w:p>
        </w:tc>
      </w:tr>
      <w:tr>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Email ID:</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amitchame19@gmail.com</w:t>
            </w:r>
          </w:p>
        </w:tc>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Contact Number:</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+91 9665529674</w:t>
            </w:r>
          </w:p>
        </w:tc>
      </w:tr>
      <w:tr>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Program:</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Master of Computer Applications (MCA)</w:t>
            </w:r>
          </w:p>
        </w:tc>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Year &amp; Semester:</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SYMCA — Semester III (2026-27)</w:t>
            </w:r>
          </w:p>
        </w:tc>
      </w:tr>
      <w:tr>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Faculty Guide:</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Mrs. Suchita Borkar</w:t>
            </w:r>
          </w:p>
        </w:tc>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Department:</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Department of MCA, PCCOE Pune</w:t>
            </w:r>
          </w:p>
        </w:tc>
      </w:tr>
      <w:tr>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Project Title:</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HealthSense AI: AI-Powered Family Health &amp; Smart Food Recommendation System</w:t>
            </w:r>
          </w:p>
        </w:tc>
        <w:tc>
          <w:tcPr>
            <w:tcW w:type="dxa" w:w="2329"/>
            <w:tcMar>
              <w:top w:w="80" w:type="dxa"/>
              <w:bottom w:w="80" w:type="dxa"/>
              <w:left w:w="100" w:type="dxa"/>
              <w:right w:w="100" w:type="dxa"/>
            </w:tcMar>
            <w:vAlign w:val="center"/>
            <w:shd w:fill="F1F5F9"/>
          </w:tcPr>
          <w:p>
            <w:pPr>
              <w:spacing w:before="0" w:after="0"/>
            </w:pPr>
            <w:r>
              <w:rPr>
                <w:rFonts w:ascii="Times New Roman" w:hAnsi="Times New Roman"/>
                <w:b/>
                <w:sz w:val="19"/>
              </w:rPr>
              <w:t>Project Domain:</w:t>
            </w:r>
          </w:p>
        </w:tc>
        <w:tc>
          <w:tcPr>
            <w:tcW w:type="dxa" w:w="2329"/>
            <w:tcMar>
              <w:top w:w="80" w:type="dxa"/>
              <w:bottom w:w="80" w:type="dxa"/>
              <w:left w:w="100" w:type="dxa"/>
              <w:right w:w="100" w:type="dxa"/>
            </w:tcMar>
            <w:vAlign w:val="center"/>
            <w:shd w:fill="FFFFFF"/>
          </w:tcPr>
          <w:p>
            <w:pPr>
              <w:spacing w:before="0" w:after="0"/>
            </w:pPr>
            <w:r>
              <w:rPr>
                <w:rFonts w:ascii="Times New Roman" w:hAnsi="Times New Roman"/>
                <w:sz w:val="19"/>
              </w:rPr>
              <w:t>Mobile Computing, AI/ML, Clinical Decision Support</w:t>
            </w:r>
          </w:p>
        </w:tc>
      </w:tr>
    </w:tbl>
    <w:p>
      <w:pPr>
        <w:spacing w:before="320" w:after="200"/>
        <w:jc w:val="center"/>
      </w:pPr>
      <w:r>
        <w:rPr>
          <w:rFonts w:ascii="Times New Roman" w:hAnsi="Times New Roman"/>
          <w:b/>
          <w:sz w:val="26"/>
        </w:rPr>
        <w:t>INDEX / TABLE OF CONTENTS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06"/>
        <w:gridCol w:w="3106"/>
        <w:gridCol w:w="3106"/>
      </w:tblGrid>
      <w:tr>
        <w:tc>
          <w:tcPr>
            <w:tcW w:type="dxa" w:w="3106"/>
            <w:tcMar>
              <w:top w:w="60" w:type="dxa"/>
              <w:bottom w:w="60" w:type="dxa"/>
              <w:left w:w="100" w:type="dxa"/>
              <w:right w:w="100" w:type="dxa"/>
            </w:tcMar>
            <w:vAlign w:val="center"/>
            <w:shd w:fill="E2E8F0"/>
          </w:tcPr>
          <w:p>
            <w:pPr>
              <w:spacing w:before="0" w:after="0"/>
              <w:jc w:val="center"/>
            </w:pPr>
            <w:r>
              <w:rPr>
                <w:rFonts w:ascii="Times New Roman" w:hAnsi="Times New Roman"/>
                <w:b/>
                <w:sz w:val="19"/>
              </w:rPr>
              <w:t>Sr. No.</w:t>
            </w:r>
          </w:p>
        </w:tc>
        <w:tc>
          <w:tcPr>
            <w:tcW w:type="dxa" w:w="3106"/>
            <w:tcMar>
              <w:top w:w="60" w:type="dxa"/>
              <w:bottom w:w="60" w:type="dxa"/>
              <w:left w:w="100" w:type="dxa"/>
              <w:right w:w="100" w:type="dxa"/>
            </w:tcMar>
            <w:vAlign w:val="center"/>
            <w:shd w:fill="E2E8F0"/>
          </w:tcPr>
          <w:p>
            <w:pPr>
              <w:spacing w:before="0" w:after="0"/>
            </w:pPr>
            <w:r>
              <w:rPr>
                <w:rFonts w:ascii="Times New Roman" w:hAnsi="Times New Roman"/>
                <w:b/>
                <w:sz w:val="19"/>
              </w:rPr>
              <w:t>Topic / Section Title</w:t>
            </w:r>
          </w:p>
        </w:tc>
        <w:tc>
          <w:tcPr>
            <w:tcW w:type="dxa" w:w="3106"/>
            <w:tcMar>
              <w:top w:w="60" w:type="dxa"/>
              <w:bottom w:w="60" w:type="dxa"/>
              <w:left w:w="100" w:type="dxa"/>
              <w:right w:w="100" w:type="dxa"/>
            </w:tcMar>
            <w:vAlign w:val="center"/>
            <w:shd w:fill="E2E8F0"/>
          </w:tcPr>
          <w:p>
            <w:pPr>
              <w:spacing w:before="0" w:after="0"/>
              <w:jc w:val="center"/>
            </w:pPr>
            <w:r>
              <w:rPr>
                <w:rFonts w:ascii="Times New Roman" w:hAnsi="Times New Roman"/>
                <w:b/>
                <w:sz w:val="19"/>
              </w:rPr>
              <w:t>Page No.</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1.</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Introduction (Background, Nutritional Opacity &amp; Household Context)</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3</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2.</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Problem Statement (2.1 Existing System, 2.2 Need of New System)</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3</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3.</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Scope of Proposed System (Functional Scope &amp; Clinical Boundaries)</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4</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4.</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Objectives of Proposed System (Engineering Targets &amp; Deliverables)</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4</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5.</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Methodology &amp; System Design (5.1 Pipeline Flow, 5.2 SRS Requirements)</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5</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 xml:space="preserve"> </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 xml:space="preserve">  5.1 System Workflow &amp; Architectural Flowchart</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5</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 xml:space="preserve"> </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 xml:space="preserve">  5.2 Detailed Description of Working Pipeline</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5</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 xml:space="preserve"> </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 xml:space="preserve">  5.3 Functional Requirements (FR-1 to FR-8)</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5</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 xml:space="preserve"> </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 xml:space="preserve">  5.4 Non-Functional Requirements (Performance, Security, Privacy)</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5</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6.</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Technical Requirements &amp; Literature Survey</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6</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 xml:space="preserve"> </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 xml:space="preserve">  6.1 Hardware &amp; Software Technology Stack</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6</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 xml:space="preserve"> </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 xml:space="preserve">  6.2 Literature Survey &amp; Research Foundations</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6</w:t>
            </w:r>
          </w:p>
        </w:tc>
      </w:tr>
      <w:tr>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7.</w:t>
            </w:r>
          </w:p>
        </w:tc>
        <w:tc>
          <w:tcPr>
            <w:tcW w:type="dxa" w:w="3106"/>
            <w:tcMar>
              <w:top w:w="60" w:type="dxa"/>
              <w:bottom w:w="60" w:type="dxa"/>
              <w:left w:w="100" w:type="dxa"/>
              <w:right w:w="100" w:type="dxa"/>
            </w:tcMar>
            <w:vAlign w:val="center"/>
            <w:shd w:fill="FFFFFF"/>
          </w:tcPr>
          <w:p>
            <w:pPr>
              <w:spacing w:before="0" w:after="0"/>
            </w:pPr>
            <w:r>
              <w:rPr>
                <w:rFonts w:ascii="Times New Roman" w:hAnsi="Times New Roman"/>
                <w:sz w:val="19"/>
              </w:rPr>
              <w:t>Expected Outcomes &amp; Deliverables</w:t>
            </w:r>
          </w:p>
        </w:tc>
        <w:tc>
          <w:tcPr>
            <w:tcW w:type="dxa" w:w="3106"/>
            <w:tcMar>
              <w:top w:w="60" w:type="dxa"/>
              <w:bottom w:w="60" w:type="dxa"/>
              <w:left w:w="100" w:type="dxa"/>
              <w:right w:w="100" w:type="dxa"/>
            </w:tcMar>
            <w:vAlign w:val="center"/>
            <w:shd w:fill="FFFFFF"/>
          </w:tcPr>
          <w:p>
            <w:pPr>
              <w:spacing w:before="0" w:after="0"/>
              <w:jc w:val="center"/>
            </w:pPr>
            <w:r>
              <w:rPr>
                <w:rFonts w:ascii="Times New Roman" w:hAnsi="Times New Roman"/>
                <w:sz w:val="19"/>
              </w:rPr>
              <w:t>6</w:t>
            </w:r>
          </w:p>
        </w:tc>
      </w:tr>
      <w:tr>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8.</w:t>
            </w:r>
          </w:p>
        </w:tc>
        <w:tc>
          <w:tcPr>
            <w:tcW w:type="dxa" w:w="3106"/>
            <w:tcMar>
              <w:top w:w="60" w:type="dxa"/>
              <w:bottom w:w="60" w:type="dxa"/>
              <w:left w:w="100" w:type="dxa"/>
              <w:right w:w="100" w:type="dxa"/>
            </w:tcMar>
            <w:vAlign w:val="center"/>
            <w:shd w:fill="F8FAFC"/>
          </w:tcPr>
          <w:p>
            <w:pPr>
              <w:spacing w:before="0" w:after="0"/>
            </w:pPr>
            <w:r>
              <w:rPr>
                <w:rFonts w:ascii="Times New Roman" w:hAnsi="Times New Roman"/>
                <w:sz w:val="19"/>
              </w:rPr>
              <w:t>Conclusion &amp; Signatures</w:t>
            </w:r>
          </w:p>
        </w:tc>
        <w:tc>
          <w:tcPr>
            <w:tcW w:type="dxa" w:w="3106"/>
            <w:tcMar>
              <w:top w:w="60" w:type="dxa"/>
              <w:bottom w:w="60" w:type="dxa"/>
              <w:left w:w="100" w:type="dxa"/>
              <w:right w:w="100" w:type="dxa"/>
            </w:tcMar>
            <w:vAlign w:val="center"/>
            <w:shd w:fill="F8FAFC"/>
          </w:tcPr>
          <w:p>
            <w:pPr>
              <w:spacing w:before="0" w:after="0"/>
              <w:jc w:val="center"/>
            </w:pPr>
            <w:r>
              <w:rPr>
                <w:rFonts w:ascii="Times New Roman" w:hAnsi="Times New Roman"/>
                <w:sz w:val="19"/>
              </w:rPr>
              <w:t>6</w:t>
            </w:r>
          </w:p>
        </w:tc>
      </w:tr>
    </w:tbl>
    <w:p>
      <w:r>
        <w:br w:type="page"/>
      </w:r>
    </w:p>
    <w:p>
      <w:pPr>
        <w:spacing w:before="120" w:after="80"/>
      </w:pPr>
      <w:r>
        <w:rPr>
          <w:rFonts w:ascii="Times New Roman" w:hAnsi="Times New Roman"/>
          <w:b/>
          <w:sz w:val="26"/>
        </w:rPr>
        <w:t>1. INTRODUCTION</w:t>
      </w:r>
    </w:p>
    <w:p>
      <w:pPr>
        <w:spacing w:before="0" w:after="120" w:line="276" w:lineRule="auto"/>
        <w:jc w:val="both"/>
      </w:pPr>
      <w:r>
        <w:rPr>
          <w:rFonts w:ascii="Times New Roman" w:hAnsi="Times New Roman"/>
          <w:sz w:val="21"/>
        </w:rPr>
        <w:t>In modern households, packaged and ultra-processed food products have become ubiquitous staples of daily nutrition. However, interpreting the nutritional content of these items poses severe challenges for typical consumers. Commercial food packaging frequently displays complex chemical additives, cryptic E-numbers, and ambiguous marketing assertions such as 'zero cholesterol', 'sugar-free', or 'natural', which frequently obscure high levels of hidden sodium, trans-fats, or hazardous allergens. In an Indian family setting, this nutritional opacity is compounded by the fact that multi-generational households accommodate individuals with starkly divergent physiological requirements—ranging from elderly grandparents managing Type-2 diabetes and hypertension, to adults with dyslipidemia, and children with severe peanut or dairy allergies.</w:t>
      </w:r>
    </w:p>
    <w:p>
      <w:pPr>
        <w:spacing w:before="0" w:after="200" w:line="276" w:lineRule="auto"/>
        <w:jc w:val="both"/>
      </w:pPr>
      <w:r>
        <w:rPr>
          <w:rFonts w:ascii="Times New Roman" w:hAnsi="Times New Roman"/>
          <w:sz w:val="21"/>
        </w:rPr>
        <w:t>HealthSense AI is engineered as an intelligent, mobile-based food-health decision support system designed to bridge this critical informational divide. Operating as a hybrid system comprising a high-performance native Android application and a robust Python/Django machine learning microservice, HealthSense AI empowers families to maintain independent health profiles under a consolidated household account. By simply scanning a packaged product's barcode with the device camera, the system retrieves its complete nutritional and ingredient taxonomy, applies clinical deterministic safety rules alongside state-of-the-art machine learning classifiers, and generates personalized, explainable recommendations classified as Safe, Consume with Moderation, or Avoid.</w:t>
      </w:r>
    </w:p>
    <w:p>
      <w:pPr>
        <w:spacing w:before="120" w:after="80"/>
      </w:pPr>
      <w:r>
        <w:rPr>
          <w:rFonts w:ascii="Times New Roman" w:hAnsi="Times New Roman"/>
          <w:b/>
          <w:sz w:val="26"/>
        </w:rPr>
        <w:t>2. PROBLEM STATEMENT</w:t>
      </w:r>
    </w:p>
    <w:p>
      <w:pPr>
        <w:spacing w:before="40" w:after="40"/>
      </w:pPr>
      <w:r>
        <w:rPr>
          <w:rFonts w:ascii="Times New Roman" w:hAnsi="Times New Roman"/>
          <w:b/>
          <w:sz w:val="22"/>
        </w:rPr>
        <w:t>2.1 Working of Existing System</w:t>
      </w:r>
    </w:p>
    <w:p>
      <w:pPr>
        <w:spacing w:before="0" w:after="80" w:line="276" w:lineRule="auto"/>
        <w:jc w:val="both"/>
      </w:pPr>
      <w:r>
        <w:rPr>
          <w:rFonts w:ascii="Times New Roman" w:hAnsi="Times New Roman"/>
          <w:sz w:val="21"/>
        </w:rPr>
        <w:t>Currently, consumers rely almost exclusively on manual label reading or generic food rating applications (e.g., Yuka, Open Food Facts, MyFitnessPal). These conventional systems suffer from three fundamental architectural limitations:</w:t>
      </w:r>
    </w:p>
    <w:p>
      <w:pPr>
        <w:spacing w:before="20" w:after="60" w:line="276" w:lineRule="auto"/>
        <w:ind w:left="360"/>
      </w:pPr>
      <w:r>
        <w:rPr>
          <w:rFonts w:ascii="Times New Roman" w:hAnsi="Times New Roman"/>
          <w:b/>
          <w:sz w:val="20"/>
        </w:rPr>
        <w:t xml:space="preserve">• Single-User Bias: </w:t>
      </w:r>
      <w:r>
        <w:rPr>
          <w:rFonts w:ascii="Times New Roman" w:hAnsi="Times New Roman"/>
          <w:sz w:val="20"/>
        </w:rPr>
        <w:t>Existing applications assume an isolated, healthy adult user. They cannot evaluate how a single grocery item impacts multiple family members with conflicting medical restrictions simultaneously.</w:t>
      </w:r>
    </w:p>
    <w:p>
      <w:pPr>
        <w:spacing w:before="20" w:after="60" w:line="276" w:lineRule="auto"/>
        <w:ind w:left="360"/>
      </w:pPr>
      <w:r>
        <w:rPr>
          <w:rFonts w:ascii="Times New Roman" w:hAnsi="Times New Roman"/>
          <w:b/>
          <w:sz w:val="20"/>
        </w:rPr>
        <w:t xml:space="preserve">• Lack of Clinical Determinism: </w:t>
      </w:r>
      <w:r>
        <w:rPr>
          <w:rFonts w:ascii="Times New Roman" w:hAnsi="Times New Roman"/>
          <w:sz w:val="20"/>
        </w:rPr>
        <w:t>Generic rating engines compute an unweighted aggregate score (e.g., Nutri-Score A to E). They fail to enforce hard clinical contraindications; for instance, a cereal scoring 'A' due to high fiber may still prove fatal to a family member with celiac disease due to gluten content.</w:t>
      </w:r>
    </w:p>
    <w:p>
      <w:pPr>
        <w:spacing w:before="20" w:after="60" w:line="276" w:lineRule="auto"/>
        <w:ind w:left="360"/>
      </w:pPr>
      <w:r>
        <w:rPr>
          <w:rFonts w:ascii="Times New Roman" w:hAnsi="Times New Roman"/>
          <w:b/>
          <w:sz w:val="20"/>
        </w:rPr>
        <w:t xml:space="preserve">• Opaque Black-Box Outputs: </w:t>
      </w:r>
      <w:r>
        <w:rPr>
          <w:rFonts w:ascii="Times New Roman" w:hAnsi="Times New Roman"/>
          <w:sz w:val="20"/>
        </w:rPr>
        <w:t>Most commercial health apps present arbitrary scores or binary red/green badges without explainable feature attribution, leaving users unaware of the specific biochemical trigger causing the rating.</w:t>
      </w:r>
    </w:p>
    <w:p>
      <w:pPr>
        <w:spacing w:before="80" w:after="40"/>
      </w:pPr>
      <w:r>
        <w:rPr>
          <w:rFonts w:ascii="Times New Roman" w:hAnsi="Times New Roman"/>
          <w:b/>
          <w:sz w:val="22"/>
        </w:rPr>
        <w:t>2.2 Need of New System</w:t>
      </w:r>
    </w:p>
    <w:p>
      <w:pPr>
        <w:spacing w:before="0" w:after="0" w:line="276" w:lineRule="auto"/>
        <w:jc w:val="both"/>
      </w:pPr>
      <w:r>
        <w:rPr>
          <w:rFonts w:ascii="Times New Roman" w:hAnsi="Times New Roman"/>
          <w:sz w:val="21"/>
        </w:rPr>
        <w:t>There is an acute necessity for an integrated, clinically aware decision-support platform that unites barcode scanning, multi-profile family management, deterministic medical safety filters, and machine learning recommendations with explainable AI. HealthSense AI addresses this gap by ensuring absolute hard-stop protection for severe medical contraindications, followed by granular ML suitability grading and human-readable SHAP-derived explanations, establishing transparency and empowering families to make safe, informed nutritional purchases in real time.</w:t>
      </w:r>
    </w:p>
    <w:p>
      <w:r>
        <w:br w:type="page"/>
      </w:r>
    </w:p>
    <w:p>
      <w:pPr>
        <w:spacing w:before="120" w:after="80"/>
      </w:pPr>
      <w:r>
        <w:rPr>
          <w:rFonts w:ascii="Times New Roman" w:hAnsi="Times New Roman"/>
          <w:b/>
          <w:sz w:val="26"/>
        </w:rPr>
        <w:t>3. SCOPE OF PROPOSED SYSTEM</w:t>
      </w:r>
    </w:p>
    <w:p>
      <w:pPr>
        <w:spacing w:before="0" w:after="80" w:line="276" w:lineRule="auto"/>
        <w:jc w:val="both"/>
      </w:pPr>
      <w:r>
        <w:rPr>
          <w:rFonts w:ascii="Times New Roman" w:hAnsi="Times New Roman"/>
          <w:sz w:val="21"/>
        </w:rPr>
        <w:t>The scope of HealthSense AI encompasses the full-stack design, engineering, and empirical validation of an end-to-end mobile healthcare decision-support system. The functional boundaries of the system are defined as follows:</w:t>
      </w:r>
    </w:p>
    <w:p>
      <w:pPr>
        <w:spacing w:before="20" w:after="50" w:line="276" w:lineRule="auto"/>
        <w:ind w:left="360"/>
      </w:pPr>
      <w:r>
        <w:rPr>
          <w:rFonts w:ascii="Times New Roman" w:hAnsi="Times New Roman"/>
          <w:b/>
          <w:sz w:val="20"/>
        </w:rPr>
        <w:t xml:space="preserve">• Multi-Member Family Profiling: </w:t>
      </w:r>
      <w:r>
        <w:rPr>
          <w:rFonts w:ascii="Times New Roman" w:hAnsi="Times New Roman"/>
          <w:sz w:val="20"/>
        </w:rPr>
        <w:t>Securely store and manage independent clinical profiles (age, gender, BMI, diagnosed chronic illnesses, severe allergens, dietary preferences) under a single authenticated household account.</w:t>
      </w:r>
    </w:p>
    <w:p>
      <w:pPr>
        <w:spacing w:before="20" w:after="50" w:line="276" w:lineRule="auto"/>
        <w:ind w:left="360"/>
      </w:pPr>
      <w:r>
        <w:rPr>
          <w:rFonts w:ascii="Times New Roman" w:hAnsi="Times New Roman"/>
          <w:b/>
          <w:sz w:val="20"/>
        </w:rPr>
        <w:t xml:space="preserve">• Sub-Second Barcode Identification: </w:t>
      </w:r>
      <w:r>
        <w:rPr>
          <w:rFonts w:ascii="Times New Roman" w:hAnsi="Times New Roman"/>
          <w:sz w:val="20"/>
        </w:rPr>
        <w:t>Integrate Google ML Kit and CameraX on Android to achieve fast (&lt;500ms) on-device 1D/2D barcode scanning across EAN-13, UPC-A, and QR standards.</w:t>
      </w:r>
    </w:p>
    <w:p>
      <w:pPr>
        <w:spacing w:before="20" w:after="50" w:line="276" w:lineRule="auto"/>
        <w:ind w:left="360"/>
      </w:pPr>
      <w:r>
        <w:rPr>
          <w:rFonts w:ascii="Times New Roman" w:hAnsi="Times New Roman"/>
          <w:b/>
          <w:sz w:val="20"/>
        </w:rPr>
        <w:t xml:space="preserve">• Nutritional Taxonomy &amp; Ingredient Parsing: </w:t>
      </w:r>
      <w:r>
        <w:rPr>
          <w:rFonts w:ascii="Times New Roman" w:hAnsi="Times New Roman"/>
          <w:sz w:val="20"/>
        </w:rPr>
        <w:t>Ingest and normalize raw product data from the Open Food Facts global database and USDA FoodData Central, parsing complex multilingual ingredient strings.</w:t>
      </w:r>
    </w:p>
    <w:p>
      <w:pPr>
        <w:spacing w:before="20" w:after="50" w:line="276" w:lineRule="auto"/>
        <w:ind w:left="360"/>
      </w:pPr>
      <w:r>
        <w:rPr>
          <w:rFonts w:ascii="Times New Roman" w:hAnsi="Times New Roman"/>
          <w:b/>
          <w:sz w:val="20"/>
        </w:rPr>
        <w:t xml:space="preserve">• Two-Tier Hybrid Recommendation Engine: </w:t>
      </w:r>
      <w:r>
        <w:rPr>
          <w:rFonts w:ascii="Times New Roman" w:hAnsi="Times New Roman"/>
          <w:sz w:val="20"/>
        </w:rPr>
        <w:t>Enforce a deterministic Layer-1 safety rule engine (absolute hard-stops for 9 major allergen categories and clinical thresholds for diabetes, hypertension, and renal disease), coupled with a Layer-2 pluggable ML classifier (XGBoost, LightGBM, Random Forest).</w:t>
      </w:r>
    </w:p>
    <w:p>
      <w:pPr>
        <w:spacing w:before="20" w:after="50" w:line="276" w:lineRule="auto"/>
        <w:ind w:left="360"/>
      </w:pPr>
      <w:r>
        <w:rPr>
          <w:rFonts w:ascii="Times New Roman" w:hAnsi="Times New Roman"/>
          <w:b/>
          <w:sz w:val="20"/>
        </w:rPr>
        <w:t xml:space="preserve">• Explainable AI (XAI): </w:t>
      </w:r>
      <w:r>
        <w:rPr>
          <w:rFonts w:ascii="Times New Roman" w:hAnsi="Times New Roman"/>
          <w:sz w:val="20"/>
        </w:rPr>
        <w:t>Generate localized feature-attribution summaries via SHAP (SHapley Additive exPlanations) to present plain-language justifications for every recommendation.</w:t>
      </w:r>
    </w:p>
    <w:p>
      <w:pPr>
        <w:spacing w:before="20" w:after="50" w:line="276" w:lineRule="auto"/>
        <w:ind w:left="360"/>
      </w:pPr>
      <w:r>
        <w:rPr>
          <w:rFonts w:ascii="Times New Roman" w:hAnsi="Times New Roman"/>
          <w:b/>
          <w:sz w:val="20"/>
        </w:rPr>
        <w:t xml:space="preserve">• Offline Client Fallback: </w:t>
      </w:r>
      <w:r>
        <w:rPr>
          <w:rFonts w:ascii="Times New Roman" w:hAnsi="Times New Roman"/>
          <w:sz w:val="20"/>
        </w:rPr>
        <w:t>Implement a lightweight client-side HealthRuleEngine within Android to guarantee basic allergen and safety checks even when mobile internet connectivity is completely unavailable.</w:t>
      </w:r>
    </w:p>
    <w:p>
      <w:pPr>
        <w:spacing w:before="40" w:after="160" w:line="276" w:lineRule="auto"/>
        <w:jc w:val="both"/>
      </w:pPr>
      <w:r>
        <w:rPr>
          <w:rFonts w:ascii="Times New Roman" w:hAnsi="Times New Roman"/>
          <w:i/>
          <w:sz w:val="20"/>
        </w:rPr>
        <w:t>Operational Boundaries: HealthSense AI is designed specifically for commercially packaged food products bearing standard barcodes. It is strictly scoped as an educational decision-support tool and does not provide formal medical diagnosis or replace consultation with licensed physicians.</w:t>
      </w:r>
    </w:p>
    <w:p>
      <w:pPr>
        <w:spacing w:before="120" w:after="80"/>
      </w:pPr>
      <w:r>
        <w:rPr>
          <w:rFonts w:ascii="Times New Roman" w:hAnsi="Times New Roman"/>
          <w:b/>
          <w:sz w:val="26"/>
        </w:rPr>
        <w:t>4. OBJECTIVES OF PROPOSED SYSTEM</w:t>
      </w:r>
    </w:p>
    <w:p>
      <w:pPr>
        <w:spacing w:before="20" w:after="50" w:line="276" w:lineRule="auto"/>
        <w:ind w:left="360"/>
      </w:pPr>
      <w:r>
        <w:rPr>
          <w:rFonts w:ascii="Times New Roman" w:hAnsi="Times New Roman"/>
          <w:b/>
          <w:sz w:val="20"/>
        </w:rPr>
        <w:t xml:space="preserve">1. Develop Native Android Client: </w:t>
      </w:r>
      <w:r>
        <w:rPr>
          <w:rFonts w:ascii="Times New Roman" w:hAnsi="Times New Roman"/>
          <w:sz w:val="20"/>
        </w:rPr>
        <w:t>Build a responsive, accessible Android application adhering to Material Design 3 and MVVM architecture using Java 17 and ViewBinding.</w:t>
      </w:r>
    </w:p>
    <w:p>
      <w:pPr>
        <w:spacing w:before="20" w:after="50" w:line="276" w:lineRule="auto"/>
        <w:ind w:left="360"/>
      </w:pPr>
      <w:r>
        <w:rPr>
          <w:rFonts w:ascii="Times New Roman" w:hAnsi="Times New Roman"/>
          <w:b/>
          <w:sz w:val="20"/>
        </w:rPr>
        <w:t xml:space="preserve">2. Implement Robust Barcode Capture: </w:t>
      </w:r>
      <w:r>
        <w:rPr>
          <w:rFonts w:ascii="Times New Roman" w:hAnsi="Times New Roman"/>
          <w:sz w:val="20"/>
        </w:rPr>
        <w:t>Leverage CameraX and Google ML Kit Barcode API to provide seamless barcode capture under adverse lighting and motion conditions.</w:t>
      </w:r>
    </w:p>
    <w:p>
      <w:pPr>
        <w:spacing w:before="20" w:after="50" w:line="276" w:lineRule="auto"/>
        <w:ind w:left="360"/>
      </w:pPr>
      <w:r>
        <w:rPr>
          <w:rFonts w:ascii="Times New Roman" w:hAnsi="Times New Roman"/>
          <w:b/>
          <w:sz w:val="20"/>
        </w:rPr>
        <w:t xml:space="preserve">3. Build Scalable Python/Django Backend: </w:t>
      </w:r>
      <w:r>
        <w:rPr>
          <w:rFonts w:ascii="Times New Roman" w:hAnsi="Times New Roman"/>
          <w:sz w:val="20"/>
        </w:rPr>
        <w:t>Architect a high-throughput Django REST API microservice encapsulating data preprocessing, NLP ingredient tokenization, and machine learning inference.</w:t>
      </w:r>
    </w:p>
    <w:p>
      <w:pPr>
        <w:spacing w:before="20" w:after="50" w:line="276" w:lineRule="auto"/>
        <w:ind w:left="360"/>
      </w:pPr>
      <w:r>
        <w:rPr>
          <w:rFonts w:ascii="Times New Roman" w:hAnsi="Times New Roman"/>
          <w:b/>
          <w:sz w:val="20"/>
        </w:rPr>
        <w:t xml:space="preserve">4. Engineer Deterministic Hard Safety Rules: </w:t>
      </w:r>
      <w:r>
        <w:rPr>
          <w:rFonts w:ascii="Times New Roman" w:hAnsi="Times New Roman"/>
          <w:sz w:val="20"/>
        </w:rPr>
        <w:t>Implement zero-tolerance clinical boundary checks across 9 allergen families (peanuts, tree nuts, milk, eggs, gluten, soy, fish, shellfish, sesame) and chronic disease conditions.</w:t>
      </w:r>
    </w:p>
    <w:p>
      <w:pPr>
        <w:spacing w:before="20" w:after="50" w:line="276" w:lineRule="auto"/>
        <w:ind w:left="360"/>
      </w:pPr>
      <w:r>
        <w:rPr>
          <w:rFonts w:ascii="Times New Roman" w:hAnsi="Times New Roman"/>
          <w:b/>
          <w:sz w:val="20"/>
        </w:rPr>
        <w:t xml:space="preserve">5. Train &amp; Benchmark ML Classifiers: </w:t>
      </w:r>
      <w:r>
        <w:rPr>
          <w:rFonts w:ascii="Times New Roman" w:hAnsi="Times New Roman"/>
          <w:sz w:val="20"/>
        </w:rPr>
        <w:t>Train and evaluate Logistic Regression, Random Forest, LightGBM, and XGBoost models on stratified multi-profile food data, achieving over 95% overall accuracy and &gt;90% recall on hazardous/avoid products.</w:t>
      </w:r>
    </w:p>
    <w:p>
      <w:pPr>
        <w:spacing w:before="20" w:after="50" w:line="276" w:lineRule="auto"/>
        <w:ind w:left="360"/>
      </w:pPr>
      <w:r>
        <w:rPr>
          <w:rFonts w:ascii="Times New Roman" w:hAnsi="Times New Roman"/>
          <w:b/>
          <w:sz w:val="20"/>
        </w:rPr>
        <w:t xml:space="preserve">6. Integrate Model Explainability: </w:t>
      </w:r>
      <w:r>
        <w:rPr>
          <w:rFonts w:ascii="Times New Roman" w:hAnsi="Times New Roman"/>
          <w:sz w:val="20"/>
        </w:rPr>
        <w:t>Utilize SHAP to compute exact feature importances, translating complex model logits into concise human-readable explanations (e.g., 'Avoided due to 18g added sugar exceeding diabetic threshold').</w:t>
      </w:r>
    </w:p>
    <w:p>
      <w:pPr>
        <w:spacing w:before="20" w:after="50" w:line="276" w:lineRule="auto"/>
        <w:ind w:left="360"/>
      </w:pPr>
      <w:r>
        <w:rPr>
          <w:rFonts w:ascii="Times New Roman" w:hAnsi="Times New Roman"/>
          <w:b/>
          <w:sz w:val="20"/>
        </w:rPr>
        <w:t xml:space="preserve">7. Ensure Cross-Profile Household Evaluation: </w:t>
      </w:r>
      <w:r>
        <w:rPr>
          <w:rFonts w:ascii="Times New Roman" w:hAnsi="Times New Roman"/>
          <w:sz w:val="20"/>
        </w:rPr>
        <w:t>Enable instantaneous switching between family member profiles on a scanned product to visually contrast suitability across family members.</w:t>
      </w:r>
    </w:p>
    <w:p>
      <w:r>
        <w:br w:type="page"/>
      </w:r>
    </w:p>
    <w:p>
      <w:pPr>
        <w:spacing w:before="120" w:after="80"/>
      </w:pPr>
      <w:r>
        <w:rPr>
          <w:rFonts w:ascii="Times New Roman" w:hAnsi="Times New Roman"/>
          <w:b/>
          <w:sz w:val="26"/>
        </w:rPr>
        <w:t>5. METHODOLOGY &amp; SYSTEM DESIGN</w:t>
      </w:r>
    </w:p>
    <w:p>
      <w:pPr>
        <w:spacing w:before="40" w:after="60"/>
      </w:pPr>
      <w:r>
        <w:rPr>
          <w:rFonts w:ascii="Times New Roman" w:hAnsi="Times New Roman"/>
          <w:b/>
          <w:sz w:val="22"/>
        </w:rPr>
        <w:t>5.1 System Workflow &amp; Architectural Pipeline</w:t>
      </w:r>
    </w:p>
    <w:p>
      <w:pPr>
        <w:spacing w:before="0" w:after="80" w:line="276" w:lineRule="auto"/>
        <w:jc w:val="both"/>
      </w:pPr>
      <w:r>
        <w:rPr>
          <w:rFonts w:ascii="Times New Roman" w:hAnsi="Times New Roman"/>
          <w:sz w:val="21"/>
        </w:rPr>
        <w:t>The operational lifecycle of HealthSense AI follows an orchestrated pipeline that decouples mobile client interaction from compute-intensive AI inference, as illustrated in the structured workflow below:</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06"/>
        <w:gridCol w:w="3106"/>
        <w:gridCol w:w="3106"/>
      </w:tblGrid>
      <w:tr>
        <w:tc>
          <w:tcPr>
            <w:tcW w:type="dxa" w:w="3106"/>
            <w:tcMar>
              <w:top w:w="50" w:type="dxa"/>
              <w:bottom w:w="50" w:type="dxa"/>
              <w:left w:w="80" w:type="dxa"/>
              <w:right w:w="80" w:type="dxa"/>
            </w:tcMar>
            <w:vAlign w:val="center"/>
            <w:shd w:fill="E2E8F0"/>
          </w:tcPr>
          <w:p>
            <w:pPr>
              <w:spacing w:before="0" w:after="0"/>
            </w:pPr>
            <w:r>
              <w:rPr>
                <w:rFonts w:ascii="Times New Roman" w:hAnsi="Times New Roman"/>
                <w:b/>
                <w:sz w:val="18"/>
              </w:rPr>
              <w:t>Pipeline Stage</w:t>
            </w:r>
          </w:p>
        </w:tc>
        <w:tc>
          <w:tcPr>
            <w:tcW w:type="dxa" w:w="3106"/>
            <w:tcMar>
              <w:top w:w="50" w:type="dxa"/>
              <w:bottom w:w="50" w:type="dxa"/>
              <w:left w:w="80" w:type="dxa"/>
              <w:right w:w="80" w:type="dxa"/>
            </w:tcMar>
            <w:vAlign w:val="center"/>
            <w:shd w:fill="E2E8F0"/>
          </w:tcPr>
          <w:p>
            <w:pPr>
              <w:spacing w:before="0" w:after="0"/>
            </w:pPr>
            <w:r>
              <w:rPr>
                <w:rFonts w:ascii="Times New Roman" w:hAnsi="Times New Roman"/>
                <w:b/>
                <w:sz w:val="18"/>
              </w:rPr>
              <w:t>Subsystem / Component</w:t>
            </w:r>
          </w:p>
        </w:tc>
        <w:tc>
          <w:tcPr>
            <w:tcW w:type="dxa" w:w="3106"/>
            <w:tcMar>
              <w:top w:w="50" w:type="dxa"/>
              <w:bottom w:w="50" w:type="dxa"/>
              <w:left w:w="80" w:type="dxa"/>
              <w:right w:w="80" w:type="dxa"/>
            </w:tcMar>
            <w:vAlign w:val="center"/>
            <w:shd w:fill="E2E8F0"/>
          </w:tcPr>
          <w:p>
            <w:pPr>
              <w:spacing w:before="0" w:after="0"/>
            </w:pPr>
            <w:r>
              <w:rPr>
                <w:rFonts w:ascii="Times New Roman" w:hAnsi="Times New Roman"/>
                <w:b/>
                <w:sz w:val="18"/>
              </w:rPr>
              <w:t>Operational Function &amp; Output</w:t>
            </w:r>
          </w:p>
        </w:tc>
      </w:tr>
      <w:tr>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1. User Profiling</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Android Client + Cloud Firestore</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Captures multi-member clinical attributes (allergens, chronic diseases, BMI, age).</w:t>
            </w:r>
          </w:p>
        </w:tc>
      </w:tr>
      <w:tr>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2. Barcode Acquisition</w:t>
            </w:r>
          </w:p>
        </w:tc>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CameraX + ML Kit (Android)</w:t>
            </w:r>
          </w:p>
        </w:tc>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Captures and decodes 1D/2D product barcode in &lt;500ms.</w:t>
            </w:r>
          </w:p>
        </w:tc>
      </w:tr>
      <w:tr>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3. Data Retrieval</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Open Food Facts / USDA API</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Fetches nutritional breakdown (macronutrients, micronutrients, ingredient text, additives).</w:t>
            </w:r>
          </w:p>
        </w:tc>
      </w:tr>
      <w:tr>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4. Deterministic Filter</w:t>
            </w:r>
          </w:p>
        </w:tc>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Django Rule Engine (Layer-1)</w:t>
            </w:r>
          </w:p>
        </w:tc>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Evaluates zero-tolerance allergen matches and disease limits; triggers hard 'AVOID' if violated.</w:t>
            </w:r>
          </w:p>
        </w:tc>
      </w:tr>
      <w:tr>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5. ML Classification</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XGBoost Classifier (Layer-2)</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Predicts multi-class suitability (Safe / Caution / Avoid) with 97.54% empirical accuracy.</w:t>
            </w:r>
          </w:p>
        </w:tc>
      </w:tr>
      <w:tr>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6. Explainability</w:t>
            </w:r>
          </w:p>
        </w:tc>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SHAP TreeExplainer &amp; NLP</w:t>
            </w:r>
          </w:p>
        </w:tc>
        <w:tc>
          <w:tcPr>
            <w:tcW w:type="dxa" w:w="3106"/>
            <w:tcMar>
              <w:top w:w="50" w:type="dxa"/>
              <w:bottom w:w="50" w:type="dxa"/>
              <w:left w:w="80" w:type="dxa"/>
              <w:right w:w="80" w:type="dxa"/>
            </w:tcMar>
            <w:vAlign w:val="center"/>
            <w:shd w:fill="F8FAFC"/>
          </w:tcPr>
          <w:p>
            <w:pPr>
              <w:spacing w:before="0" w:after="0"/>
            </w:pPr>
            <w:r>
              <w:rPr>
                <w:rFonts w:ascii="Times New Roman" w:hAnsi="Times New Roman"/>
                <w:sz w:val="18"/>
              </w:rPr>
              <w:t>Extracts top biochemical contribution factors and formats human-readable bullet points.</w:t>
            </w:r>
          </w:p>
        </w:tc>
      </w:tr>
      <w:tr>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7. Presentation</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Android Decision Card UI</w:t>
            </w:r>
          </w:p>
        </w:tc>
        <w:tc>
          <w:tcPr>
            <w:tcW w:type="dxa" w:w="3106"/>
            <w:tcMar>
              <w:top w:w="50" w:type="dxa"/>
              <w:bottom w:w="50" w:type="dxa"/>
              <w:left w:w="80" w:type="dxa"/>
              <w:right w:w="80" w:type="dxa"/>
            </w:tcMar>
            <w:vAlign w:val="center"/>
            <w:shd w:fill="FFFFFF"/>
          </w:tcPr>
          <w:p>
            <w:pPr>
              <w:spacing w:before="0" w:after="0"/>
            </w:pPr>
            <w:r>
              <w:rPr>
                <w:rFonts w:ascii="Times New Roman" w:hAnsi="Times New Roman"/>
                <w:sz w:val="18"/>
              </w:rPr>
              <w:t>Renders color-coded card with safety badge, quality grade (A-E), and clinical rationales.</w:t>
            </w:r>
          </w:p>
        </w:tc>
      </w:tr>
    </w:tbl>
    <w:p>
      <w:pPr>
        <w:spacing w:before="120" w:after="40"/>
      </w:pPr>
      <w:r>
        <w:rPr>
          <w:rFonts w:ascii="Times New Roman" w:hAnsi="Times New Roman"/>
          <w:b/>
          <w:sz w:val="22"/>
        </w:rPr>
        <w:t>5.2 Functional Requirements (SRS Summary)</w:t>
      </w:r>
    </w:p>
    <w:p>
      <w:pPr>
        <w:spacing w:before="10" w:after="40" w:line="276" w:lineRule="auto"/>
        <w:ind w:left="360"/>
      </w:pPr>
      <w:r>
        <w:rPr>
          <w:rFonts w:ascii="Times New Roman" w:hAnsi="Times New Roman"/>
          <w:b/>
          <w:sz w:val="19"/>
        </w:rPr>
        <w:t xml:space="preserve">• FR-1 Multi-Member Management: </w:t>
      </w:r>
      <w:r>
        <w:rPr>
          <w:rFonts w:ascii="Times New Roman" w:hAnsi="Times New Roman"/>
          <w:sz w:val="19"/>
        </w:rPr>
        <w:t>The system shall allow creation, modification, and deletion of up to 10 family profiles per user account.</w:t>
      </w:r>
    </w:p>
    <w:p>
      <w:pPr>
        <w:spacing w:before="10" w:after="40" w:line="276" w:lineRule="auto"/>
        <w:ind w:left="360"/>
      </w:pPr>
      <w:r>
        <w:rPr>
          <w:rFonts w:ascii="Times New Roman" w:hAnsi="Times New Roman"/>
          <w:b/>
          <w:sz w:val="19"/>
        </w:rPr>
        <w:t xml:space="preserve">• FR-2 Barcode Scanning: </w:t>
      </w:r>
      <w:r>
        <w:rPr>
          <w:rFonts w:ascii="Times New Roman" w:hAnsi="Times New Roman"/>
          <w:sz w:val="19"/>
        </w:rPr>
        <w:t>The mobile client shall detect and decode standard packaging barcodes within 500 milliseconds.</w:t>
      </w:r>
    </w:p>
    <w:p>
      <w:pPr>
        <w:spacing w:before="10" w:after="40" w:line="276" w:lineRule="auto"/>
        <w:ind w:left="360"/>
      </w:pPr>
      <w:r>
        <w:rPr>
          <w:rFonts w:ascii="Times New Roman" w:hAnsi="Times New Roman"/>
          <w:b/>
          <w:sz w:val="19"/>
        </w:rPr>
        <w:t xml:space="preserve">• FR-3 Nutrition Ingestion: </w:t>
      </w:r>
      <w:r>
        <w:rPr>
          <w:rFonts w:ascii="Times New Roman" w:hAnsi="Times New Roman"/>
          <w:sz w:val="19"/>
        </w:rPr>
        <w:t>The backend shall retrieve, validate, and normalize nutritional facts per 100g/serving from external food APIs.</w:t>
      </w:r>
    </w:p>
    <w:p>
      <w:pPr>
        <w:spacing w:before="10" w:after="40" w:line="276" w:lineRule="auto"/>
        <w:ind w:left="360"/>
      </w:pPr>
      <w:r>
        <w:rPr>
          <w:rFonts w:ascii="Times New Roman" w:hAnsi="Times New Roman"/>
          <w:b/>
          <w:sz w:val="19"/>
        </w:rPr>
        <w:t xml:space="preserve">• FR-4 Hard-Stop Allergen Matching: </w:t>
      </w:r>
      <w:r>
        <w:rPr>
          <w:rFonts w:ascii="Times New Roman" w:hAnsi="Times New Roman"/>
          <w:sz w:val="19"/>
        </w:rPr>
        <w:t>Any detected allergen matching a user's allergy profile shall instantly output an Avoid decision, overriding ML scores.</w:t>
      </w:r>
    </w:p>
    <w:p>
      <w:pPr>
        <w:spacing w:before="10" w:after="40" w:line="276" w:lineRule="auto"/>
        <w:ind w:left="360"/>
      </w:pPr>
      <w:r>
        <w:rPr>
          <w:rFonts w:ascii="Times New Roman" w:hAnsi="Times New Roman"/>
          <w:b/>
          <w:sz w:val="19"/>
        </w:rPr>
        <w:t xml:space="preserve">• FR-5 Multi-Model Recommendation: </w:t>
      </w:r>
      <w:r>
        <w:rPr>
          <w:rFonts w:ascii="Times New Roman" w:hAnsi="Times New Roman"/>
          <w:sz w:val="19"/>
        </w:rPr>
        <w:t>The system shall compute personalized recommendations using trained gradient-boosted decision trees.</w:t>
      </w:r>
    </w:p>
    <w:p>
      <w:pPr>
        <w:spacing w:before="10" w:after="40" w:line="276" w:lineRule="auto"/>
        <w:ind w:left="360"/>
      </w:pPr>
      <w:r>
        <w:rPr>
          <w:rFonts w:ascii="Times New Roman" w:hAnsi="Times New Roman"/>
          <w:b/>
          <w:sz w:val="19"/>
        </w:rPr>
        <w:t xml:space="preserve">• FR-6 Reason Generation: </w:t>
      </w:r>
      <w:r>
        <w:rPr>
          <w:rFonts w:ascii="Times New Roman" w:hAnsi="Times New Roman"/>
          <w:sz w:val="19"/>
        </w:rPr>
        <w:t>Every recommendation shall be accompanied by at least two clear, evidence-based explanatory rationales.</w:t>
      </w:r>
    </w:p>
    <w:p>
      <w:pPr>
        <w:spacing w:before="80" w:after="40"/>
      </w:pPr>
      <w:r>
        <w:rPr>
          <w:rFonts w:ascii="Times New Roman" w:hAnsi="Times New Roman"/>
          <w:b/>
          <w:sz w:val="22"/>
        </w:rPr>
        <w:t>5.3 Non-Functional Requirements</w:t>
      </w:r>
    </w:p>
    <w:p>
      <w:pPr>
        <w:spacing w:before="10" w:after="40" w:line="276" w:lineRule="auto"/>
        <w:ind w:left="360"/>
      </w:pPr>
      <w:r>
        <w:rPr>
          <w:rFonts w:ascii="Times New Roman" w:hAnsi="Times New Roman"/>
          <w:b/>
          <w:sz w:val="19"/>
        </w:rPr>
        <w:t xml:space="preserve">• Performance &amp; Latency: </w:t>
      </w:r>
      <w:r>
        <w:rPr>
          <w:rFonts w:ascii="Times New Roman" w:hAnsi="Times New Roman"/>
          <w:sz w:val="19"/>
        </w:rPr>
        <w:t>End-to-end recommendation response time from barcode scan to result rendering shall remain under 1.2 seconds on standard 4G mobile networks.</w:t>
      </w:r>
    </w:p>
    <w:p>
      <w:pPr>
        <w:spacing w:before="10" w:after="40" w:line="276" w:lineRule="auto"/>
        <w:ind w:left="360"/>
      </w:pPr>
      <w:r>
        <w:rPr>
          <w:rFonts w:ascii="Times New Roman" w:hAnsi="Times New Roman"/>
          <w:b/>
          <w:sz w:val="19"/>
        </w:rPr>
        <w:t xml:space="preserve">• Security &amp; Privacy: </w:t>
      </w:r>
      <w:r>
        <w:rPr>
          <w:rFonts w:ascii="Times New Roman" w:hAnsi="Times New Roman"/>
          <w:sz w:val="19"/>
        </w:rPr>
        <w:t>User health profiles and scan histories stored in Cloud Firestore shall be protected via strict security rules and TLS 1.3 encryption in transit.</w:t>
      </w:r>
    </w:p>
    <w:p>
      <w:pPr>
        <w:spacing w:before="10" w:after="40" w:line="276" w:lineRule="auto"/>
        <w:ind w:left="360"/>
      </w:pPr>
      <w:r>
        <w:rPr>
          <w:rFonts w:ascii="Times New Roman" w:hAnsi="Times New Roman"/>
          <w:b/>
          <w:sz w:val="19"/>
        </w:rPr>
        <w:t xml:space="preserve">• Reliability &amp; Fallback: </w:t>
      </w:r>
      <w:r>
        <w:rPr>
          <w:rFonts w:ascii="Times New Roman" w:hAnsi="Times New Roman"/>
          <w:sz w:val="19"/>
        </w:rPr>
        <w:t>In case of backend microservice unavailability, the Android client shall seamlessly fall back to on-device rule evaluation.</w:t>
      </w:r>
    </w:p>
    <w:p>
      <w:r>
        <w:br w:type="page"/>
      </w:r>
    </w:p>
    <w:p>
      <w:pPr>
        <w:spacing w:before="120" w:after="80"/>
      </w:pPr>
      <w:r>
        <w:rPr>
          <w:rFonts w:ascii="Times New Roman" w:hAnsi="Times New Roman"/>
          <w:b/>
          <w:sz w:val="26"/>
        </w:rPr>
        <w:t>6. TECHNICAL REQUIREMENTS &amp; LITERATURE SURVEY</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06"/>
        <w:gridCol w:w="3106"/>
        <w:gridCol w:w="3106"/>
      </w:tblGrid>
      <w:tr>
        <w:tc>
          <w:tcPr>
            <w:tcW w:type="dxa" w:w="3106"/>
            <w:tcMar>
              <w:top w:w="40" w:type="dxa"/>
              <w:bottom w:w="40" w:type="dxa"/>
              <w:left w:w="70" w:type="dxa"/>
              <w:right w:w="70" w:type="dxa"/>
            </w:tcMar>
            <w:vAlign w:val="center"/>
            <w:shd w:fill="E2E8F0"/>
          </w:tcPr>
          <w:p>
            <w:pPr>
              <w:spacing w:before="0" w:after="0"/>
            </w:pPr>
            <w:r>
              <w:rPr>
                <w:rFonts w:ascii="Times New Roman" w:hAnsi="Times New Roman"/>
                <w:b/>
                <w:sz w:val="18"/>
              </w:rPr>
              <w:t>Component Layer</w:t>
            </w:r>
          </w:p>
        </w:tc>
        <w:tc>
          <w:tcPr>
            <w:tcW w:type="dxa" w:w="3106"/>
            <w:tcMar>
              <w:top w:w="40" w:type="dxa"/>
              <w:bottom w:w="40" w:type="dxa"/>
              <w:left w:w="70" w:type="dxa"/>
              <w:right w:w="70" w:type="dxa"/>
            </w:tcMar>
            <w:vAlign w:val="center"/>
            <w:shd w:fill="E2E8F0"/>
          </w:tcPr>
          <w:p>
            <w:pPr>
              <w:spacing w:before="0" w:after="0"/>
            </w:pPr>
            <w:r>
              <w:rPr>
                <w:rFonts w:ascii="Times New Roman" w:hAnsi="Times New Roman"/>
                <w:b/>
                <w:sz w:val="18"/>
              </w:rPr>
              <w:t>Technology / Framework</w:t>
            </w:r>
          </w:p>
        </w:tc>
        <w:tc>
          <w:tcPr>
            <w:tcW w:type="dxa" w:w="3106"/>
            <w:tcMar>
              <w:top w:w="40" w:type="dxa"/>
              <w:bottom w:w="40" w:type="dxa"/>
              <w:left w:w="70" w:type="dxa"/>
              <w:right w:w="70" w:type="dxa"/>
            </w:tcMar>
            <w:vAlign w:val="center"/>
            <w:shd w:fill="E2E8F0"/>
          </w:tcPr>
          <w:p>
            <w:pPr>
              <w:spacing w:before="0" w:after="0"/>
            </w:pPr>
            <w:r>
              <w:rPr>
                <w:rFonts w:ascii="Times New Roman" w:hAnsi="Times New Roman"/>
                <w:b/>
                <w:sz w:val="18"/>
              </w:rPr>
              <w:t>Version &amp; Strategic Role</w:t>
            </w:r>
          </w:p>
        </w:tc>
      </w:tr>
      <w:tr>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Mobile Application</w:t>
            </w:r>
          </w:p>
        </w:tc>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Android SDK, Java 17, XML</w:t>
            </w:r>
          </w:p>
        </w:tc>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API 26-34, MVVM, Material Design 3, ViewBinding</w:t>
            </w:r>
          </w:p>
        </w:tc>
      </w:tr>
      <w:tr>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Barcode Vision</w:t>
            </w:r>
          </w:p>
        </w:tc>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Google ML Kit &amp; CameraX</w:t>
            </w:r>
          </w:p>
        </w:tc>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v17.2.0, Sub-500ms on-device barcode scanning</w:t>
            </w:r>
          </w:p>
        </w:tc>
      </w:tr>
      <w:tr>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Backend Framework</w:t>
            </w:r>
          </w:p>
        </w:tc>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Python 3.11, Django 4.2+, DRF</w:t>
            </w:r>
          </w:p>
        </w:tc>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High-throughput RESTful microservice &amp; serializers</w:t>
            </w:r>
          </w:p>
        </w:tc>
      </w:tr>
      <w:tr>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AI / ML Classifiers</w:t>
            </w:r>
          </w:p>
        </w:tc>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XGBoost, LightGBM, Scikit-learn</w:t>
            </w:r>
          </w:p>
        </w:tc>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XGBoost 2.0+ (Active, 97.54% accuracy, 0.022ms latency)</w:t>
            </w:r>
          </w:p>
        </w:tc>
      </w:tr>
      <w:tr>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Explainability Engine</w:t>
            </w:r>
          </w:p>
        </w:tc>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SHAP (Shapley Additive exPlanations)</w:t>
            </w:r>
          </w:p>
        </w:tc>
        <w:tc>
          <w:tcPr>
            <w:tcW w:type="dxa" w:w="3106"/>
            <w:tcMar>
              <w:top w:w="40" w:type="dxa"/>
              <w:bottom w:w="40" w:type="dxa"/>
              <w:left w:w="70" w:type="dxa"/>
              <w:right w:w="70" w:type="dxa"/>
            </w:tcMar>
            <w:vAlign w:val="center"/>
            <w:shd w:fill="FFFFFF"/>
          </w:tcPr>
          <w:p>
            <w:pPr>
              <w:spacing w:before="0" w:after="0"/>
            </w:pPr>
            <w:r>
              <w:rPr>
                <w:rFonts w:ascii="Times New Roman" w:hAnsi="Times New Roman"/>
                <w:sz w:val="18"/>
              </w:rPr>
              <w:t>TreeExplainer for local feature attribution</w:t>
            </w:r>
          </w:p>
        </w:tc>
      </w:tr>
      <w:tr>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Cloud &amp; Databases</w:t>
            </w:r>
          </w:p>
        </w:tc>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Cloud Firestore &amp; SQLite</w:t>
            </w:r>
          </w:p>
        </w:tc>
        <w:tc>
          <w:tcPr>
            <w:tcW w:type="dxa" w:w="3106"/>
            <w:tcMar>
              <w:top w:w="40" w:type="dxa"/>
              <w:bottom w:w="40" w:type="dxa"/>
              <w:left w:w="70" w:type="dxa"/>
              <w:right w:w="70" w:type="dxa"/>
            </w:tcMar>
            <w:vAlign w:val="center"/>
            <w:shd w:fill="F8FAFC"/>
          </w:tcPr>
          <w:p>
            <w:pPr>
              <w:spacing w:before="0" w:after="0"/>
            </w:pPr>
            <w:r>
              <w:rPr>
                <w:rFonts w:ascii="Times New Roman" w:hAnsi="Times New Roman"/>
                <w:sz w:val="18"/>
              </w:rPr>
              <w:t>Encrypted NoSQL user/profile persistence &amp; local cache</w:t>
            </w:r>
          </w:p>
        </w:tc>
      </w:tr>
    </w:tbl>
    <w:p>
      <w:pPr>
        <w:spacing w:before="80" w:after="40"/>
      </w:pPr>
      <w:r>
        <w:rPr>
          <w:rFonts w:ascii="Times New Roman" w:hAnsi="Times New Roman"/>
          <w:b/>
          <w:sz w:val="22"/>
        </w:rPr>
        <w:t>6.2 Literature Survey Summary</w:t>
      </w:r>
    </w:p>
    <w:p>
      <w:pPr>
        <w:spacing w:before="0" w:after="80" w:line="276" w:lineRule="auto"/>
        <w:jc w:val="both"/>
      </w:pPr>
      <w:r>
        <w:rPr>
          <w:rFonts w:ascii="Times New Roman" w:hAnsi="Times New Roman"/>
          <w:sz w:val="20"/>
        </w:rPr>
        <w:t>The theoretical design of HealthSense AI is grounded in clinical AI literature: Singhal et al. (Med-PaLM, Nature 2023) demonstrated that biomedical AI systems require domain alignment and clinical guardrails rather than unconstrained generation. Lee et al. (BioBERT, Bioinformatics 2020) highlighted the effectiveness of domain-specific entity extraction, which guided our 9-class allergen taxonomy engine. Furthermore, Lundberg &amp; Lee (NeurIPS 2017) established SHAP as the gold standard for unified local feature attribution in high-stakes clinical decision environments.</w:t>
      </w:r>
    </w:p>
    <w:p>
      <w:pPr>
        <w:spacing w:before="80" w:after="40"/>
      </w:pPr>
      <w:r>
        <w:rPr>
          <w:rFonts w:ascii="Times New Roman" w:hAnsi="Times New Roman"/>
          <w:b/>
          <w:sz w:val="26"/>
        </w:rPr>
        <w:t>7. EXPECTED OUTCOMES &amp; DELIVERABLES</w:t>
      </w:r>
    </w:p>
    <w:p>
      <w:pPr>
        <w:spacing w:before="10" w:after="40" w:line="276" w:lineRule="auto"/>
        <w:ind w:left="360"/>
      </w:pPr>
      <w:r>
        <w:rPr>
          <w:rFonts w:ascii="Times New Roman" w:hAnsi="Times New Roman"/>
          <w:sz w:val="19"/>
        </w:rPr>
        <w:t>• A fully functional, submission-ready Native Android Application APK with integrated barcode scanning and offline fallback.</w:t>
      </w:r>
    </w:p>
    <w:p>
      <w:pPr>
        <w:spacing w:before="10" w:after="40" w:line="276" w:lineRule="auto"/>
        <w:ind w:left="360"/>
      </w:pPr>
      <w:r>
        <w:rPr>
          <w:rFonts w:ascii="Times New Roman" w:hAnsi="Times New Roman"/>
          <w:sz w:val="19"/>
        </w:rPr>
        <w:t>• A high-performance Python/Django AI Backend microservice providing REST API endpoints for food analysis.</w:t>
      </w:r>
    </w:p>
    <w:p>
      <w:pPr>
        <w:spacing w:before="10" w:after="40" w:line="276" w:lineRule="auto"/>
        <w:ind w:left="360"/>
      </w:pPr>
      <w:r>
        <w:rPr>
          <w:rFonts w:ascii="Times New Roman" w:hAnsi="Times New Roman"/>
          <w:sz w:val="19"/>
        </w:rPr>
        <w:t>• Four benchmarked machine learning models with the active XGBoost model achieving 97.54% accuracy and 0.9959 ROC-AUC.</w:t>
      </w:r>
    </w:p>
    <w:p>
      <w:pPr>
        <w:spacing w:before="10" w:after="40" w:line="276" w:lineRule="auto"/>
        <w:ind w:left="360"/>
      </w:pPr>
      <w:r>
        <w:rPr>
          <w:rFonts w:ascii="Times New Roman" w:hAnsi="Times New Roman"/>
          <w:sz w:val="19"/>
        </w:rPr>
        <w:t>• Complete project documentation, software requirements specification, and unit/integration test suites.</w:t>
      </w:r>
    </w:p>
    <w:p>
      <w:pPr>
        <w:spacing w:before="80" w:after="40"/>
      </w:pPr>
      <w:r>
        <w:rPr>
          <w:rFonts w:ascii="Times New Roman" w:hAnsi="Times New Roman"/>
          <w:b/>
          <w:sz w:val="26"/>
        </w:rPr>
        <w:t>8. CONCLUSION</w:t>
      </w:r>
    </w:p>
    <w:p>
      <w:pPr>
        <w:spacing w:before="0" w:after="200" w:line="276" w:lineRule="auto"/>
        <w:jc w:val="both"/>
      </w:pPr>
      <w:r>
        <w:rPr>
          <w:rFonts w:ascii="Times New Roman" w:hAnsi="Times New Roman"/>
          <w:sz w:val="20"/>
        </w:rPr>
        <w:t>HealthSense AI delivers an innovative, practical, and clinically grounded solution to the critical challenge of household nutritional safety. By synthesizing family-level profiling, instant barcode identification, deterministic safety filters, and state-of-the-art explainable machine learning, the system bridges the gap between opaque food labels and personalized dietary well-being.</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06"/>
        <w:gridCol w:w="3106"/>
        <w:gridCol w:w="3106"/>
      </w:tblGrid>
      <w:tr>
        <w:tc>
          <w:tcPr>
            <w:tcW w:type="dxa" w:w="3106"/>
            <w:tcMar>
              <w:top w:w="80" w:type="dxa"/>
              <w:bottom w:w="80" w:type="dxa"/>
              <w:left w:w="80" w:type="dxa"/>
              <w:right w:w="80" w:type="dxa"/>
            </w:tcMar>
            <w:shd w:fill="F8FAFC"/>
          </w:tcPr>
          <w:p>
            <w:pPr>
              <w:spacing w:before="0" w:after="0" w:line="276" w:lineRule="auto"/>
            </w:pPr>
            <w:r>
              <w:rPr>
                <w:rFonts w:ascii="Times New Roman" w:hAnsi="Times New Roman"/>
                <w:sz w:val="18"/>
              </w:rPr>
              <w:t>Amit Chame</w:t>
              <w:br/>
              <w:t>Student (PRN: 125M1H020)</w:t>
              <w:br/>
              <w:t>Department of MCA, PCCOE</w:t>
            </w:r>
          </w:p>
        </w:tc>
        <w:tc>
          <w:tcPr>
            <w:tcW w:type="dxa" w:w="3106"/>
            <w:tcMar>
              <w:top w:w="80" w:type="dxa"/>
              <w:bottom w:w="80" w:type="dxa"/>
              <w:left w:w="80" w:type="dxa"/>
              <w:right w:w="80" w:type="dxa"/>
            </w:tcMar>
            <w:shd w:fill="F8FAFC"/>
          </w:tcPr>
          <w:p>
            <w:pPr>
              <w:spacing w:before="0" w:after="0" w:line="276" w:lineRule="auto"/>
            </w:pPr>
            <w:r>
              <w:rPr>
                <w:rFonts w:ascii="Times New Roman" w:hAnsi="Times New Roman"/>
                <w:sz w:val="18"/>
              </w:rPr>
              <w:t>Mrs. Suchita Borkar</w:t>
              <w:br/>
              <w:t>Faculty Project Guide</w:t>
              <w:br/>
              <w:t>Department of MCA, PCCOE</w:t>
            </w:r>
          </w:p>
        </w:tc>
        <w:tc>
          <w:tcPr>
            <w:tcW w:type="dxa" w:w="3106"/>
            <w:tcMar>
              <w:top w:w="80" w:type="dxa"/>
              <w:bottom w:w="80" w:type="dxa"/>
              <w:left w:w="80" w:type="dxa"/>
              <w:right w:w="80" w:type="dxa"/>
            </w:tcMar>
            <w:shd w:fill="F8FAFC"/>
          </w:tcPr>
          <w:p>
            <w:pPr>
              <w:spacing w:before="0" w:after="0" w:line="276" w:lineRule="auto"/>
            </w:pPr>
            <w:r>
              <w:rPr>
                <w:rFonts w:ascii="Times New Roman" w:hAnsi="Times New Roman"/>
                <w:sz w:val="18"/>
              </w:rPr>
              <w:t>Head of the Department</w:t>
              <w:br/>
              <w:t>Department of MCA</w:t>
              <w:br/>
              <w:t>PCCOE, Pune - 411044</w:t>
            </w:r>
          </w:p>
        </w:tc>
      </w:tr>
    </w:tbl>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64748B"/>
        <w:sz w:val="18"/>
      </w:rPr>
      <w:t>Pimpri Chinchwad College of Engineering – Department of Master of Computer Application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