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1FA" w:rsidRPr="006A3DC8" w:rsidRDefault="00B841FA" w:rsidP="006A3DC8">
      <w:pPr>
        <w:jc w:val="center"/>
        <w:rPr>
          <w:u w:val="single"/>
          <w:lang w:val="en-US"/>
        </w:rPr>
      </w:pPr>
      <w:r w:rsidRPr="006A3DC8">
        <w:rPr>
          <w:sz w:val="32"/>
          <w:szCs w:val="32"/>
          <w:u w:val="single"/>
          <w:lang w:val="en-US"/>
        </w:rPr>
        <w:t>Analysis</w:t>
      </w:r>
      <w:r w:rsidR="006A3DC8" w:rsidRPr="006A3DC8">
        <w:rPr>
          <w:sz w:val="32"/>
          <w:szCs w:val="32"/>
          <w:u w:val="single"/>
          <w:lang w:val="en-US"/>
        </w:rPr>
        <w:t>- Excel Home</w:t>
      </w:r>
      <w:r w:rsidR="006A3DC8">
        <w:rPr>
          <w:sz w:val="32"/>
          <w:szCs w:val="32"/>
          <w:u w:val="single"/>
          <w:lang w:val="en-US"/>
        </w:rPr>
        <w:t xml:space="preserve"> </w:t>
      </w:r>
      <w:r w:rsidR="006A3DC8" w:rsidRPr="006A3DC8">
        <w:rPr>
          <w:sz w:val="32"/>
          <w:szCs w:val="32"/>
          <w:u w:val="single"/>
          <w:lang w:val="en-US"/>
        </w:rPr>
        <w:t>Work</w:t>
      </w:r>
    </w:p>
    <w:p w:rsidR="00043866" w:rsidRDefault="00043866" w:rsidP="006A3DC8">
      <w:pPr>
        <w:jc w:val="both"/>
        <w:rPr>
          <w:lang w:val="en-US"/>
        </w:rPr>
      </w:pPr>
      <w:r>
        <w:rPr>
          <w:lang w:val="en-US"/>
        </w:rPr>
        <w:t>The dataset contains data pertaining to kick starter campaigns that were launched in well known countries of North America and Europe across various categories</w:t>
      </w:r>
      <w:r w:rsidR="004C2CAB">
        <w:rPr>
          <w:lang w:val="en-US"/>
        </w:rPr>
        <w:t xml:space="preserve"> like Film and video, Food, Games, Photography, Music, Technology, Theater, journalism and publishing</w:t>
      </w:r>
      <w:r w:rsidR="00911443">
        <w:rPr>
          <w:lang w:val="en-US"/>
        </w:rPr>
        <w:t xml:space="preserve"> during 2009 to 2017.</w:t>
      </w:r>
      <w:r w:rsidR="004C2CAB">
        <w:rPr>
          <w:lang w:val="en-US"/>
        </w:rPr>
        <w:t xml:space="preserve"> The data also shows when the campaigns were launched, set goals for raised funds, actual amount raised and whether the event was a success or a failure.</w:t>
      </w:r>
    </w:p>
    <w:p w:rsidR="00B841FA" w:rsidRDefault="00B841FA" w:rsidP="006A3DC8">
      <w:pPr>
        <w:jc w:val="both"/>
        <w:rPr>
          <w:lang w:val="en-US"/>
        </w:rPr>
      </w:pPr>
      <w:r>
        <w:rPr>
          <w:lang w:val="en-US"/>
        </w:rPr>
        <w:t xml:space="preserve">Based on the </w:t>
      </w:r>
      <w:r w:rsidR="004C2CAB">
        <w:rPr>
          <w:lang w:val="en-US"/>
        </w:rPr>
        <w:t xml:space="preserve">preliminary </w:t>
      </w:r>
      <w:r>
        <w:rPr>
          <w:lang w:val="en-US"/>
        </w:rPr>
        <w:t xml:space="preserve">evaluation of the dataset, </w:t>
      </w:r>
      <w:r w:rsidR="004C2CAB">
        <w:rPr>
          <w:lang w:val="en-US"/>
        </w:rPr>
        <w:t>following conclusions can be drawn:</w:t>
      </w:r>
    </w:p>
    <w:p w:rsidR="004C2CAB" w:rsidRDefault="004C2CAB" w:rsidP="006A3DC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The campaigns with low goal (in amount) are more likely to be a success than the higher goal campaigns. As the goal increases the probability of failure increases and the event are more likely to get cancelled or are deemed as a failure. </w:t>
      </w:r>
    </w:p>
    <w:p w:rsidR="004C2CAB" w:rsidRDefault="004C2CAB" w:rsidP="006A3DC8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07602E">
            <wp:extent cx="6404610" cy="203581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483" cy="20494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143F" w:rsidRDefault="004C2CAB" w:rsidP="006A3DC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Success rate for the campaigns in the Music category </w:t>
      </w:r>
      <w:r w:rsidR="0062143F">
        <w:rPr>
          <w:lang w:val="en-US"/>
        </w:rPr>
        <w:t>is highest followed by Theater. However, Rock music tops the charts in the Music category and Plays in Theater category. (Based on total campaigns in that category)</w:t>
      </w:r>
    </w:p>
    <w:p w:rsidR="0062143F" w:rsidRPr="0062143F" w:rsidRDefault="0062143F" w:rsidP="006A3DC8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BFF905">
            <wp:extent cx="6080760" cy="28768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217" cy="29655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143F" w:rsidRPr="0062143F" w:rsidRDefault="0062143F" w:rsidP="006A3DC8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9686BE0">
            <wp:extent cx="5947612" cy="340601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051" cy="34343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41FA" w:rsidRDefault="006A3DC8" w:rsidP="006A3DC8">
      <w:pPr>
        <w:jc w:val="both"/>
        <w:rPr>
          <w:lang w:val="en-US"/>
        </w:rPr>
      </w:pPr>
      <w:r>
        <w:rPr>
          <w:lang w:val="en-US"/>
        </w:rPr>
        <w:t>If we look at the successful campaigns only, then the “Theater” category bag the first position.</w:t>
      </w:r>
    </w:p>
    <w:p w:rsidR="006A3DC8" w:rsidRDefault="006A3DC8" w:rsidP="006A3DC8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68FD0D8D" wp14:editId="7AB74485">
            <wp:extent cx="5943600" cy="3129915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F79D8FA-7E12-425E-A165-8F29BD5C37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6276D" w:rsidRDefault="006A3DC8" w:rsidP="0086276D">
      <w:pPr>
        <w:pStyle w:val="ListParagraph"/>
        <w:numPr>
          <w:ilvl w:val="0"/>
          <w:numId w:val="1"/>
        </w:numPr>
        <w:ind w:left="360"/>
        <w:jc w:val="both"/>
        <w:rPr>
          <w:lang w:val="en-US"/>
        </w:rPr>
      </w:pPr>
      <w:r w:rsidRPr="0086276D">
        <w:rPr>
          <w:lang w:val="en-US"/>
        </w:rPr>
        <w:lastRenderedPageBreak/>
        <w:t>The best time to launch the campaigns comes out to be May</w:t>
      </w:r>
      <w:r w:rsidR="0086276D" w:rsidRPr="0086276D">
        <w:rPr>
          <w:lang w:val="en-US"/>
        </w:rPr>
        <w:t>, with success rate of 60.6</w:t>
      </w:r>
      <w:proofErr w:type="gramStart"/>
      <w:r w:rsidR="0086276D" w:rsidRPr="0086276D">
        <w:rPr>
          <w:lang w:val="en-US"/>
        </w:rPr>
        <w:t>%(</w:t>
      </w:r>
      <w:proofErr w:type="gramEnd"/>
      <w:r w:rsidR="0086276D" w:rsidRPr="0086276D">
        <w:rPr>
          <w:lang w:val="en-US"/>
        </w:rPr>
        <w:t>of all the campaigns launched in May). The campaigns launched in December are more likely to fail.</w:t>
      </w:r>
      <w:r w:rsidR="0086276D">
        <w:rPr>
          <w:noProof/>
        </w:rPr>
        <w:drawing>
          <wp:inline distT="0" distB="0" distL="0" distR="0" wp14:anchorId="5F3CC504" wp14:editId="395F0B43">
            <wp:extent cx="5600700" cy="2727960"/>
            <wp:effectExtent l="0" t="0" r="0" b="1524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A9EB532-A681-4100-BDA5-6325E1013E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6276D" w:rsidRDefault="0086276D" w:rsidP="0086276D">
      <w:pPr>
        <w:jc w:val="both"/>
        <w:rPr>
          <w:lang w:val="en-US"/>
        </w:rPr>
      </w:pPr>
    </w:p>
    <w:p w:rsidR="00911443" w:rsidRDefault="0086276D" w:rsidP="0086276D">
      <w:pPr>
        <w:jc w:val="both"/>
        <w:rPr>
          <w:lang w:val="en-US"/>
        </w:rPr>
      </w:pPr>
      <w:r>
        <w:rPr>
          <w:lang w:val="en-US"/>
        </w:rPr>
        <w:t>This data ha</w:t>
      </w:r>
      <w:r w:rsidR="00911443">
        <w:rPr>
          <w:lang w:val="en-US"/>
        </w:rPr>
        <w:t xml:space="preserve">s </w:t>
      </w:r>
      <w:r>
        <w:rPr>
          <w:lang w:val="en-US"/>
        </w:rPr>
        <w:t>certain limitations- it is based on a few well</w:t>
      </w:r>
      <w:r w:rsidR="00911443">
        <w:rPr>
          <w:lang w:val="en-US"/>
        </w:rPr>
        <w:t>-</w:t>
      </w:r>
      <w:r>
        <w:rPr>
          <w:lang w:val="en-US"/>
        </w:rPr>
        <w:t>known countries of North America and Europe.</w:t>
      </w:r>
      <w:r w:rsidR="00911443">
        <w:rPr>
          <w:lang w:val="en-US"/>
        </w:rPr>
        <w:t xml:space="preserve"> Also, there is no certain way to determine, how the campaign was declared a success or a failure. Further it is very difficult to predict the trends in %funding received per sub-category, ultimately predicting whether new campaign in that category will be a success or failure.</w:t>
      </w:r>
    </w:p>
    <w:p w:rsidR="00102511" w:rsidRDefault="00102511" w:rsidP="0086276D">
      <w:pPr>
        <w:jc w:val="both"/>
        <w:rPr>
          <w:lang w:val="en-US"/>
        </w:rPr>
      </w:pPr>
    </w:p>
    <w:p w:rsidR="00102511" w:rsidRPr="0086276D" w:rsidRDefault="00102511" w:rsidP="0086276D">
      <w:pPr>
        <w:jc w:val="both"/>
        <w:rPr>
          <w:lang w:val="en-US"/>
        </w:rPr>
      </w:pPr>
      <w:r>
        <w:rPr>
          <w:lang w:val="en-US"/>
        </w:rPr>
        <w:t xml:space="preserve">We can further analyze: average donations per category and </w:t>
      </w:r>
      <w:proofErr w:type="spellStart"/>
      <w:r>
        <w:rPr>
          <w:lang w:val="en-US"/>
        </w:rPr>
        <w:t>backer_mumbers</w:t>
      </w:r>
      <w:proofErr w:type="spellEnd"/>
      <w:r>
        <w:rPr>
          <w:lang w:val="en-US"/>
        </w:rPr>
        <w:t xml:space="preserve"> to determine which subcategory is more likely to get more backers and more fundings.</w:t>
      </w:r>
      <w:bookmarkStart w:id="0" w:name="_GoBack"/>
      <w:bookmarkEnd w:id="0"/>
    </w:p>
    <w:sectPr w:rsidR="00102511" w:rsidRPr="008627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75968"/>
    <w:multiLevelType w:val="hybridMultilevel"/>
    <w:tmpl w:val="30F6A5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1FA"/>
    <w:rsid w:val="00043866"/>
    <w:rsid w:val="00102511"/>
    <w:rsid w:val="004C2CAB"/>
    <w:rsid w:val="0062143F"/>
    <w:rsid w:val="006A3DC8"/>
    <w:rsid w:val="0086276D"/>
    <w:rsid w:val="008D6165"/>
    <w:rsid w:val="00911443"/>
    <w:rsid w:val="00B841FA"/>
    <w:rsid w:val="00E9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E7E71"/>
  <w15:chartTrackingRefBased/>
  <w15:docId w15:val="{9C293BC4-D487-465D-9D14-E59209665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C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2C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C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uchi\Documents\GitHub\databootcamp-homework\Unit-1%20Excel\Excel-Homewor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uchi\Documents\GitHub\databootcamp-homework\Unit-1%20Excel\Excel-Homewor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[Excel-Homework.xlsx]Pivot 1!PivotTable2</c:name>
    <c:fmtId val="-1"/>
  </c:pivotSource>
  <c:chart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1'!$B$3:$B$4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'Pivot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1'!$B$5:$B$14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58-4E20-8EF1-800E3D1508B8}"/>
            </c:ext>
          </c:extLst>
        </c:ser>
        <c:ser>
          <c:idx val="1"/>
          <c:order val="1"/>
          <c:tx>
            <c:strRef>
              <c:f>'Pivot 1'!$C$3:$C$4</c:f>
              <c:strCache>
                <c:ptCount val="1"/>
                <c:pt idx="0">
                  <c:v>failed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'Pivot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1'!$C$5:$C$14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D58-4E20-8EF1-800E3D1508B8}"/>
            </c:ext>
          </c:extLst>
        </c:ser>
        <c:ser>
          <c:idx val="2"/>
          <c:order val="2"/>
          <c:tx>
            <c:strRef>
              <c:f>'Pivot 1'!$D$3:$D$4</c:f>
              <c:strCache>
                <c:ptCount val="1"/>
                <c:pt idx="0">
                  <c:v>canceled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'Pivot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1'!$D$5:$D$14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D58-4E20-8EF1-800E3D1508B8}"/>
            </c:ext>
          </c:extLst>
        </c:ser>
        <c:ser>
          <c:idx val="3"/>
          <c:order val="3"/>
          <c:tx>
            <c:strRef>
              <c:f>'Pivot 1'!$E$3:$E$4</c:f>
              <c:strCache>
                <c:ptCount val="1"/>
                <c:pt idx="0">
                  <c:v>live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'Pivot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1'!$E$5:$E$14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D58-4E20-8EF1-800E3D1508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98311928"/>
        <c:axId val="598314880"/>
      </c:barChart>
      <c:catAx>
        <c:axId val="598311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8314880"/>
        <c:crosses val="autoZero"/>
        <c:auto val="1"/>
        <c:lblAlgn val="ctr"/>
        <c:lblOffset val="100"/>
        <c:noMultiLvlLbl val="0"/>
      </c:catAx>
      <c:valAx>
        <c:axId val="598314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8311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[Excel-Homework.xlsx]Pivot 3!PivotTable1</c:name>
    <c:fmtId val="-1"/>
  </c:pivotSource>
  <c:chart>
    <c:autoTitleDeleted val="0"/>
    <c:pivotFmts>
      <c:pivotFmt>
        <c:idx val="0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6"/>
          </a:solidFill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'Pivot 3'!$B$4:$B$5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'Pivot 3'!$A$6:$A$18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3'!$B$6:$B$18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17-4FCE-92C6-926A42F40116}"/>
            </c:ext>
          </c:extLst>
        </c:ser>
        <c:ser>
          <c:idx val="1"/>
          <c:order val="1"/>
          <c:tx>
            <c:strRef>
              <c:f>'Pivot 3'!$C$4:$C$5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'Pivot 3'!$A$6:$A$18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3'!$C$6:$C$18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417-4FCE-92C6-926A42F40116}"/>
            </c:ext>
          </c:extLst>
        </c:ser>
        <c:ser>
          <c:idx val="2"/>
          <c:order val="2"/>
          <c:tx>
            <c:strRef>
              <c:f>'Pivot 3'!$D$4:$D$5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'Pivot 3'!$A$6:$A$18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3'!$D$6:$D$18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417-4FCE-92C6-926A42F401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95212576"/>
        <c:axId val="795209952"/>
      </c:lineChart>
      <c:catAx>
        <c:axId val="795212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5209952"/>
        <c:crosses val="autoZero"/>
        <c:auto val="1"/>
        <c:lblAlgn val="ctr"/>
        <c:lblOffset val="100"/>
        <c:noMultiLvlLbl val="0"/>
      </c:catAx>
      <c:valAx>
        <c:axId val="795209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5212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Patel</dc:creator>
  <cp:keywords/>
  <dc:description/>
  <cp:lastModifiedBy>Ruchi Patel</cp:lastModifiedBy>
  <cp:revision>2</cp:revision>
  <dcterms:created xsi:type="dcterms:W3CDTF">2019-09-24T01:21:00Z</dcterms:created>
  <dcterms:modified xsi:type="dcterms:W3CDTF">2019-09-24T03:12:00Z</dcterms:modified>
</cp:coreProperties>
</file>