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7F9FC"/>
  <w:body>
    <w:tbl>
      <w:tblPr>
        <w:tblW w:w="0" w:type="auto"/>
        <w:jc w:val="center"/>
        <w:tblLook w:val="04A0" w:firstRow="1" w:lastRow="0" w:firstColumn="1" w:lastColumn="0" w:noHBand="0" w:noVBand="1"/>
      </w:tblPr>
      <w:tblGrid>
        <w:gridCol w:w="9412"/>
      </w:tblGrid>
      <w:tr w:rsidR="009A4662" w14:paraId="3B15DF66" w14:textId="77777777">
        <w:trPr>
          <w:trHeight w:hRule="exact" w:val="14685"/>
          <w:jc w:val="center"/>
        </w:trPr>
        <w:tc>
          <w:tcPr>
            <w:tcW w:w="9412" w:type="dxa"/>
            <w:shd w:val="clear" w:color="auto" w:fill="142134"/>
            <w:vAlign w:val="center"/>
          </w:tcPr>
          <w:p w14:paraId="79738418" w14:textId="77777777" w:rsidR="009A4662" w:rsidRDefault="00000000">
            <w:pPr>
              <w:jc w:val="center"/>
            </w:pPr>
            <w:r>
              <w:rPr>
                <w:noProof/>
              </w:rPr>
              <w:drawing>
                <wp:inline distT="0" distB="0" distL="0" distR="0" wp14:anchorId="7C6150BF" wp14:editId="3C63B0F0">
                  <wp:extent cx="4500000" cy="22623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a3bmx2a3bmx2a3bm.png"/>
                          <pic:cNvPicPr/>
                        </pic:nvPicPr>
                        <pic:blipFill>
                          <a:blip r:embed="rId8"/>
                          <a:stretch>
                            <a:fillRect/>
                          </a:stretch>
                        </pic:blipFill>
                        <pic:spPr>
                          <a:xfrm>
                            <a:off x="0" y="0"/>
                            <a:ext cx="4500000" cy="2262363"/>
                          </a:xfrm>
                          <a:prstGeom prst="rect">
                            <a:avLst/>
                          </a:prstGeom>
                        </pic:spPr>
                      </pic:pic>
                    </a:graphicData>
                  </a:graphic>
                </wp:inline>
              </w:drawing>
            </w:r>
          </w:p>
          <w:p w14:paraId="5F9F7624" w14:textId="77777777" w:rsidR="009A4662" w:rsidRDefault="00000000">
            <w:pPr>
              <w:jc w:val="center"/>
            </w:pPr>
            <w:r>
              <w:rPr>
                <w:rFonts w:ascii="Calibri Light" w:hAnsi="Calibri Light"/>
                <w:b/>
                <w:color w:val="FFFFFF"/>
                <w:sz w:val="34"/>
              </w:rPr>
              <w:br/>
              <w:t>CUSTOMER CHURN &amp; RETENTION ANALYTICS</w:t>
            </w:r>
            <w:r>
              <w:rPr>
                <w:rFonts w:ascii="Calibri Light" w:hAnsi="Calibri Light"/>
                <w:b/>
                <w:color w:val="FFFFFF"/>
                <w:sz w:val="34"/>
              </w:rPr>
              <w:br/>
            </w:r>
            <w:r>
              <w:rPr>
                <w:i/>
                <w:color w:val="B9CBDC"/>
                <w:sz w:val="22"/>
              </w:rPr>
              <w:t>Understanding churn drivers, customer risk and retention opportunity</w:t>
            </w:r>
            <w:r>
              <w:rPr>
                <w:i/>
                <w:color w:val="B9CBDC"/>
                <w:sz w:val="22"/>
              </w:rPr>
              <w:br/>
            </w:r>
          </w:p>
          <w:p w14:paraId="038432CD" w14:textId="77777777" w:rsidR="009A4662" w:rsidRDefault="00000000">
            <w:pPr>
              <w:jc w:val="center"/>
            </w:pPr>
            <w:r>
              <w:rPr>
                <w:color w:val="35C3E8"/>
                <w:sz w:val="18"/>
              </w:rPr>
              <w:t>━━━━━━━━━━</w:t>
            </w:r>
            <w:r>
              <w:rPr>
                <w:color w:val="35C3E8"/>
                <w:sz w:val="18"/>
              </w:rPr>
              <w:br/>
            </w:r>
          </w:p>
          <w:p w14:paraId="019D8F49" w14:textId="77777777" w:rsidR="009A4662" w:rsidRDefault="00000000">
            <w:pPr>
              <w:jc w:val="center"/>
            </w:pPr>
            <w:r>
              <w:rPr>
                <w:b/>
                <w:color w:val="35C3E8"/>
              </w:rPr>
              <w:t>16.84% overall churn</w:t>
            </w:r>
            <w:r>
              <w:rPr>
                <w:color w:val="4A627A"/>
              </w:rPr>
              <w:t xml:space="preserve">    |    </w:t>
            </w:r>
            <w:r>
              <w:rPr>
                <w:b/>
                <w:color w:val="35C3E8"/>
              </w:rPr>
              <w:t>₹152.03K value associated with churn</w:t>
            </w:r>
            <w:r>
              <w:rPr>
                <w:color w:val="4A627A"/>
              </w:rPr>
              <w:t xml:space="preserve">    |    </w:t>
            </w:r>
            <w:r>
              <w:rPr>
                <w:b/>
                <w:color w:val="35C3E8"/>
              </w:rPr>
              <w:t>41.86% new-customer churn</w:t>
            </w:r>
          </w:p>
          <w:p w14:paraId="148E8876" w14:textId="77777777" w:rsidR="009A4662" w:rsidRDefault="00000000">
            <w:pPr>
              <w:jc w:val="center"/>
            </w:pPr>
            <w:r>
              <w:rPr>
                <w:color w:val="7E93A8"/>
                <w:sz w:val="17"/>
              </w:rPr>
              <w:br/>
              <w:t>ANALYTICS REPORT  ·  E-COMMERCE CUSTOMER BASE  ·  5,630 RECORDS</w:t>
            </w:r>
            <w:r>
              <w:rPr>
                <w:color w:val="7E93A8"/>
                <w:sz w:val="17"/>
              </w:rPr>
              <w:br/>
              <w:t>Prepared 31 August 2026   ·   Python  ·  MySQL  ·  Power BI</w:t>
            </w:r>
            <w:r>
              <w:rPr>
                <w:color w:val="7E93A8"/>
                <w:sz w:val="17"/>
              </w:rPr>
              <w:br/>
            </w:r>
            <w:r>
              <w:rPr>
                <w:b/>
                <w:color w:val="35C3E8"/>
                <w:sz w:val="18"/>
              </w:rPr>
              <w:t>Data Analytics Portfolio Project</w:t>
            </w:r>
          </w:p>
        </w:tc>
      </w:tr>
    </w:tbl>
    <w:p w14:paraId="51282ACD" w14:textId="659E78EA" w:rsidR="009A4662" w:rsidRDefault="009A4662"/>
    <w:p w14:paraId="0CFEDB6F" w14:textId="77777777" w:rsidR="009A4662" w:rsidRDefault="00000000">
      <w:pPr>
        <w:pStyle w:val="Heading1"/>
        <w:pBdr>
          <w:bottom w:val="single" w:sz="10" w:space="5" w:color="00A8CC"/>
        </w:pBdr>
      </w:pPr>
      <w:r>
        <w:t>Contents</w:t>
      </w:r>
    </w:p>
    <w:p w14:paraId="2834E673" w14:textId="77777777" w:rsidR="009A4662" w:rsidRDefault="00000000">
      <w:pPr>
        <w:spacing w:after="80"/>
      </w:pPr>
      <w:r>
        <w:rPr>
          <w:b/>
          <w:color w:val="0E2A47"/>
        </w:rPr>
        <w:t>1. Executive Summary</w:t>
      </w:r>
    </w:p>
    <w:p w14:paraId="10799B4D" w14:textId="77777777" w:rsidR="009A4662" w:rsidRDefault="00000000">
      <w:pPr>
        <w:spacing w:after="80"/>
      </w:pPr>
      <w:r>
        <w:rPr>
          <w:b/>
          <w:color w:val="0E2A47"/>
        </w:rPr>
        <w:t>2. Business Problem &amp; Objectives</w:t>
      </w:r>
    </w:p>
    <w:p w14:paraId="2447A46D" w14:textId="77777777" w:rsidR="009A4662" w:rsidRDefault="00000000">
      <w:pPr>
        <w:spacing w:after="80"/>
      </w:pPr>
      <w:r>
        <w:rPr>
          <w:b/>
          <w:color w:val="0E2A47"/>
        </w:rPr>
        <w:t>3. Data &amp; Analytical Framework</w:t>
      </w:r>
    </w:p>
    <w:p w14:paraId="6B7BC010" w14:textId="77777777" w:rsidR="009A4662" w:rsidRDefault="00000000">
      <w:pPr>
        <w:spacing w:after="80"/>
      </w:pPr>
      <w:r>
        <w:rPr>
          <w:b/>
          <w:color w:val="0E2A47"/>
        </w:rPr>
        <w:t>4. Data Quality &amp; Preparation</w:t>
      </w:r>
    </w:p>
    <w:p w14:paraId="0584172F" w14:textId="77777777" w:rsidR="009A4662" w:rsidRDefault="00000000">
      <w:pPr>
        <w:spacing w:after="80"/>
      </w:pPr>
      <w:r>
        <w:rPr>
          <w:b/>
          <w:color w:val="0E2A47"/>
        </w:rPr>
        <w:t>5. Overall Churn Landscape</w:t>
      </w:r>
    </w:p>
    <w:p w14:paraId="377A12CF" w14:textId="77777777" w:rsidR="009A4662" w:rsidRDefault="00000000">
      <w:pPr>
        <w:spacing w:after="80"/>
      </w:pPr>
      <w:r>
        <w:rPr>
          <w:b/>
          <w:color w:val="0E2A47"/>
        </w:rPr>
        <w:t>6. Churn Driver — Customer Lifecycle</w:t>
      </w:r>
    </w:p>
    <w:p w14:paraId="61305388" w14:textId="77777777" w:rsidR="009A4662" w:rsidRDefault="00000000">
      <w:pPr>
        <w:spacing w:after="80"/>
      </w:pPr>
      <w:r>
        <w:rPr>
          <w:b/>
          <w:color w:val="0E2A47"/>
        </w:rPr>
        <w:t>7. Churn Driver — Customer Experience</w:t>
      </w:r>
    </w:p>
    <w:p w14:paraId="16017B6D" w14:textId="77777777" w:rsidR="009A4662" w:rsidRDefault="00000000">
      <w:pPr>
        <w:spacing w:after="80"/>
      </w:pPr>
      <w:r>
        <w:rPr>
          <w:b/>
          <w:color w:val="0E2A47"/>
        </w:rPr>
        <w:t>8. Other Churn Signals</w:t>
      </w:r>
    </w:p>
    <w:p w14:paraId="51E8B11B" w14:textId="77777777" w:rsidR="009A4662" w:rsidRDefault="00000000">
      <w:pPr>
        <w:spacing w:after="80"/>
      </w:pPr>
      <w:r>
        <w:rPr>
          <w:b/>
          <w:color w:val="0E2A47"/>
        </w:rPr>
        <w:t>9. Customer Value &amp; Risk Segmentation</w:t>
      </w:r>
    </w:p>
    <w:p w14:paraId="66DF2E99" w14:textId="77777777" w:rsidR="009A4662" w:rsidRDefault="00000000">
      <w:pPr>
        <w:spacing w:after="80"/>
      </w:pPr>
      <w:r>
        <w:rPr>
          <w:b/>
          <w:color w:val="0E2A47"/>
        </w:rPr>
        <w:t>10. Business Impact — Value at Risk</w:t>
      </w:r>
    </w:p>
    <w:p w14:paraId="1B0BA2F6" w14:textId="77777777" w:rsidR="009A4662" w:rsidRDefault="00000000">
      <w:pPr>
        <w:spacing w:after="80"/>
      </w:pPr>
      <w:r>
        <w:rPr>
          <w:b/>
          <w:color w:val="0E2A47"/>
        </w:rPr>
        <w:t>11. Retention Strategy &amp; Action Plan</w:t>
      </w:r>
    </w:p>
    <w:p w14:paraId="2877891E" w14:textId="77777777" w:rsidR="009A4662" w:rsidRDefault="00000000">
      <w:pPr>
        <w:spacing w:after="80"/>
      </w:pPr>
      <w:r>
        <w:rPr>
          <w:b/>
          <w:color w:val="0E2A47"/>
        </w:rPr>
        <w:t>12. Conclusions &amp; Recommendations</w:t>
      </w:r>
    </w:p>
    <w:p w14:paraId="0CD3FDE5" w14:textId="77777777" w:rsidR="009A4662" w:rsidRDefault="00000000">
      <w:pPr>
        <w:spacing w:after="80"/>
      </w:pPr>
      <w:r>
        <w:rPr>
          <w:b/>
          <w:color w:val="0E2A47"/>
        </w:rPr>
        <w:t>13. Limitations &amp; Guardrails</w:t>
      </w:r>
    </w:p>
    <w:p w14:paraId="3BC0044C" w14:textId="77777777" w:rsidR="009A4662" w:rsidRDefault="00000000">
      <w:pPr>
        <w:spacing w:after="80"/>
      </w:pPr>
      <w:r>
        <w:rPr>
          <w:b/>
          <w:color w:val="0E2A47"/>
        </w:rPr>
        <w:t>Appendix A — Technical Implementation</w:t>
      </w:r>
    </w:p>
    <w:p w14:paraId="5071A3BC" w14:textId="77777777" w:rsidR="009A4662" w:rsidRDefault="00000000">
      <w:pPr>
        <w:spacing w:after="80"/>
      </w:pPr>
      <w:r>
        <w:rPr>
          <w:b/>
          <w:color w:val="0E2A47"/>
        </w:rPr>
        <w:t>Appendix B — Figure &amp; Data Source Index</w:t>
      </w:r>
    </w:p>
    <w:p w14:paraId="32A3521E" w14:textId="77777777" w:rsidR="009A4662" w:rsidRDefault="00000000">
      <w:r>
        <w:br w:type="page"/>
      </w:r>
    </w:p>
    <w:p w14:paraId="3E92152D" w14:textId="77777777" w:rsidR="009A4662" w:rsidRDefault="00000000">
      <w:pPr>
        <w:pStyle w:val="Heading1"/>
        <w:pBdr>
          <w:bottom w:val="single" w:sz="10" w:space="5" w:color="00A8CC"/>
        </w:pBdr>
      </w:pPr>
      <w:r>
        <w:lastRenderedPageBreak/>
        <w:t>1. Executive Summary</w:t>
      </w:r>
    </w:p>
    <w:p w14:paraId="054335BE" w14:textId="77777777" w:rsidR="009A4662" w:rsidRDefault="00000000">
      <w:r>
        <w:t>This report presents the findings of an end-to-end customer churn and retention analysis performed on 5,630 e-commerce customer records. The analysis moves from measurement (how much churn exists) to diagnosis (where and with whom churn concentrates) to action (where retention investment should begin). All financial figures are derived from CashbackAmount and are therefore reported as a customer-value proxy, not as actual company revenue.</w:t>
      </w:r>
    </w:p>
    <w:tbl>
      <w:tblPr>
        <w:tblStyle w:val="TableGrid"/>
        <w:tblW w:w="0" w:type="auto"/>
        <w:jc w:val="center"/>
        <w:tblLook w:val="04A0" w:firstRow="1" w:lastRow="0" w:firstColumn="1" w:lastColumn="0" w:noHBand="0" w:noVBand="1"/>
      </w:tblPr>
      <w:tblGrid>
        <w:gridCol w:w="2884"/>
        <w:gridCol w:w="3151"/>
        <w:gridCol w:w="3593"/>
      </w:tblGrid>
      <w:tr w:rsidR="009A4662" w14:paraId="05547BC9" w14:textId="77777777">
        <w:trPr>
          <w:jc w:val="center"/>
        </w:trPr>
        <w:tc>
          <w:tcPr>
            <w:tcW w:w="3024" w:type="dxa"/>
            <w:shd w:val="clear" w:color="auto" w:fill="0E2A47"/>
          </w:tcPr>
          <w:p w14:paraId="7E717E0E" w14:textId="77777777" w:rsidR="009A4662" w:rsidRDefault="00000000">
            <w:r>
              <w:rPr>
                <w:b/>
                <w:color w:val="FFFFFF"/>
                <w:sz w:val="19"/>
              </w:rPr>
              <w:t>KPI</w:t>
            </w:r>
          </w:p>
        </w:tc>
        <w:tc>
          <w:tcPr>
            <w:tcW w:w="3312" w:type="dxa"/>
            <w:shd w:val="clear" w:color="auto" w:fill="0E2A47"/>
          </w:tcPr>
          <w:p w14:paraId="62FDDC97" w14:textId="77777777" w:rsidR="009A4662" w:rsidRDefault="00000000">
            <w:r>
              <w:rPr>
                <w:b/>
                <w:color w:val="FFFFFF"/>
                <w:sz w:val="19"/>
              </w:rPr>
              <w:t>Value</w:t>
            </w:r>
          </w:p>
        </w:tc>
        <w:tc>
          <w:tcPr>
            <w:tcW w:w="3744" w:type="dxa"/>
            <w:shd w:val="clear" w:color="auto" w:fill="0E2A47"/>
          </w:tcPr>
          <w:p w14:paraId="40047049" w14:textId="77777777" w:rsidR="009A4662" w:rsidRDefault="00000000">
            <w:r>
              <w:rPr>
                <w:b/>
                <w:color w:val="FFFFFF"/>
                <w:sz w:val="19"/>
              </w:rPr>
              <w:t>Interpretation</w:t>
            </w:r>
          </w:p>
        </w:tc>
      </w:tr>
      <w:tr w:rsidR="009A4662" w14:paraId="0EF733D2" w14:textId="77777777">
        <w:trPr>
          <w:jc w:val="center"/>
        </w:trPr>
        <w:tc>
          <w:tcPr>
            <w:tcW w:w="3024" w:type="dxa"/>
          </w:tcPr>
          <w:p w14:paraId="151D8AA4" w14:textId="77777777" w:rsidR="009A4662" w:rsidRDefault="00000000">
            <w:r>
              <w:rPr>
                <w:b/>
                <w:color w:val="0E2A47"/>
                <w:sz w:val="19"/>
              </w:rPr>
              <w:t>Total customers</w:t>
            </w:r>
          </w:p>
        </w:tc>
        <w:tc>
          <w:tcPr>
            <w:tcW w:w="3312" w:type="dxa"/>
          </w:tcPr>
          <w:p w14:paraId="295C6708" w14:textId="77777777" w:rsidR="009A4662" w:rsidRDefault="00000000">
            <w:r>
              <w:rPr>
                <w:sz w:val="19"/>
              </w:rPr>
              <w:t>5,630</w:t>
            </w:r>
          </w:p>
        </w:tc>
        <w:tc>
          <w:tcPr>
            <w:tcW w:w="3744" w:type="dxa"/>
          </w:tcPr>
          <w:p w14:paraId="58E97340" w14:textId="77777777" w:rsidR="009A4662" w:rsidRDefault="00000000">
            <w:r>
              <w:rPr>
                <w:sz w:val="19"/>
              </w:rPr>
              <w:t>Full analysed customer base</w:t>
            </w:r>
          </w:p>
        </w:tc>
      </w:tr>
      <w:tr w:rsidR="009A4662" w14:paraId="0C4A6672" w14:textId="77777777">
        <w:trPr>
          <w:jc w:val="center"/>
        </w:trPr>
        <w:tc>
          <w:tcPr>
            <w:tcW w:w="3024" w:type="dxa"/>
            <w:shd w:val="clear" w:color="auto" w:fill="EDF3F9"/>
          </w:tcPr>
          <w:p w14:paraId="3C8BC366" w14:textId="77777777" w:rsidR="009A4662" w:rsidRDefault="00000000">
            <w:r>
              <w:rPr>
                <w:b/>
                <w:color w:val="0E2A47"/>
                <w:sz w:val="19"/>
              </w:rPr>
              <w:t>Retained customers</w:t>
            </w:r>
          </w:p>
        </w:tc>
        <w:tc>
          <w:tcPr>
            <w:tcW w:w="3312" w:type="dxa"/>
            <w:shd w:val="clear" w:color="auto" w:fill="EDF3F9"/>
          </w:tcPr>
          <w:p w14:paraId="58D3FE2A" w14:textId="77777777" w:rsidR="009A4662" w:rsidRDefault="00000000">
            <w:r>
              <w:rPr>
                <w:sz w:val="19"/>
              </w:rPr>
              <w:t>4,682 (83.16%)</w:t>
            </w:r>
          </w:p>
        </w:tc>
        <w:tc>
          <w:tcPr>
            <w:tcW w:w="3744" w:type="dxa"/>
            <w:shd w:val="clear" w:color="auto" w:fill="EDF3F9"/>
          </w:tcPr>
          <w:p w14:paraId="57CA707E" w14:textId="77777777" w:rsidR="009A4662" w:rsidRDefault="00000000">
            <w:r>
              <w:rPr>
                <w:sz w:val="19"/>
              </w:rPr>
              <w:t>Active base</w:t>
            </w:r>
          </w:p>
        </w:tc>
      </w:tr>
      <w:tr w:rsidR="009A4662" w14:paraId="4B28486A" w14:textId="77777777">
        <w:trPr>
          <w:jc w:val="center"/>
        </w:trPr>
        <w:tc>
          <w:tcPr>
            <w:tcW w:w="3024" w:type="dxa"/>
          </w:tcPr>
          <w:p w14:paraId="1D48E0A2" w14:textId="77777777" w:rsidR="009A4662" w:rsidRDefault="00000000">
            <w:r>
              <w:rPr>
                <w:b/>
                <w:color w:val="0E2A47"/>
                <w:sz w:val="19"/>
              </w:rPr>
              <w:t>Churned customers</w:t>
            </w:r>
          </w:p>
        </w:tc>
        <w:tc>
          <w:tcPr>
            <w:tcW w:w="3312" w:type="dxa"/>
          </w:tcPr>
          <w:p w14:paraId="0FDE69B1" w14:textId="77777777" w:rsidR="009A4662" w:rsidRDefault="00000000">
            <w:r>
              <w:rPr>
                <w:sz w:val="19"/>
              </w:rPr>
              <w:t>948 (16.84%)</w:t>
            </w:r>
          </w:p>
        </w:tc>
        <w:tc>
          <w:tcPr>
            <w:tcW w:w="3744" w:type="dxa"/>
          </w:tcPr>
          <w:p w14:paraId="62895FAD" w14:textId="77777777" w:rsidR="009A4662" w:rsidRDefault="00000000">
            <w:r>
              <w:rPr>
                <w:sz w:val="19"/>
              </w:rPr>
              <w:t>Overall churn rate 16.84%</w:t>
            </w:r>
          </w:p>
        </w:tc>
      </w:tr>
      <w:tr w:rsidR="009A4662" w14:paraId="4F2FFA1D" w14:textId="77777777">
        <w:trPr>
          <w:jc w:val="center"/>
        </w:trPr>
        <w:tc>
          <w:tcPr>
            <w:tcW w:w="3024" w:type="dxa"/>
            <w:shd w:val="clear" w:color="auto" w:fill="EDF3F9"/>
          </w:tcPr>
          <w:p w14:paraId="636ED8CE" w14:textId="77777777" w:rsidR="009A4662" w:rsidRDefault="00000000">
            <w:r>
              <w:rPr>
                <w:b/>
                <w:color w:val="0E2A47"/>
                <w:sz w:val="19"/>
              </w:rPr>
              <w:t>Total customer-value proxy</w:t>
            </w:r>
          </w:p>
        </w:tc>
        <w:tc>
          <w:tcPr>
            <w:tcW w:w="3312" w:type="dxa"/>
            <w:shd w:val="clear" w:color="auto" w:fill="EDF3F9"/>
          </w:tcPr>
          <w:p w14:paraId="2E804FEC" w14:textId="77777777" w:rsidR="009A4662" w:rsidRDefault="00000000">
            <w:r>
              <w:rPr>
                <w:sz w:val="19"/>
              </w:rPr>
              <w:t>₹997.77K</w:t>
            </w:r>
          </w:p>
        </w:tc>
        <w:tc>
          <w:tcPr>
            <w:tcW w:w="3744" w:type="dxa"/>
            <w:shd w:val="clear" w:color="auto" w:fill="EDF3F9"/>
          </w:tcPr>
          <w:p w14:paraId="0B86D898" w14:textId="77777777" w:rsidR="009A4662" w:rsidRDefault="00000000">
            <w:r>
              <w:rPr>
                <w:sz w:val="19"/>
              </w:rPr>
              <w:t>CashbackAmount-derived, all customers</w:t>
            </w:r>
          </w:p>
        </w:tc>
      </w:tr>
      <w:tr w:rsidR="009A4662" w14:paraId="0092598E" w14:textId="77777777">
        <w:trPr>
          <w:jc w:val="center"/>
        </w:trPr>
        <w:tc>
          <w:tcPr>
            <w:tcW w:w="3024" w:type="dxa"/>
          </w:tcPr>
          <w:p w14:paraId="7E9AFB87" w14:textId="77777777" w:rsidR="009A4662" w:rsidRDefault="00000000">
            <w:r>
              <w:rPr>
                <w:b/>
                <w:color w:val="0E2A47"/>
                <w:sz w:val="19"/>
              </w:rPr>
              <w:t>Value associated with churn</w:t>
            </w:r>
          </w:p>
        </w:tc>
        <w:tc>
          <w:tcPr>
            <w:tcW w:w="3312" w:type="dxa"/>
          </w:tcPr>
          <w:p w14:paraId="1AB077CF" w14:textId="77777777" w:rsidR="009A4662" w:rsidRDefault="00000000">
            <w:r>
              <w:rPr>
                <w:sz w:val="19"/>
              </w:rPr>
              <w:t>₹152.03K (15.24%)</w:t>
            </w:r>
          </w:p>
        </w:tc>
        <w:tc>
          <w:tcPr>
            <w:tcW w:w="3744" w:type="dxa"/>
          </w:tcPr>
          <w:p w14:paraId="7EF10D26" w14:textId="77777777" w:rsidR="009A4662" w:rsidRDefault="00000000">
            <w:r>
              <w:rPr>
                <w:sz w:val="19"/>
              </w:rPr>
              <w:t>Customer-value exposure from churned customers</w:t>
            </w:r>
          </w:p>
        </w:tc>
      </w:tr>
      <w:tr w:rsidR="009A4662" w14:paraId="121950F3" w14:textId="77777777">
        <w:trPr>
          <w:jc w:val="center"/>
        </w:trPr>
        <w:tc>
          <w:tcPr>
            <w:tcW w:w="3024" w:type="dxa"/>
            <w:shd w:val="clear" w:color="auto" w:fill="EDF3F9"/>
          </w:tcPr>
          <w:p w14:paraId="09823BAF" w14:textId="77777777" w:rsidR="009A4662" w:rsidRDefault="00000000">
            <w:r>
              <w:rPr>
                <w:b/>
                <w:color w:val="0E2A47"/>
                <w:sz w:val="19"/>
              </w:rPr>
              <w:t>Complaint churn rate</w:t>
            </w:r>
          </w:p>
        </w:tc>
        <w:tc>
          <w:tcPr>
            <w:tcW w:w="3312" w:type="dxa"/>
            <w:shd w:val="clear" w:color="auto" w:fill="EDF3F9"/>
          </w:tcPr>
          <w:p w14:paraId="64386AA9" w14:textId="77777777" w:rsidR="009A4662" w:rsidRDefault="00000000">
            <w:r>
              <w:rPr>
                <w:sz w:val="19"/>
              </w:rPr>
              <w:t>31.67% vs 10.93% (no complaint)</w:t>
            </w:r>
          </w:p>
        </w:tc>
        <w:tc>
          <w:tcPr>
            <w:tcW w:w="3744" w:type="dxa"/>
            <w:shd w:val="clear" w:color="auto" w:fill="EDF3F9"/>
          </w:tcPr>
          <w:p w14:paraId="6360C2AD" w14:textId="77777777" w:rsidR="009A4662" w:rsidRDefault="00000000">
            <w:r>
              <w:rPr>
                <w:sz w:val="19"/>
              </w:rPr>
              <w:t>≈2.9× higher observed churn with complaints</w:t>
            </w:r>
          </w:p>
        </w:tc>
      </w:tr>
      <w:tr w:rsidR="009A4662" w14:paraId="1C553D34" w14:textId="77777777">
        <w:trPr>
          <w:jc w:val="center"/>
        </w:trPr>
        <w:tc>
          <w:tcPr>
            <w:tcW w:w="3024" w:type="dxa"/>
          </w:tcPr>
          <w:p w14:paraId="7043358B" w14:textId="77777777" w:rsidR="009A4662" w:rsidRDefault="00000000">
            <w:r>
              <w:rPr>
                <w:b/>
                <w:color w:val="0E2A47"/>
                <w:sz w:val="19"/>
              </w:rPr>
              <w:t>New-customer churn (0–3m)</w:t>
            </w:r>
          </w:p>
        </w:tc>
        <w:tc>
          <w:tcPr>
            <w:tcW w:w="3312" w:type="dxa"/>
          </w:tcPr>
          <w:p w14:paraId="5D6A0955" w14:textId="77777777" w:rsidR="009A4662" w:rsidRDefault="00000000">
            <w:r>
              <w:rPr>
                <w:sz w:val="19"/>
              </w:rPr>
              <w:t>41.86%</w:t>
            </w:r>
          </w:p>
        </w:tc>
        <w:tc>
          <w:tcPr>
            <w:tcW w:w="3744" w:type="dxa"/>
          </w:tcPr>
          <w:p w14:paraId="47F4FB30" w14:textId="77777777" w:rsidR="009A4662" w:rsidRDefault="00000000">
            <w:r>
              <w:rPr>
                <w:sz w:val="19"/>
              </w:rPr>
              <w:t>Highest observed lifecycle risk; 653 of 948 churned</w:t>
            </w:r>
          </w:p>
        </w:tc>
      </w:tr>
      <w:tr w:rsidR="009A4662" w14:paraId="233C430E" w14:textId="77777777">
        <w:trPr>
          <w:jc w:val="center"/>
        </w:trPr>
        <w:tc>
          <w:tcPr>
            <w:tcW w:w="3024" w:type="dxa"/>
            <w:shd w:val="clear" w:color="auto" w:fill="EDF3F9"/>
          </w:tcPr>
          <w:p w14:paraId="0D19A26D" w14:textId="77777777" w:rsidR="009A4662" w:rsidRDefault="00000000">
            <w:r>
              <w:rPr>
                <w:b/>
                <w:color w:val="0E2A47"/>
                <w:sz w:val="19"/>
              </w:rPr>
              <w:t>Loyal-customer churn (25m+)</w:t>
            </w:r>
          </w:p>
        </w:tc>
        <w:tc>
          <w:tcPr>
            <w:tcW w:w="3312" w:type="dxa"/>
            <w:shd w:val="clear" w:color="auto" w:fill="EDF3F9"/>
          </w:tcPr>
          <w:p w14:paraId="2B78DB5B" w14:textId="77777777" w:rsidR="009A4662" w:rsidRDefault="00000000">
            <w:r>
              <w:rPr>
                <w:sz w:val="19"/>
              </w:rPr>
              <w:t>0.00%</w:t>
            </w:r>
          </w:p>
        </w:tc>
        <w:tc>
          <w:tcPr>
            <w:tcW w:w="3744" w:type="dxa"/>
            <w:shd w:val="clear" w:color="auto" w:fill="EDF3F9"/>
          </w:tcPr>
          <w:p w14:paraId="56840EE5" w14:textId="77777777" w:rsidR="009A4662" w:rsidRDefault="00000000">
            <w:r>
              <w:rPr>
                <w:sz w:val="19"/>
              </w:rPr>
              <w:t>No observed churn beyond 25 months</w:t>
            </w:r>
          </w:p>
        </w:tc>
      </w:tr>
      <w:tr w:rsidR="009A4662" w14:paraId="3AA65531" w14:textId="77777777">
        <w:trPr>
          <w:jc w:val="center"/>
        </w:trPr>
        <w:tc>
          <w:tcPr>
            <w:tcW w:w="3024" w:type="dxa"/>
          </w:tcPr>
          <w:p w14:paraId="59E53E16" w14:textId="77777777" w:rsidR="009A4662" w:rsidRDefault="00000000">
            <w:r>
              <w:rPr>
                <w:b/>
                <w:color w:val="0E2A47"/>
                <w:sz w:val="19"/>
              </w:rPr>
              <w:t>Avg tenure — churned vs retained</w:t>
            </w:r>
          </w:p>
        </w:tc>
        <w:tc>
          <w:tcPr>
            <w:tcW w:w="3312" w:type="dxa"/>
          </w:tcPr>
          <w:p w14:paraId="4A8BAF34" w14:textId="77777777" w:rsidR="009A4662" w:rsidRDefault="00000000">
            <w:r>
              <w:rPr>
                <w:sz w:val="19"/>
              </w:rPr>
              <w:t>3.86 vs 11.40 months</w:t>
            </w:r>
          </w:p>
        </w:tc>
        <w:tc>
          <w:tcPr>
            <w:tcW w:w="3744" w:type="dxa"/>
          </w:tcPr>
          <w:p w14:paraId="6BCD363B" w14:textId="77777777" w:rsidR="009A4662" w:rsidRDefault="00000000">
            <w:r>
              <w:rPr>
                <w:sz w:val="19"/>
              </w:rPr>
              <w:t>7.54-month tenure gap between outcomes</w:t>
            </w:r>
          </w:p>
        </w:tc>
      </w:tr>
    </w:tbl>
    <w:p w14:paraId="1A1F180A" w14:textId="77777777" w:rsidR="009A4662" w:rsidRDefault="009A4662">
      <w:pPr>
        <w:spacing w:after="40"/>
      </w:pPr>
    </w:p>
    <w:p w14:paraId="35E9E5F0" w14:textId="77777777" w:rsidR="009A4662" w:rsidRDefault="00000000">
      <w:r>
        <w:rPr>
          <w:rFonts w:ascii="Calibri Light" w:hAnsi="Calibri Light"/>
          <w:b/>
          <w:color w:val="0E2A47"/>
          <w:sz w:val="24"/>
        </w:rPr>
        <w:t>Key findings</w:t>
      </w:r>
    </w:p>
    <w:p w14:paraId="69270BC4" w14:textId="77777777" w:rsidR="009A4662" w:rsidRDefault="00000000">
      <w:pPr>
        <w:pStyle w:val="ListBullet"/>
        <w:spacing w:after="60"/>
      </w:pPr>
      <w:r>
        <w:t>Churn is concentrated, not uniform: the 0–3 month lifecycle stage churns at 41.86% while all later stages remain below 10% (Loyal 0.00%).</w:t>
      </w:r>
    </w:p>
    <w:p w14:paraId="19FB4768" w14:textId="77777777" w:rsidR="009A4662" w:rsidRDefault="00000000">
      <w:pPr>
        <w:pStyle w:val="ListBullet"/>
        <w:spacing w:after="60"/>
      </w:pPr>
      <w:r>
        <w:t>Complaint behaviour is strongly associated with churn: 31.67% vs 10.93% — an observed gap of ≈2.9×.</w:t>
      </w:r>
    </w:p>
    <w:p w14:paraId="57EF1528" w14:textId="77777777" w:rsidR="009A4662" w:rsidRDefault="00000000">
      <w:pPr>
        <w:pStyle w:val="ListBullet"/>
        <w:spacing w:after="60"/>
      </w:pPr>
      <w:r>
        <w:t>Churn converts into measurable value exposure: 15.24% of the total customer-value proxy (₹152.03K of ₹997.77K) is associated with churned customers.</w:t>
      </w:r>
    </w:p>
    <w:p w14:paraId="0A0B781A" w14:textId="77777777" w:rsidR="009A4662" w:rsidRDefault="00000000">
      <w:pPr>
        <w:pStyle w:val="ListBullet"/>
        <w:spacing w:after="60"/>
      </w:pPr>
      <w:r>
        <w:t>Value-aware segmentation works: churn falls from 25.07% in the lowest value quartile to 10.95% in the highest; risk-level segmentation isolates a critical pool churning at 60.2%.</w:t>
      </w:r>
    </w:p>
    <w:p w14:paraId="750B2561" w14:textId="77777777" w:rsidR="009A4662" w:rsidRDefault="00000000">
      <w:pPr>
        <w:pStyle w:val="ListBullet"/>
        <w:spacing w:after="60"/>
      </w:pPr>
      <w:r>
        <w:t>Retention is actionable: a 5-percentage-point churn reduction would protect an estimated ₹7.60K of customer-value proxy; 10 points would protect ₹15.20K.</w:t>
      </w:r>
    </w:p>
    <w:p w14:paraId="47A5F352" w14:textId="77777777" w:rsidR="009A4662" w:rsidRDefault="00000000">
      <w:pPr>
        <w:jc w:val="center"/>
      </w:pPr>
      <w:r>
        <w:rPr>
          <w:noProof/>
        </w:rPr>
        <w:lastRenderedPageBreak/>
        <w:drawing>
          <wp:inline distT="0" distB="0" distL="0" distR="0" wp14:anchorId="5787C346" wp14:editId="0E5B3757">
            <wp:extent cx="5943600" cy="33261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201134.png"/>
                    <pic:cNvPicPr/>
                  </pic:nvPicPr>
                  <pic:blipFill>
                    <a:blip r:embed="rId9"/>
                    <a:stretch>
                      <a:fillRect/>
                    </a:stretch>
                  </pic:blipFill>
                  <pic:spPr>
                    <a:xfrm>
                      <a:off x="0" y="0"/>
                      <a:ext cx="5943600" cy="3326118"/>
                    </a:xfrm>
                    <a:prstGeom prst="rect">
                      <a:avLst/>
                    </a:prstGeom>
                  </pic:spPr>
                </pic:pic>
              </a:graphicData>
            </a:graphic>
          </wp:inline>
        </w:drawing>
      </w:r>
    </w:p>
    <w:p w14:paraId="44747F02" w14:textId="77777777" w:rsidR="009A4662" w:rsidRDefault="00000000">
      <w:pPr>
        <w:spacing w:after="200"/>
        <w:jc w:val="center"/>
      </w:pPr>
      <w:r>
        <w:rPr>
          <w:i/>
          <w:color w:val="77879A"/>
          <w:sz w:val="17"/>
        </w:rPr>
        <w:t>Figure 1  ·  ChurnLens overview dashboard — executive KPIs and headline distributions.</w:t>
      </w:r>
    </w:p>
    <w:tbl>
      <w:tblPr>
        <w:tblW w:w="0" w:type="auto"/>
        <w:jc w:val="center"/>
        <w:tblLook w:val="04A0" w:firstRow="1" w:lastRow="0" w:firstColumn="1" w:lastColumn="0" w:noHBand="0" w:noVBand="1"/>
      </w:tblPr>
      <w:tblGrid>
        <w:gridCol w:w="9504"/>
      </w:tblGrid>
      <w:tr w:rsidR="009A4662" w14:paraId="65E4A48B" w14:textId="77777777">
        <w:trPr>
          <w:jc w:val="center"/>
        </w:trPr>
        <w:tc>
          <w:tcPr>
            <w:tcW w:w="9504" w:type="dxa"/>
            <w:tcBorders>
              <w:left w:val="single" w:sz="24" w:space="0" w:color="00A8CC"/>
            </w:tcBorders>
            <w:shd w:val="clear" w:color="auto" w:fill="E8F6FA"/>
            <w:vAlign w:val="center"/>
          </w:tcPr>
          <w:p w14:paraId="443950FC" w14:textId="77777777" w:rsidR="009A4662" w:rsidRDefault="00000000">
            <w:pPr>
              <w:spacing w:before="80" w:after="80"/>
            </w:pPr>
            <w:r>
              <w:rPr>
                <w:b/>
                <w:i/>
                <w:color w:val="0B5E73"/>
                <w:sz w:val="20"/>
              </w:rPr>
              <w:t>Recommended focus: prevent early churn → resolve complaints faster → protect high-risk customer value.</w:t>
            </w:r>
          </w:p>
        </w:tc>
      </w:tr>
    </w:tbl>
    <w:p w14:paraId="0F894FE7" w14:textId="77777777" w:rsidR="009A4662" w:rsidRDefault="009A4662">
      <w:pPr>
        <w:spacing w:after="40"/>
      </w:pPr>
    </w:p>
    <w:p w14:paraId="21CAF782" w14:textId="77777777" w:rsidR="009A4662" w:rsidRDefault="00000000">
      <w:r>
        <w:br w:type="page"/>
      </w:r>
    </w:p>
    <w:p w14:paraId="0285FE9D" w14:textId="0B91961B" w:rsidR="009A4662" w:rsidRDefault="00000000" w:rsidP="006630BA">
      <w:pPr>
        <w:pStyle w:val="Heading1"/>
        <w:pBdr>
          <w:bottom w:val="single" w:sz="10" w:space="5" w:color="00A8CC"/>
        </w:pBdr>
        <w:tabs>
          <w:tab w:val="left" w:pos="7704"/>
        </w:tabs>
      </w:pPr>
      <w:r>
        <w:lastRenderedPageBreak/>
        <w:t>2. Business Problem &amp; Objectives</w:t>
      </w:r>
      <w:r w:rsidR="006630BA">
        <w:tab/>
      </w:r>
    </w:p>
    <w:p w14:paraId="69856BFA" w14:textId="77777777" w:rsidR="009A4662" w:rsidRDefault="00000000">
      <w:pPr>
        <w:pStyle w:val="Heading2"/>
      </w:pPr>
      <w:r>
        <w:t>2.1 Business problem</w:t>
      </w:r>
    </w:p>
    <w:p w14:paraId="3E8C56B3" w14:textId="77777777" w:rsidR="009A4662" w:rsidRDefault="00000000">
      <w:r>
        <w:rPr>
          <w:i/>
        </w:rPr>
        <w:t>Customer churn reduces the future value of the customer base. Management needs to know not only how many customers churn, but why they churn, who is most exposed, and where retention effort should be prioritized. An aggregate churn rate of 16.84% is meaningful, but by itself it does not identify where intervention should begin.</w:t>
      </w:r>
    </w:p>
    <w:p w14:paraId="28E6EBB1" w14:textId="77777777" w:rsidR="009A4662" w:rsidRDefault="00000000">
      <w:pPr>
        <w:pStyle w:val="Heading2"/>
      </w:pPr>
      <w:r>
        <w:t>2.2 Analytical objectives</w:t>
      </w:r>
    </w:p>
    <w:tbl>
      <w:tblPr>
        <w:tblStyle w:val="TableGrid"/>
        <w:tblW w:w="0" w:type="auto"/>
        <w:jc w:val="center"/>
        <w:tblLook w:val="04A0" w:firstRow="1" w:lastRow="0" w:firstColumn="1" w:lastColumn="0" w:noHBand="0" w:noVBand="1"/>
      </w:tblPr>
      <w:tblGrid>
        <w:gridCol w:w="700"/>
        <w:gridCol w:w="2766"/>
        <w:gridCol w:w="6162"/>
      </w:tblGrid>
      <w:tr w:rsidR="009A4662" w14:paraId="5102A100" w14:textId="77777777">
        <w:trPr>
          <w:jc w:val="center"/>
        </w:trPr>
        <w:tc>
          <w:tcPr>
            <w:tcW w:w="720" w:type="dxa"/>
            <w:shd w:val="clear" w:color="auto" w:fill="0E2A47"/>
          </w:tcPr>
          <w:p w14:paraId="3DECB6E6" w14:textId="77777777" w:rsidR="009A4662" w:rsidRDefault="00000000">
            <w:r>
              <w:rPr>
                <w:b/>
                <w:color w:val="FFFFFF"/>
                <w:sz w:val="19"/>
              </w:rPr>
              <w:t>#</w:t>
            </w:r>
          </w:p>
        </w:tc>
        <w:tc>
          <w:tcPr>
            <w:tcW w:w="2880" w:type="dxa"/>
            <w:shd w:val="clear" w:color="auto" w:fill="0E2A47"/>
          </w:tcPr>
          <w:p w14:paraId="3D3167FA" w14:textId="77777777" w:rsidR="009A4662" w:rsidRDefault="00000000">
            <w:r>
              <w:rPr>
                <w:b/>
                <w:color w:val="FFFFFF"/>
                <w:sz w:val="19"/>
              </w:rPr>
              <w:t>Objective</w:t>
            </w:r>
          </w:p>
        </w:tc>
        <w:tc>
          <w:tcPr>
            <w:tcW w:w="6480" w:type="dxa"/>
            <w:shd w:val="clear" w:color="auto" w:fill="0E2A47"/>
          </w:tcPr>
          <w:p w14:paraId="2B6EB42B" w14:textId="77777777" w:rsidR="009A4662" w:rsidRDefault="00000000">
            <w:r>
              <w:rPr>
                <w:b/>
                <w:color w:val="FFFFFF"/>
                <w:sz w:val="19"/>
              </w:rPr>
              <w:t>Question answered</w:t>
            </w:r>
          </w:p>
        </w:tc>
      </w:tr>
      <w:tr w:rsidR="009A4662" w14:paraId="129BA9D2" w14:textId="77777777">
        <w:trPr>
          <w:jc w:val="center"/>
        </w:trPr>
        <w:tc>
          <w:tcPr>
            <w:tcW w:w="720" w:type="dxa"/>
          </w:tcPr>
          <w:p w14:paraId="6CE74C7F" w14:textId="77777777" w:rsidR="009A4662" w:rsidRDefault="00000000">
            <w:r>
              <w:rPr>
                <w:b/>
                <w:color w:val="0E2A47"/>
                <w:sz w:val="19"/>
              </w:rPr>
              <w:t>01</w:t>
            </w:r>
          </w:p>
        </w:tc>
        <w:tc>
          <w:tcPr>
            <w:tcW w:w="2880" w:type="dxa"/>
          </w:tcPr>
          <w:p w14:paraId="006E99A1" w14:textId="77777777" w:rsidR="009A4662" w:rsidRDefault="00000000">
            <w:r>
              <w:rPr>
                <w:sz w:val="19"/>
              </w:rPr>
              <w:t>Quantify churn</w:t>
            </w:r>
          </w:p>
        </w:tc>
        <w:tc>
          <w:tcPr>
            <w:tcW w:w="6480" w:type="dxa"/>
          </w:tcPr>
          <w:p w14:paraId="2E0861C6" w14:textId="77777777" w:rsidR="009A4662" w:rsidRDefault="00000000">
            <w:r>
              <w:rPr>
                <w:sz w:val="19"/>
              </w:rPr>
              <w:t>How much churn exists in the customer base?</w:t>
            </w:r>
          </w:p>
        </w:tc>
      </w:tr>
      <w:tr w:rsidR="009A4662" w14:paraId="4B06F5B7" w14:textId="77777777">
        <w:trPr>
          <w:jc w:val="center"/>
        </w:trPr>
        <w:tc>
          <w:tcPr>
            <w:tcW w:w="720" w:type="dxa"/>
            <w:shd w:val="clear" w:color="auto" w:fill="EDF3F9"/>
          </w:tcPr>
          <w:p w14:paraId="78CEA7CD" w14:textId="77777777" w:rsidR="009A4662" w:rsidRDefault="00000000">
            <w:r>
              <w:rPr>
                <w:b/>
                <w:color w:val="0E2A47"/>
                <w:sz w:val="19"/>
              </w:rPr>
              <w:t>02</w:t>
            </w:r>
          </w:p>
        </w:tc>
        <w:tc>
          <w:tcPr>
            <w:tcW w:w="2880" w:type="dxa"/>
            <w:shd w:val="clear" w:color="auto" w:fill="EDF3F9"/>
          </w:tcPr>
          <w:p w14:paraId="2B08691C" w14:textId="77777777" w:rsidR="009A4662" w:rsidRDefault="00000000">
            <w:r>
              <w:rPr>
                <w:sz w:val="19"/>
              </w:rPr>
              <w:t>Identify churn drivers</w:t>
            </w:r>
          </w:p>
        </w:tc>
        <w:tc>
          <w:tcPr>
            <w:tcW w:w="6480" w:type="dxa"/>
            <w:shd w:val="clear" w:color="auto" w:fill="EDF3F9"/>
          </w:tcPr>
          <w:p w14:paraId="7CB51C2D" w14:textId="77777777" w:rsidR="009A4662" w:rsidRDefault="00000000">
            <w:r>
              <w:rPr>
                <w:sz w:val="19"/>
              </w:rPr>
              <w:t>Which lifecycle stages, behaviors and experiences associate with churn?</w:t>
            </w:r>
          </w:p>
        </w:tc>
      </w:tr>
      <w:tr w:rsidR="009A4662" w14:paraId="5515E0CA" w14:textId="77777777">
        <w:trPr>
          <w:jc w:val="center"/>
        </w:trPr>
        <w:tc>
          <w:tcPr>
            <w:tcW w:w="720" w:type="dxa"/>
          </w:tcPr>
          <w:p w14:paraId="650D419F" w14:textId="77777777" w:rsidR="009A4662" w:rsidRDefault="00000000">
            <w:r>
              <w:rPr>
                <w:b/>
                <w:color w:val="0E2A47"/>
                <w:sz w:val="19"/>
              </w:rPr>
              <w:t>03</w:t>
            </w:r>
          </w:p>
        </w:tc>
        <w:tc>
          <w:tcPr>
            <w:tcW w:w="2880" w:type="dxa"/>
          </w:tcPr>
          <w:p w14:paraId="489B704A" w14:textId="77777777" w:rsidR="009A4662" w:rsidRDefault="00000000">
            <w:r>
              <w:rPr>
                <w:sz w:val="19"/>
              </w:rPr>
              <w:t>Segment customers</w:t>
            </w:r>
          </w:p>
        </w:tc>
        <w:tc>
          <w:tcPr>
            <w:tcW w:w="6480" w:type="dxa"/>
          </w:tcPr>
          <w:p w14:paraId="0E2FA692" w14:textId="77777777" w:rsidR="009A4662" w:rsidRDefault="00000000">
            <w:r>
              <w:rPr>
                <w:sz w:val="19"/>
              </w:rPr>
              <w:t>How does churn vary by lifecycle, demographics and customer value?</w:t>
            </w:r>
          </w:p>
        </w:tc>
      </w:tr>
      <w:tr w:rsidR="009A4662" w14:paraId="3F61FF0D" w14:textId="77777777">
        <w:trPr>
          <w:jc w:val="center"/>
        </w:trPr>
        <w:tc>
          <w:tcPr>
            <w:tcW w:w="720" w:type="dxa"/>
            <w:shd w:val="clear" w:color="auto" w:fill="EDF3F9"/>
          </w:tcPr>
          <w:p w14:paraId="435D9699" w14:textId="77777777" w:rsidR="009A4662" w:rsidRDefault="00000000">
            <w:r>
              <w:rPr>
                <w:b/>
                <w:color w:val="0E2A47"/>
                <w:sz w:val="19"/>
              </w:rPr>
              <w:t>04</w:t>
            </w:r>
          </w:p>
        </w:tc>
        <w:tc>
          <w:tcPr>
            <w:tcW w:w="2880" w:type="dxa"/>
            <w:shd w:val="clear" w:color="auto" w:fill="EDF3F9"/>
          </w:tcPr>
          <w:p w14:paraId="78675707" w14:textId="77777777" w:rsidR="009A4662" w:rsidRDefault="00000000">
            <w:r>
              <w:rPr>
                <w:sz w:val="19"/>
              </w:rPr>
              <w:t>Quantify value exposure</w:t>
            </w:r>
          </w:p>
        </w:tc>
        <w:tc>
          <w:tcPr>
            <w:tcW w:w="6480" w:type="dxa"/>
            <w:shd w:val="clear" w:color="auto" w:fill="EDF3F9"/>
          </w:tcPr>
          <w:p w14:paraId="2F829384" w14:textId="77777777" w:rsidR="009A4662" w:rsidRDefault="00000000">
            <w:r>
              <w:rPr>
                <w:sz w:val="19"/>
              </w:rPr>
              <w:t>How much customer-value proxy is associated with churn?</w:t>
            </w:r>
          </w:p>
        </w:tc>
      </w:tr>
      <w:tr w:rsidR="009A4662" w14:paraId="7A19CB75" w14:textId="77777777">
        <w:trPr>
          <w:jc w:val="center"/>
        </w:trPr>
        <w:tc>
          <w:tcPr>
            <w:tcW w:w="720" w:type="dxa"/>
          </w:tcPr>
          <w:p w14:paraId="2D82763B" w14:textId="77777777" w:rsidR="009A4662" w:rsidRDefault="00000000">
            <w:r>
              <w:rPr>
                <w:b/>
                <w:color w:val="0E2A47"/>
                <w:sz w:val="19"/>
              </w:rPr>
              <w:t>05</w:t>
            </w:r>
          </w:p>
        </w:tc>
        <w:tc>
          <w:tcPr>
            <w:tcW w:w="2880" w:type="dxa"/>
          </w:tcPr>
          <w:p w14:paraId="00FE8D7A" w14:textId="77777777" w:rsidR="009A4662" w:rsidRDefault="00000000">
            <w:r>
              <w:rPr>
                <w:sz w:val="19"/>
              </w:rPr>
              <w:t>Prioritize retention</w:t>
            </w:r>
          </w:p>
        </w:tc>
        <w:tc>
          <w:tcPr>
            <w:tcW w:w="6480" w:type="dxa"/>
          </w:tcPr>
          <w:p w14:paraId="40864535" w14:textId="77777777" w:rsidR="009A4662" w:rsidRDefault="00000000">
            <w:r>
              <w:rPr>
                <w:sz w:val="19"/>
              </w:rPr>
              <w:t>Where should retention investment start, and what should be monitored?</w:t>
            </w:r>
          </w:p>
        </w:tc>
      </w:tr>
    </w:tbl>
    <w:p w14:paraId="4A9F3E91" w14:textId="77777777" w:rsidR="009A4662" w:rsidRDefault="009A4662">
      <w:pPr>
        <w:spacing w:after="40"/>
      </w:pPr>
    </w:p>
    <w:p w14:paraId="5A300C47" w14:textId="77777777" w:rsidR="009A4662" w:rsidRDefault="00000000">
      <w:pPr>
        <w:pStyle w:val="Heading2"/>
      </w:pPr>
      <w:r>
        <w:t>2.3 Intended audience &amp; use</w:t>
      </w:r>
    </w:p>
    <w:p w14:paraId="0053E433" w14:textId="77777777" w:rsidR="009A4662" w:rsidRDefault="00000000">
      <w:r>
        <w:t>Prepared for senior management and operating teams — Customer Success, CRM, Retention and Marketing. Findings are presented as observed associations to support prioritization decisions; no causal claims or guaranteed outcomes are made.</w:t>
      </w:r>
    </w:p>
    <w:p w14:paraId="2D663B4A" w14:textId="77777777" w:rsidR="009A4662" w:rsidRDefault="00000000">
      <w:pPr>
        <w:pStyle w:val="Heading1"/>
        <w:pBdr>
          <w:bottom w:val="single" w:sz="10" w:space="5" w:color="00A8CC"/>
        </w:pBdr>
      </w:pPr>
      <w:r>
        <w:t>3. Data &amp; Analytical Framework</w:t>
      </w:r>
    </w:p>
    <w:p w14:paraId="45FD59A7" w14:textId="77777777" w:rsidR="009A4662" w:rsidRDefault="00000000">
      <w:pPr>
        <w:pStyle w:val="Heading2"/>
      </w:pPr>
      <w:r>
        <w:t>3.1 Dataset</w:t>
      </w:r>
    </w:p>
    <w:p w14:paraId="236546BE" w14:textId="77777777" w:rsidR="009A4662" w:rsidRDefault="00000000">
      <w:r>
        <w:t>A single customer-level e-commerce dataset of 5,630 records and 20 attributes supports the complete analysis. Each record carries profile, engagement, experience, lifecycle and value dimensions, plus a binary churn outcome.</w:t>
      </w:r>
    </w:p>
    <w:tbl>
      <w:tblPr>
        <w:tblStyle w:val="TableGrid"/>
        <w:tblW w:w="0" w:type="auto"/>
        <w:jc w:val="center"/>
        <w:tblLook w:val="04A0" w:firstRow="1" w:lastRow="0" w:firstColumn="1" w:lastColumn="0" w:noHBand="0" w:noVBand="1"/>
      </w:tblPr>
      <w:tblGrid>
        <w:gridCol w:w="2227"/>
        <w:gridCol w:w="4364"/>
        <w:gridCol w:w="3037"/>
      </w:tblGrid>
      <w:tr w:rsidR="009A4662" w14:paraId="5440AA92" w14:textId="77777777">
        <w:trPr>
          <w:jc w:val="center"/>
        </w:trPr>
        <w:tc>
          <w:tcPr>
            <w:tcW w:w="2304" w:type="dxa"/>
            <w:shd w:val="clear" w:color="auto" w:fill="0E2A47"/>
          </w:tcPr>
          <w:p w14:paraId="7F57B026" w14:textId="77777777" w:rsidR="009A4662" w:rsidRDefault="00000000">
            <w:r>
              <w:rPr>
                <w:b/>
                <w:color w:val="FFFFFF"/>
                <w:sz w:val="19"/>
              </w:rPr>
              <w:t>Data domain</w:t>
            </w:r>
          </w:p>
        </w:tc>
        <w:tc>
          <w:tcPr>
            <w:tcW w:w="4608" w:type="dxa"/>
            <w:shd w:val="clear" w:color="auto" w:fill="0E2A47"/>
          </w:tcPr>
          <w:p w14:paraId="620DACCB" w14:textId="77777777" w:rsidR="009A4662" w:rsidRDefault="00000000">
            <w:r>
              <w:rPr>
                <w:b/>
                <w:color w:val="FFFFFF"/>
                <w:sz w:val="19"/>
              </w:rPr>
              <w:t>Attributes</w:t>
            </w:r>
          </w:p>
        </w:tc>
        <w:tc>
          <w:tcPr>
            <w:tcW w:w="3168" w:type="dxa"/>
            <w:shd w:val="clear" w:color="auto" w:fill="0E2A47"/>
          </w:tcPr>
          <w:p w14:paraId="41AAE5DA" w14:textId="77777777" w:rsidR="009A4662" w:rsidRDefault="00000000">
            <w:r>
              <w:rPr>
                <w:b/>
                <w:color w:val="FFFFFF"/>
                <w:sz w:val="19"/>
              </w:rPr>
              <w:t>Analytical role</w:t>
            </w:r>
          </w:p>
        </w:tc>
      </w:tr>
      <w:tr w:rsidR="009A4662" w14:paraId="19E5D397" w14:textId="77777777">
        <w:trPr>
          <w:jc w:val="center"/>
        </w:trPr>
        <w:tc>
          <w:tcPr>
            <w:tcW w:w="2304" w:type="dxa"/>
          </w:tcPr>
          <w:p w14:paraId="4FDC7CBA" w14:textId="77777777" w:rsidR="009A4662" w:rsidRDefault="00000000">
            <w:r>
              <w:rPr>
                <w:b/>
                <w:color w:val="0E2A47"/>
                <w:sz w:val="19"/>
              </w:rPr>
              <w:t>Customer profile</w:t>
            </w:r>
          </w:p>
        </w:tc>
        <w:tc>
          <w:tcPr>
            <w:tcW w:w="4608" w:type="dxa"/>
          </w:tcPr>
          <w:p w14:paraId="58A9D5AB" w14:textId="77777777" w:rsidR="009A4662" w:rsidRDefault="00000000">
            <w:r>
              <w:rPr>
                <w:sz w:val="19"/>
              </w:rPr>
              <w:t>Gender, marital status, city tier</w:t>
            </w:r>
          </w:p>
        </w:tc>
        <w:tc>
          <w:tcPr>
            <w:tcW w:w="3168" w:type="dxa"/>
          </w:tcPr>
          <w:p w14:paraId="0676E2C2" w14:textId="77777777" w:rsidR="009A4662" w:rsidRDefault="00000000">
            <w:r>
              <w:rPr>
                <w:sz w:val="19"/>
              </w:rPr>
              <w:t>Segmentation context</w:t>
            </w:r>
          </w:p>
        </w:tc>
      </w:tr>
      <w:tr w:rsidR="009A4662" w14:paraId="54F08104" w14:textId="77777777">
        <w:trPr>
          <w:jc w:val="center"/>
        </w:trPr>
        <w:tc>
          <w:tcPr>
            <w:tcW w:w="2304" w:type="dxa"/>
            <w:shd w:val="clear" w:color="auto" w:fill="EDF3F9"/>
          </w:tcPr>
          <w:p w14:paraId="20F31AA7" w14:textId="77777777" w:rsidR="009A4662" w:rsidRDefault="00000000">
            <w:r>
              <w:rPr>
                <w:b/>
                <w:color w:val="0E2A47"/>
                <w:sz w:val="19"/>
              </w:rPr>
              <w:t>Engagement</w:t>
            </w:r>
          </w:p>
        </w:tc>
        <w:tc>
          <w:tcPr>
            <w:tcW w:w="4608" w:type="dxa"/>
            <w:shd w:val="clear" w:color="auto" w:fill="EDF3F9"/>
          </w:tcPr>
          <w:p w14:paraId="2952477F" w14:textId="77777777" w:rsidR="009A4662" w:rsidRDefault="00000000">
            <w:r>
              <w:rPr>
                <w:sz w:val="19"/>
              </w:rPr>
              <w:t>App usage hours, devices registered, login device, order behaviour</w:t>
            </w:r>
          </w:p>
        </w:tc>
        <w:tc>
          <w:tcPr>
            <w:tcW w:w="3168" w:type="dxa"/>
            <w:shd w:val="clear" w:color="auto" w:fill="EDF3F9"/>
          </w:tcPr>
          <w:p w14:paraId="548D89E9" w14:textId="77777777" w:rsidR="009A4662" w:rsidRDefault="00000000">
            <w:r>
              <w:rPr>
                <w:sz w:val="19"/>
              </w:rPr>
              <w:t>Behavioral churn signals</w:t>
            </w:r>
          </w:p>
        </w:tc>
      </w:tr>
      <w:tr w:rsidR="009A4662" w14:paraId="6086604F" w14:textId="77777777">
        <w:trPr>
          <w:jc w:val="center"/>
        </w:trPr>
        <w:tc>
          <w:tcPr>
            <w:tcW w:w="2304" w:type="dxa"/>
          </w:tcPr>
          <w:p w14:paraId="29925A56" w14:textId="77777777" w:rsidR="009A4662" w:rsidRDefault="00000000">
            <w:r>
              <w:rPr>
                <w:b/>
                <w:color w:val="0E2A47"/>
                <w:sz w:val="19"/>
              </w:rPr>
              <w:t>Experience</w:t>
            </w:r>
          </w:p>
        </w:tc>
        <w:tc>
          <w:tcPr>
            <w:tcW w:w="4608" w:type="dxa"/>
          </w:tcPr>
          <w:p w14:paraId="6EA04D96" w14:textId="77777777" w:rsidR="009A4662" w:rsidRDefault="00000000">
            <w:r>
              <w:rPr>
                <w:sz w:val="19"/>
              </w:rPr>
              <w:t>Satisfaction score, complaints, warehouse-to-home distance</w:t>
            </w:r>
          </w:p>
        </w:tc>
        <w:tc>
          <w:tcPr>
            <w:tcW w:w="3168" w:type="dxa"/>
          </w:tcPr>
          <w:p w14:paraId="16CD641D" w14:textId="77777777" w:rsidR="009A4662" w:rsidRDefault="00000000">
            <w:r>
              <w:rPr>
                <w:sz w:val="19"/>
              </w:rPr>
              <w:t>Service-quality signals</w:t>
            </w:r>
          </w:p>
        </w:tc>
      </w:tr>
      <w:tr w:rsidR="009A4662" w14:paraId="630D439F" w14:textId="77777777">
        <w:trPr>
          <w:jc w:val="center"/>
        </w:trPr>
        <w:tc>
          <w:tcPr>
            <w:tcW w:w="2304" w:type="dxa"/>
            <w:shd w:val="clear" w:color="auto" w:fill="EDF3F9"/>
          </w:tcPr>
          <w:p w14:paraId="1E29A43F" w14:textId="77777777" w:rsidR="009A4662" w:rsidRDefault="00000000">
            <w:r>
              <w:rPr>
                <w:b/>
                <w:color w:val="0E2A47"/>
                <w:sz w:val="19"/>
              </w:rPr>
              <w:t>Lifecycle</w:t>
            </w:r>
          </w:p>
        </w:tc>
        <w:tc>
          <w:tcPr>
            <w:tcW w:w="4608" w:type="dxa"/>
            <w:shd w:val="clear" w:color="auto" w:fill="EDF3F9"/>
          </w:tcPr>
          <w:p w14:paraId="3E8ECDCB" w14:textId="77777777" w:rsidR="009A4662" w:rsidRDefault="00000000">
            <w:r>
              <w:rPr>
                <w:sz w:val="19"/>
              </w:rPr>
              <w:t>Tenure (months), days since last order</w:t>
            </w:r>
          </w:p>
        </w:tc>
        <w:tc>
          <w:tcPr>
            <w:tcW w:w="3168" w:type="dxa"/>
            <w:shd w:val="clear" w:color="auto" w:fill="EDF3F9"/>
          </w:tcPr>
          <w:p w14:paraId="0779B479" w14:textId="77777777" w:rsidR="009A4662" w:rsidRDefault="00000000">
            <w:r>
              <w:rPr>
                <w:sz w:val="19"/>
              </w:rPr>
              <w:t>Primary risk dimension</w:t>
            </w:r>
          </w:p>
        </w:tc>
      </w:tr>
      <w:tr w:rsidR="009A4662" w14:paraId="230E4581" w14:textId="77777777">
        <w:trPr>
          <w:jc w:val="center"/>
        </w:trPr>
        <w:tc>
          <w:tcPr>
            <w:tcW w:w="2304" w:type="dxa"/>
          </w:tcPr>
          <w:p w14:paraId="0EE81769" w14:textId="77777777" w:rsidR="009A4662" w:rsidRDefault="00000000">
            <w:r>
              <w:rPr>
                <w:b/>
                <w:color w:val="0E2A47"/>
                <w:sz w:val="19"/>
              </w:rPr>
              <w:t>Value</w:t>
            </w:r>
          </w:p>
        </w:tc>
        <w:tc>
          <w:tcPr>
            <w:tcW w:w="4608" w:type="dxa"/>
          </w:tcPr>
          <w:p w14:paraId="78D6D927" w14:textId="77777777" w:rsidR="009A4662" w:rsidRDefault="00000000">
            <w:r>
              <w:rPr>
                <w:sz w:val="19"/>
              </w:rPr>
              <w:t>Order count, cashback amount (value proxy), order-growth indicators</w:t>
            </w:r>
          </w:p>
        </w:tc>
        <w:tc>
          <w:tcPr>
            <w:tcW w:w="3168" w:type="dxa"/>
          </w:tcPr>
          <w:p w14:paraId="6555AE58" w14:textId="77777777" w:rsidR="009A4662" w:rsidRDefault="00000000">
            <w:r>
              <w:rPr>
                <w:sz w:val="19"/>
              </w:rPr>
              <w:t>Exposure &amp; prioritization</w:t>
            </w:r>
          </w:p>
        </w:tc>
      </w:tr>
      <w:tr w:rsidR="009A4662" w14:paraId="3BC57F9C" w14:textId="77777777">
        <w:trPr>
          <w:jc w:val="center"/>
        </w:trPr>
        <w:tc>
          <w:tcPr>
            <w:tcW w:w="2304" w:type="dxa"/>
            <w:shd w:val="clear" w:color="auto" w:fill="EDF3F9"/>
          </w:tcPr>
          <w:p w14:paraId="758D300A" w14:textId="77777777" w:rsidR="009A4662" w:rsidRDefault="00000000">
            <w:r>
              <w:rPr>
                <w:b/>
                <w:color w:val="0E2A47"/>
                <w:sz w:val="19"/>
              </w:rPr>
              <w:t>Outcome</w:t>
            </w:r>
          </w:p>
        </w:tc>
        <w:tc>
          <w:tcPr>
            <w:tcW w:w="4608" w:type="dxa"/>
            <w:shd w:val="clear" w:color="auto" w:fill="EDF3F9"/>
          </w:tcPr>
          <w:p w14:paraId="4478E917" w14:textId="77777777" w:rsidR="009A4662" w:rsidRDefault="00000000">
            <w:r>
              <w:rPr>
                <w:sz w:val="19"/>
              </w:rPr>
              <w:t>Churn (1/0)</w:t>
            </w:r>
          </w:p>
        </w:tc>
        <w:tc>
          <w:tcPr>
            <w:tcW w:w="3168" w:type="dxa"/>
            <w:shd w:val="clear" w:color="auto" w:fill="EDF3F9"/>
          </w:tcPr>
          <w:p w14:paraId="6D930220" w14:textId="77777777" w:rsidR="009A4662" w:rsidRDefault="00000000">
            <w:r>
              <w:rPr>
                <w:sz w:val="19"/>
              </w:rPr>
              <w:t>Target variable</w:t>
            </w:r>
          </w:p>
        </w:tc>
      </w:tr>
    </w:tbl>
    <w:p w14:paraId="22BD526C" w14:textId="77777777" w:rsidR="009A4662" w:rsidRDefault="009A4662">
      <w:pPr>
        <w:spacing w:after="40"/>
      </w:pPr>
    </w:p>
    <w:p w14:paraId="540FCF67" w14:textId="77777777" w:rsidR="009A4662" w:rsidRDefault="00000000">
      <w:pPr>
        <w:pStyle w:val="Heading2"/>
      </w:pPr>
      <w:r>
        <w:t>3.2 Methodology &amp; toolchain</w:t>
      </w:r>
    </w:p>
    <w:p w14:paraId="7D9477E8" w14:textId="77777777" w:rsidR="009A4662" w:rsidRDefault="00000000">
      <w:r>
        <w:t>The workflow converts raw records into progressively more decision-ready information:</w:t>
      </w:r>
    </w:p>
    <w:p w14:paraId="43C90926" w14:textId="77777777" w:rsidR="009A4662" w:rsidRDefault="00000000">
      <w:pPr>
        <w:pStyle w:val="ListBullet"/>
        <w:spacing w:after="60"/>
      </w:pPr>
      <w:r>
        <w:t>Python (Pandas, NumPy, Matplotlib/Seaborn): profiling, cleaning, imputation, EDA, cohort &amp; RFM analysis.</w:t>
      </w:r>
    </w:p>
    <w:p w14:paraId="1270D90A" w14:textId="77777777" w:rsidR="009A4662" w:rsidRDefault="00000000">
      <w:pPr>
        <w:pStyle w:val="ListBullet"/>
        <w:spacing w:after="60"/>
      </w:pPr>
      <w:r>
        <w:t>MySQL: analytical storage and business querying — aggregations, CASE WHEN, CTEs, joins, window functions (RANK, NTILE, LAG).</w:t>
      </w:r>
    </w:p>
    <w:p w14:paraId="0E430D22" w14:textId="77777777" w:rsidR="009A4662" w:rsidRDefault="00000000">
      <w:pPr>
        <w:pStyle w:val="ListBullet"/>
        <w:spacing w:after="60"/>
      </w:pPr>
      <w:r>
        <w:t>Power BI: three interactive dashboards (Overview, Churn Drivers, Revenue Impact) for executive consumption.</w:t>
      </w:r>
    </w:p>
    <w:p w14:paraId="3D5B832E" w14:textId="77777777" w:rsidR="009A4662" w:rsidRDefault="00000000">
      <w:pPr>
        <w:jc w:val="center"/>
      </w:pPr>
      <w:r>
        <w:rPr>
          <w:noProof/>
        </w:rPr>
        <w:drawing>
          <wp:inline distT="0" distB="0" distL="0" distR="0" wp14:anchorId="5C66AF17" wp14:editId="6A57DED1">
            <wp:extent cx="5943600" cy="42583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churn_intelligence_dashboard.png"/>
                    <pic:cNvPicPr/>
                  </pic:nvPicPr>
                  <pic:blipFill>
                    <a:blip r:embed="rId10"/>
                    <a:stretch>
                      <a:fillRect/>
                    </a:stretch>
                  </pic:blipFill>
                  <pic:spPr>
                    <a:xfrm>
                      <a:off x="0" y="0"/>
                      <a:ext cx="5943600" cy="4258301"/>
                    </a:xfrm>
                    <a:prstGeom prst="rect">
                      <a:avLst/>
                    </a:prstGeom>
                  </pic:spPr>
                </pic:pic>
              </a:graphicData>
            </a:graphic>
          </wp:inline>
        </w:drawing>
      </w:r>
    </w:p>
    <w:p w14:paraId="7AC44D88" w14:textId="77777777" w:rsidR="009A4662" w:rsidRDefault="00000000">
      <w:pPr>
        <w:spacing w:after="200"/>
        <w:jc w:val="center"/>
      </w:pPr>
      <w:r>
        <w:rPr>
          <w:i/>
          <w:color w:val="77879A"/>
          <w:sz w:val="17"/>
        </w:rPr>
        <w:t>Figure 2  ·  Customer churn intelligence dashboard — lifecycle, RFM distribution, value-at-risk and top numerical associations.</w:t>
      </w:r>
    </w:p>
    <w:p w14:paraId="57DF41BB" w14:textId="77777777" w:rsidR="009A4662" w:rsidRDefault="00000000">
      <w:r>
        <w:br w:type="page"/>
      </w:r>
    </w:p>
    <w:p w14:paraId="2AE98F5B" w14:textId="77777777" w:rsidR="009A4662" w:rsidRDefault="00000000">
      <w:pPr>
        <w:pStyle w:val="Heading1"/>
        <w:pBdr>
          <w:bottom w:val="single" w:sz="10" w:space="5" w:color="00A8CC"/>
        </w:pBdr>
      </w:pPr>
      <w:r>
        <w:lastRenderedPageBreak/>
        <w:t>4. Data Quality &amp; Preparation</w:t>
      </w:r>
    </w:p>
    <w:p w14:paraId="5D2D6987" w14:textId="77777777" w:rsidR="009A4662" w:rsidRDefault="00000000">
      <w:r>
        <w:t>Data quality was addressed before any business analysis. The preparation pipeline applied: raw-data ingestion → quality checks → duplicate detection (CustomerID and exact-record) → missing-value treatment → type/category standardization → validation → clean analytical dataset (5,630 rows).</w:t>
      </w:r>
    </w:p>
    <w:p w14:paraId="32364738" w14:textId="77777777" w:rsidR="009A4662" w:rsidRDefault="00000000">
      <w:pPr>
        <w:pStyle w:val="Heading2"/>
      </w:pPr>
      <w:r>
        <w:t>4.1 Missing-value profile (raw data)</w:t>
      </w:r>
    </w:p>
    <w:tbl>
      <w:tblPr>
        <w:tblStyle w:val="TableGrid"/>
        <w:tblW w:w="0" w:type="auto"/>
        <w:jc w:val="center"/>
        <w:tblLook w:val="04A0" w:firstRow="1" w:lastRow="0" w:firstColumn="1" w:lastColumn="0" w:noHBand="0" w:noVBand="1"/>
      </w:tblPr>
      <w:tblGrid>
        <w:gridCol w:w="3654"/>
        <w:gridCol w:w="1910"/>
        <w:gridCol w:w="4064"/>
      </w:tblGrid>
      <w:tr w:rsidR="009A4662" w14:paraId="68F93DE2" w14:textId="77777777">
        <w:trPr>
          <w:jc w:val="center"/>
        </w:trPr>
        <w:tc>
          <w:tcPr>
            <w:tcW w:w="3744" w:type="dxa"/>
            <w:shd w:val="clear" w:color="auto" w:fill="0E2A47"/>
          </w:tcPr>
          <w:p w14:paraId="67570DC0" w14:textId="77777777" w:rsidR="009A4662" w:rsidRDefault="00000000">
            <w:r>
              <w:rPr>
                <w:b/>
                <w:color w:val="FFFFFF"/>
                <w:sz w:val="19"/>
              </w:rPr>
              <w:t>Column</w:t>
            </w:r>
          </w:p>
        </w:tc>
        <w:tc>
          <w:tcPr>
            <w:tcW w:w="2016" w:type="dxa"/>
            <w:shd w:val="clear" w:color="auto" w:fill="0E2A47"/>
          </w:tcPr>
          <w:p w14:paraId="11B779DC" w14:textId="77777777" w:rsidR="009A4662" w:rsidRDefault="00000000">
            <w:r>
              <w:rPr>
                <w:b/>
                <w:color w:val="FFFFFF"/>
                <w:sz w:val="19"/>
              </w:rPr>
              <w:t>Missing values</w:t>
            </w:r>
          </w:p>
        </w:tc>
        <w:tc>
          <w:tcPr>
            <w:tcW w:w="4320" w:type="dxa"/>
            <w:shd w:val="clear" w:color="auto" w:fill="0E2A47"/>
          </w:tcPr>
          <w:p w14:paraId="46CAB11B" w14:textId="77777777" w:rsidR="009A4662" w:rsidRDefault="00000000">
            <w:r>
              <w:rPr>
                <w:b/>
                <w:color w:val="FFFFFF"/>
                <w:sz w:val="19"/>
              </w:rPr>
              <w:t>Treatment</w:t>
            </w:r>
          </w:p>
        </w:tc>
      </w:tr>
      <w:tr w:rsidR="009A4662" w14:paraId="3125A392" w14:textId="77777777">
        <w:trPr>
          <w:jc w:val="center"/>
        </w:trPr>
        <w:tc>
          <w:tcPr>
            <w:tcW w:w="3744" w:type="dxa"/>
          </w:tcPr>
          <w:p w14:paraId="3CC80894" w14:textId="77777777" w:rsidR="009A4662" w:rsidRDefault="00000000">
            <w:r>
              <w:rPr>
                <w:b/>
                <w:color w:val="0E2A47"/>
                <w:sz w:val="19"/>
              </w:rPr>
              <w:t>DaySinceLastOrder</w:t>
            </w:r>
          </w:p>
        </w:tc>
        <w:tc>
          <w:tcPr>
            <w:tcW w:w="2016" w:type="dxa"/>
          </w:tcPr>
          <w:p w14:paraId="60FDEACF" w14:textId="77777777" w:rsidR="009A4662" w:rsidRDefault="00000000">
            <w:r>
              <w:rPr>
                <w:sz w:val="19"/>
              </w:rPr>
              <w:t>307</w:t>
            </w:r>
          </w:p>
        </w:tc>
        <w:tc>
          <w:tcPr>
            <w:tcW w:w="4320" w:type="dxa"/>
          </w:tcPr>
          <w:p w14:paraId="0825E743" w14:textId="77777777" w:rsidR="009A4662" w:rsidRDefault="00000000">
            <w:r>
              <w:rPr>
                <w:sz w:val="19"/>
              </w:rPr>
              <w:t>Median-based imputation</w:t>
            </w:r>
          </w:p>
        </w:tc>
      </w:tr>
      <w:tr w:rsidR="009A4662" w14:paraId="31A45480" w14:textId="77777777">
        <w:trPr>
          <w:jc w:val="center"/>
        </w:trPr>
        <w:tc>
          <w:tcPr>
            <w:tcW w:w="3744" w:type="dxa"/>
            <w:shd w:val="clear" w:color="auto" w:fill="EDF3F9"/>
          </w:tcPr>
          <w:p w14:paraId="0C00F4A7" w14:textId="77777777" w:rsidR="009A4662" w:rsidRDefault="00000000">
            <w:r>
              <w:rPr>
                <w:b/>
                <w:color w:val="0E2A47"/>
                <w:sz w:val="19"/>
              </w:rPr>
              <w:t>OrderAmountHikeFromlastYear</w:t>
            </w:r>
          </w:p>
        </w:tc>
        <w:tc>
          <w:tcPr>
            <w:tcW w:w="2016" w:type="dxa"/>
            <w:shd w:val="clear" w:color="auto" w:fill="EDF3F9"/>
          </w:tcPr>
          <w:p w14:paraId="1BB671A1" w14:textId="77777777" w:rsidR="009A4662" w:rsidRDefault="00000000">
            <w:r>
              <w:rPr>
                <w:sz w:val="19"/>
              </w:rPr>
              <w:t>265</w:t>
            </w:r>
          </w:p>
        </w:tc>
        <w:tc>
          <w:tcPr>
            <w:tcW w:w="4320" w:type="dxa"/>
            <w:shd w:val="clear" w:color="auto" w:fill="EDF3F9"/>
          </w:tcPr>
          <w:p w14:paraId="4131E17D" w14:textId="77777777" w:rsidR="009A4662" w:rsidRDefault="00000000">
            <w:r>
              <w:rPr>
                <w:sz w:val="19"/>
              </w:rPr>
              <w:t>Profiled / standardization</w:t>
            </w:r>
          </w:p>
        </w:tc>
      </w:tr>
      <w:tr w:rsidR="009A4662" w14:paraId="736C7204" w14:textId="77777777">
        <w:trPr>
          <w:jc w:val="center"/>
        </w:trPr>
        <w:tc>
          <w:tcPr>
            <w:tcW w:w="3744" w:type="dxa"/>
          </w:tcPr>
          <w:p w14:paraId="084A6F0C" w14:textId="77777777" w:rsidR="009A4662" w:rsidRDefault="00000000">
            <w:r>
              <w:rPr>
                <w:b/>
                <w:color w:val="0E2A47"/>
                <w:sz w:val="19"/>
              </w:rPr>
              <w:t>Tenure</w:t>
            </w:r>
          </w:p>
        </w:tc>
        <w:tc>
          <w:tcPr>
            <w:tcW w:w="2016" w:type="dxa"/>
          </w:tcPr>
          <w:p w14:paraId="2A92C9D8" w14:textId="77777777" w:rsidR="009A4662" w:rsidRDefault="00000000">
            <w:r>
              <w:rPr>
                <w:sz w:val="19"/>
              </w:rPr>
              <w:t>264</w:t>
            </w:r>
          </w:p>
        </w:tc>
        <w:tc>
          <w:tcPr>
            <w:tcW w:w="4320" w:type="dxa"/>
          </w:tcPr>
          <w:p w14:paraId="5C563CEF" w14:textId="77777777" w:rsidR="009A4662" w:rsidRDefault="00000000">
            <w:r>
              <w:rPr>
                <w:sz w:val="19"/>
              </w:rPr>
              <w:t>Profiled / validated</w:t>
            </w:r>
          </w:p>
        </w:tc>
      </w:tr>
      <w:tr w:rsidR="009A4662" w14:paraId="7EEB6C9B" w14:textId="77777777">
        <w:trPr>
          <w:jc w:val="center"/>
        </w:trPr>
        <w:tc>
          <w:tcPr>
            <w:tcW w:w="3744" w:type="dxa"/>
            <w:shd w:val="clear" w:color="auto" w:fill="EDF3F9"/>
          </w:tcPr>
          <w:p w14:paraId="225EF173" w14:textId="77777777" w:rsidR="009A4662" w:rsidRDefault="00000000">
            <w:r>
              <w:rPr>
                <w:b/>
                <w:color w:val="0E2A47"/>
                <w:sz w:val="19"/>
              </w:rPr>
              <w:t>OrderCount</w:t>
            </w:r>
          </w:p>
        </w:tc>
        <w:tc>
          <w:tcPr>
            <w:tcW w:w="2016" w:type="dxa"/>
            <w:shd w:val="clear" w:color="auto" w:fill="EDF3F9"/>
          </w:tcPr>
          <w:p w14:paraId="2F619521" w14:textId="77777777" w:rsidR="009A4662" w:rsidRDefault="00000000">
            <w:r>
              <w:rPr>
                <w:sz w:val="19"/>
              </w:rPr>
              <w:t>258</w:t>
            </w:r>
          </w:p>
        </w:tc>
        <w:tc>
          <w:tcPr>
            <w:tcW w:w="4320" w:type="dxa"/>
            <w:shd w:val="clear" w:color="auto" w:fill="EDF3F9"/>
          </w:tcPr>
          <w:p w14:paraId="4DA2F059" w14:textId="77777777" w:rsidR="009A4662" w:rsidRDefault="00000000">
            <w:r>
              <w:rPr>
                <w:sz w:val="19"/>
              </w:rPr>
              <w:t>Median-based imputation</w:t>
            </w:r>
          </w:p>
        </w:tc>
      </w:tr>
      <w:tr w:rsidR="009A4662" w14:paraId="79FB2DDF" w14:textId="77777777">
        <w:trPr>
          <w:jc w:val="center"/>
        </w:trPr>
        <w:tc>
          <w:tcPr>
            <w:tcW w:w="3744" w:type="dxa"/>
          </w:tcPr>
          <w:p w14:paraId="28B27431" w14:textId="77777777" w:rsidR="009A4662" w:rsidRDefault="00000000">
            <w:r>
              <w:rPr>
                <w:b/>
                <w:color w:val="0E2A47"/>
                <w:sz w:val="19"/>
              </w:rPr>
              <w:t>CouponUsed</w:t>
            </w:r>
          </w:p>
        </w:tc>
        <w:tc>
          <w:tcPr>
            <w:tcW w:w="2016" w:type="dxa"/>
          </w:tcPr>
          <w:p w14:paraId="61203545" w14:textId="77777777" w:rsidR="009A4662" w:rsidRDefault="00000000">
            <w:r>
              <w:rPr>
                <w:sz w:val="19"/>
              </w:rPr>
              <w:t>256</w:t>
            </w:r>
          </w:p>
        </w:tc>
        <w:tc>
          <w:tcPr>
            <w:tcW w:w="4320" w:type="dxa"/>
          </w:tcPr>
          <w:p w14:paraId="2BA87E1F" w14:textId="77777777" w:rsidR="009A4662" w:rsidRDefault="00000000">
            <w:r>
              <w:rPr>
                <w:sz w:val="19"/>
              </w:rPr>
              <w:t>Profiled / standardization</w:t>
            </w:r>
          </w:p>
        </w:tc>
      </w:tr>
      <w:tr w:rsidR="009A4662" w14:paraId="68C06289" w14:textId="77777777">
        <w:trPr>
          <w:jc w:val="center"/>
        </w:trPr>
        <w:tc>
          <w:tcPr>
            <w:tcW w:w="3744" w:type="dxa"/>
            <w:shd w:val="clear" w:color="auto" w:fill="EDF3F9"/>
          </w:tcPr>
          <w:p w14:paraId="341BB036" w14:textId="77777777" w:rsidR="009A4662" w:rsidRDefault="00000000">
            <w:r>
              <w:rPr>
                <w:b/>
                <w:color w:val="0E2A47"/>
                <w:sz w:val="19"/>
              </w:rPr>
              <w:t>HourSpendOnApp</w:t>
            </w:r>
          </w:p>
        </w:tc>
        <w:tc>
          <w:tcPr>
            <w:tcW w:w="2016" w:type="dxa"/>
            <w:shd w:val="clear" w:color="auto" w:fill="EDF3F9"/>
          </w:tcPr>
          <w:p w14:paraId="2543C62F" w14:textId="77777777" w:rsidR="009A4662" w:rsidRDefault="00000000">
            <w:r>
              <w:rPr>
                <w:sz w:val="19"/>
              </w:rPr>
              <w:t>255</w:t>
            </w:r>
          </w:p>
        </w:tc>
        <w:tc>
          <w:tcPr>
            <w:tcW w:w="4320" w:type="dxa"/>
            <w:shd w:val="clear" w:color="auto" w:fill="EDF3F9"/>
          </w:tcPr>
          <w:p w14:paraId="3416C640" w14:textId="77777777" w:rsidR="009A4662" w:rsidRDefault="00000000">
            <w:r>
              <w:rPr>
                <w:sz w:val="19"/>
              </w:rPr>
              <w:t>Profiled / standardization</w:t>
            </w:r>
          </w:p>
        </w:tc>
      </w:tr>
      <w:tr w:rsidR="009A4662" w14:paraId="52EAE473" w14:textId="77777777">
        <w:trPr>
          <w:jc w:val="center"/>
        </w:trPr>
        <w:tc>
          <w:tcPr>
            <w:tcW w:w="3744" w:type="dxa"/>
          </w:tcPr>
          <w:p w14:paraId="37910114" w14:textId="77777777" w:rsidR="009A4662" w:rsidRDefault="00000000">
            <w:r>
              <w:rPr>
                <w:b/>
                <w:color w:val="0E2A47"/>
                <w:sz w:val="19"/>
              </w:rPr>
              <w:t>WarehouseToHome</w:t>
            </w:r>
          </w:p>
        </w:tc>
        <w:tc>
          <w:tcPr>
            <w:tcW w:w="2016" w:type="dxa"/>
          </w:tcPr>
          <w:p w14:paraId="50E337E7" w14:textId="77777777" w:rsidR="009A4662" w:rsidRDefault="00000000">
            <w:r>
              <w:rPr>
                <w:sz w:val="19"/>
              </w:rPr>
              <w:t>251</w:t>
            </w:r>
          </w:p>
        </w:tc>
        <w:tc>
          <w:tcPr>
            <w:tcW w:w="4320" w:type="dxa"/>
          </w:tcPr>
          <w:p w14:paraId="37E47861" w14:textId="77777777" w:rsidR="009A4662" w:rsidRDefault="00000000">
            <w:r>
              <w:rPr>
                <w:sz w:val="19"/>
              </w:rPr>
              <w:t>Profiled / validated</w:t>
            </w:r>
          </w:p>
        </w:tc>
      </w:tr>
    </w:tbl>
    <w:p w14:paraId="184AE6FF" w14:textId="77777777" w:rsidR="009A4662" w:rsidRDefault="009A4662">
      <w:pPr>
        <w:spacing w:after="40"/>
      </w:pPr>
    </w:p>
    <w:p w14:paraId="0C8C889A" w14:textId="77777777" w:rsidR="009A4662" w:rsidRDefault="00000000">
      <w:pPr>
        <w:jc w:val="center"/>
      </w:pPr>
      <w:r>
        <w:rPr>
          <w:noProof/>
        </w:rPr>
        <w:drawing>
          <wp:inline distT="0" distB="0" distL="0" distR="0" wp14:anchorId="480BF37B" wp14:editId="0D88A3AF">
            <wp:extent cx="5120640" cy="2959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issing_values.png"/>
                    <pic:cNvPicPr/>
                  </pic:nvPicPr>
                  <pic:blipFill>
                    <a:blip r:embed="rId11"/>
                    <a:stretch>
                      <a:fillRect/>
                    </a:stretch>
                  </pic:blipFill>
                  <pic:spPr>
                    <a:xfrm>
                      <a:off x="0" y="0"/>
                      <a:ext cx="5120640" cy="2959120"/>
                    </a:xfrm>
                    <a:prstGeom prst="rect">
                      <a:avLst/>
                    </a:prstGeom>
                  </pic:spPr>
                </pic:pic>
              </a:graphicData>
            </a:graphic>
          </wp:inline>
        </w:drawing>
      </w:r>
    </w:p>
    <w:p w14:paraId="066125C2" w14:textId="77777777" w:rsidR="009A4662" w:rsidRDefault="00000000">
      <w:pPr>
        <w:spacing w:after="200"/>
        <w:jc w:val="center"/>
      </w:pPr>
      <w:r>
        <w:rPr>
          <w:i/>
          <w:color w:val="77879A"/>
          <w:sz w:val="17"/>
        </w:rPr>
        <w:t>Figure 3  ·  Missing values by column in the raw dataset.</w:t>
      </w:r>
    </w:p>
    <w:p w14:paraId="57F24497" w14:textId="77777777" w:rsidR="009A4662" w:rsidRDefault="00000000">
      <w:pPr>
        <w:pStyle w:val="Heading2"/>
      </w:pPr>
      <w:r>
        <w:t>4.2 Quality controls</w:t>
      </w:r>
    </w:p>
    <w:p w14:paraId="043E28C7" w14:textId="77777777" w:rsidR="009A4662" w:rsidRDefault="00000000">
      <w:pPr>
        <w:pStyle w:val="ListBullet"/>
        <w:spacing w:after="60"/>
      </w:pPr>
      <w:r>
        <w:t>Null-value profiling per column; duplicate CustomerID detection; exact duplicate record detection.</w:t>
      </w:r>
    </w:p>
    <w:p w14:paraId="5FAF1E8D" w14:textId="77777777" w:rsidR="009A4662" w:rsidRDefault="00000000">
      <w:pPr>
        <w:pStyle w:val="ListBullet"/>
        <w:spacing w:after="60"/>
      </w:pPr>
      <w:r>
        <w:t>Numeric range validation and categorical consistency checks.</w:t>
      </w:r>
    </w:p>
    <w:p w14:paraId="5C33F345" w14:textId="77777777" w:rsidR="009A4662" w:rsidRDefault="00000000">
      <w:pPr>
        <w:pStyle w:val="ListBullet"/>
        <w:spacing w:after="60"/>
      </w:pPr>
      <w:r>
        <w:t>Median-based imputation for OrderCount and DaySinceLastOrder (per the SQL cleaning log).</w:t>
      </w:r>
    </w:p>
    <w:p w14:paraId="5008750F" w14:textId="77777777" w:rsidR="009A4662" w:rsidRDefault="00000000">
      <w:pPr>
        <w:pStyle w:val="ListBullet"/>
        <w:spacing w:after="60"/>
      </w:pPr>
      <w:r>
        <w:t>Final row-count validation: 5,630 customer records carried into analysis.</w:t>
      </w:r>
    </w:p>
    <w:p w14:paraId="6F7F95DD" w14:textId="77777777" w:rsidR="009A4662" w:rsidRDefault="00000000">
      <w:pPr>
        <w:pStyle w:val="Heading1"/>
        <w:pBdr>
          <w:bottom w:val="single" w:sz="10" w:space="5" w:color="00A8CC"/>
        </w:pBdr>
      </w:pPr>
      <w:r>
        <w:lastRenderedPageBreak/>
        <w:t>5. Overall Churn Landscape</w:t>
      </w:r>
    </w:p>
    <w:p w14:paraId="0CA54230" w14:textId="77777777" w:rsidR="009A4662" w:rsidRDefault="00000000">
      <w:r>
        <w:t>Of 5,630 customers, 948 (16.84%) have churned and 4,682 (83.16%) are retained — roughly 1 in 6 customers. The distribution is mildly imbalanced, typical for churn problems, and justifies segment-level analysis rather than reliance on the aggregate rate.</w:t>
      </w:r>
    </w:p>
    <w:p w14:paraId="3AE8EB80" w14:textId="77777777" w:rsidR="009A4662" w:rsidRDefault="00000000">
      <w:pPr>
        <w:jc w:val="center"/>
      </w:pPr>
      <w:r>
        <w:rPr>
          <w:noProof/>
        </w:rPr>
        <w:drawing>
          <wp:inline distT="0" distB="0" distL="0" distR="0" wp14:anchorId="4DFC1690" wp14:editId="5AFA6FAC">
            <wp:extent cx="5760720" cy="35731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ustomer_churn_distribution.png"/>
                    <pic:cNvPicPr/>
                  </pic:nvPicPr>
                  <pic:blipFill>
                    <a:blip r:embed="rId12"/>
                    <a:stretch>
                      <a:fillRect/>
                    </a:stretch>
                  </pic:blipFill>
                  <pic:spPr>
                    <a:xfrm>
                      <a:off x="0" y="0"/>
                      <a:ext cx="5760720" cy="3573174"/>
                    </a:xfrm>
                    <a:prstGeom prst="rect">
                      <a:avLst/>
                    </a:prstGeom>
                  </pic:spPr>
                </pic:pic>
              </a:graphicData>
            </a:graphic>
          </wp:inline>
        </w:drawing>
      </w:r>
    </w:p>
    <w:p w14:paraId="149F72F5" w14:textId="77777777" w:rsidR="009A4662" w:rsidRDefault="00000000">
      <w:pPr>
        <w:spacing w:after="200"/>
        <w:jc w:val="center"/>
      </w:pPr>
      <w:r>
        <w:rPr>
          <w:i/>
          <w:color w:val="77879A"/>
          <w:sz w:val="17"/>
        </w:rPr>
        <w:t>Figure 4  ·  Customer churn distribution — proportion and count.</w:t>
      </w:r>
    </w:p>
    <w:tbl>
      <w:tblPr>
        <w:tblW w:w="0" w:type="auto"/>
        <w:jc w:val="center"/>
        <w:tblLook w:val="04A0" w:firstRow="1" w:lastRow="0" w:firstColumn="1" w:lastColumn="0" w:noHBand="0" w:noVBand="1"/>
      </w:tblPr>
      <w:tblGrid>
        <w:gridCol w:w="9504"/>
      </w:tblGrid>
      <w:tr w:rsidR="009A4662" w14:paraId="47D3083C" w14:textId="77777777">
        <w:trPr>
          <w:jc w:val="center"/>
        </w:trPr>
        <w:tc>
          <w:tcPr>
            <w:tcW w:w="9504" w:type="dxa"/>
            <w:tcBorders>
              <w:left w:val="single" w:sz="24" w:space="0" w:color="00A8CC"/>
            </w:tcBorders>
            <w:shd w:val="clear" w:color="auto" w:fill="E8F6FA"/>
            <w:vAlign w:val="center"/>
          </w:tcPr>
          <w:p w14:paraId="4409D23B" w14:textId="77777777" w:rsidR="009A4662" w:rsidRDefault="00000000">
            <w:pPr>
              <w:spacing w:before="80" w:after="80"/>
            </w:pPr>
            <w:r>
              <w:rPr>
                <w:b/>
                <w:i/>
                <w:color w:val="0B5E73"/>
                <w:sz w:val="20"/>
              </w:rPr>
              <w:t>The aggregate rate masks concentration: churn is disproportionately located in early lifecycle stages, complaint-making customers and specific preference segments — the basis for targeted retention investment.</w:t>
            </w:r>
          </w:p>
        </w:tc>
      </w:tr>
    </w:tbl>
    <w:p w14:paraId="05EFC7BB" w14:textId="77777777" w:rsidR="009A4662" w:rsidRDefault="009A4662">
      <w:pPr>
        <w:spacing w:after="40"/>
      </w:pPr>
    </w:p>
    <w:p w14:paraId="5ACE13EB" w14:textId="77777777" w:rsidR="009A4662" w:rsidRDefault="00000000">
      <w:r>
        <w:br w:type="page"/>
      </w:r>
    </w:p>
    <w:p w14:paraId="2EDF070C" w14:textId="77777777" w:rsidR="009A4662" w:rsidRDefault="00000000">
      <w:pPr>
        <w:pStyle w:val="Heading1"/>
        <w:pBdr>
          <w:bottom w:val="single" w:sz="10" w:space="5" w:color="00A8CC"/>
        </w:pBdr>
      </w:pPr>
      <w:r>
        <w:lastRenderedPageBreak/>
        <w:t>6. Churn Driver — Customer Lifecycle</w:t>
      </w:r>
    </w:p>
    <w:p w14:paraId="3D1E27AF" w14:textId="77777777" w:rsidR="009A4662" w:rsidRDefault="00000000">
      <w:r>
        <w:t>Tenure is the strongest single signal in the data (correlation with churn: −0.34). Churn by lifecycle cohort:</w:t>
      </w:r>
    </w:p>
    <w:tbl>
      <w:tblPr>
        <w:tblStyle w:val="TableGrid"/>
        <w:tblW w:w="0" w:type="auto"/>
        <w:jc w:val="center"/>
        <w:tblLook w:val="04A0" w:firstRow="1" w:lastRow="0" w:firstColumn="1" w:lastColumn="0" w:noHBand="0" w:noVBand="1"/>
      </w:tblPr>
      <w:tblGrid>
        <w:gridCol w:w="2880"/>
        <w:gridCol w:w="2016"/>
        <w:gridCol w:w="2016"/>
        <w:gridCol w:w="2016"/>
      </w:tblGrid>
      <w:tr w:rsidR="009A4662" w14:paraId="175FC41B" w14:textId="77777777">
        <w:trPr>
          <w:jc w:val="center"/>
        </w:trPr>
        <w:tc>
          <w:tcPr>
            <w:tcW w:w="2880" w:type="dxa"/>
            <w:shd w:val="clear" w:color="auto" w:fill="0E2A47"/>
          </w:tcPr>
          <w:p w14:paraId="48E533A0" w14:textId="77777777" w:rsidR="009A4662" w:rsidRDefault="00000000">
            <w:r>
              <w:rPr>
                <w:b/>
                <w:color w:val="FFFFFF"/>
                <w:sz w:val="19"/>
              </w:rPr>
              <w:t>Lifecycle cohort</w:t>
            </w:r>
          </w:p>
        </w:tc>
        <w:tc>
          <w:tcPr>
            <w:tcW w:w="2016" w:type="dxa"/>
            <w:shd w:val="clear" w:color="auto" w:fill="0E2A47"/>
          </w:tcPr>
          <w:p w14:paraId="1BFA4CCE" w14:textId="77777777" w:rsidR="009A4662" w:rsidRDefault="00000000">
            <w:r>
              <w:rPr>
                <w:b/>
                <w:color w:val="FFFFFF"/>
                <w:sz w:val="19"/>
              </w:rPr>
              <w:t>Customers</w:t>
            </w:r>
          </w:p>
        </w:tc>
        <w:tc>
          <w:tcPr>
            <w:tcW w:w="2016" w:type="dxa"/>
            <w:shd w:val="clear" w:color="auto" w:fill="0E2A47"/>
          </w:tcPr>
          <w:p w14:paraId="6C613FD8" w14:textId="77777777" w:rsidR="009A4662" w:rsidRDefault="00000000">
            <w:r>
              <w:rPr>
                <w:b/>
                <w:color w:val="FFFFFF"/>
                <w:sz w:val="19"/>
              </w:rPr>
              <w:t>Churned</w:t>
            </w:r>
          </w:p>
        </w:tc>
        <w:tc>
          <w:tcPr>
            <w:tcW w:w="2016" w:type="dxa"/>
            <w:shd w:val="clear" w:color="auto" w:fill="0E2A47"/>
          </w:tcPr>
          <w:p w14:paraId="69DB2678" w14:textId="77777777" w:rsidR="009A4662" w:rsidRDefault="00000000">
            <w:r>
              <w:rPr>
                <w:b/>
                <w:color w:val="FFFFFF"/>
                <w:sz w:val="19"/>
              </w:rPr>
              <w:t>Churn rate</w:t>
            </w:r>
          </w:p>
        </w:tc>
      </w:tr>
      <w:tr w:rsidR="009A4662" w14:paraId="4F87B9F9" w14:textId="77777777">
        <w:trPr>
          <w:jc w:val="center"/>
        </w:trPr>
        <w:tc>
          <w:tcPr>
            <w:tcW w:w="2880" w:type="dxa"/>
          </w:tcPr>
          <w:p w14:paraId="4FF2F29C" w14:textId="77777777" w:rsidR="009A4662" w:rsidRDefault="00000000">
            <w:r>
              <w:rPr>
                <w:b/>
                <w:color w:val="0E2A47"/>
                <w:sz w:val="19"/>
              </w:rPr>
              <w:t>New (0–3m)</w:t>
            </w:r>
          </w:p>
        </w:tc>
        <w:tc>
          <w:tcPr>
            <w:tcW w:w="2016" w:type="dxa"/>
          </w:tcPr>
          <w:p w14:paraId="36522A5B" w14:textId="77777777" w:rsidR="009A4662" w:rsidRDefault="00000000">
            <w:r>
              <w:rPr>
                <w:sz w:val="19"/>
              </w:rPr>
              <w:t>1,560</w:t>
            </w:r>
          </w:p>
        </w:tc>
        <w:tc>
          <w:tcPr>
            <w:tcW w:w="2016" w:type="dxa"/>
          </w:tcPr>
          <w:p w14:paraId="092FBD2E" w14:textId="77777777" w:rsidR="009A4662" w:rsidRDefault="00000000">
            <w:r>
              <w:rPr>
                <w:sz w:val="19"/>
              </w:rPr>
              <w:t>653</w:t>
            </w:r>
          </w:p>
        </w:tc>
        <w:tc>
          <w:tcPr>
            <w:tcW w:w="2016" w:type="dxa"/>
          </w:tcPr>
          <w:p w14:paraId="07793234" w14:textId="77777777" w:rsidR="009A4662" w:rsidRDefault="00000000">
            <w:r>
              <w:rPr>
                <w:sz w:val="19"/>
              </w:rPr>
              <w:t>41.86%</w:t>
            </w:r>
          </w:p>
        </w:tc>
      </w:tr>
      <w:tr w:rsidR="009A4662" w14:paraId="615B470A" w14:textId="77777777">
        <w:trPr>
          <w:jc w:val="center"/>
        </w:trPr>
        <w:tc>
          <w:tcPr>
            <w:tcW w:w="2880" w:type="dxa"/>
            <w:shd w:val="clear" w:color="auto" w:fill="EDF3F9"/>
          </w:tcPr>
          <w:p w14:paraId="24F6716E" w14:textId="77777777" w:rsidR="009A4662" w:rsidRDefault="00000000">
            <w:r>
              <w:rPr>
                <w:b/>
                <w:color w:val="0E2A47"/>
                <w:sz w:val="19"/>
              </w:rPr>
              <w:t>Growing (4–6m)</w:t>
            </w:r>
          </w:p>
        </w:tc>
        <w:tc>
          <w:tcPr>
            <w:tcW w:w="2016" w:type="dxa"/>
            <w:shd w:val="clear" w:color="auto" w:fill="EDF3F9"/>
          </w:tcPr>
          <w:p w14:paraId="1D6A58FD" w14:textId="77777777" w:rsidR="009A4662" w:rsidRDefault="00000000">
            <w:r>
              <w:rPr>
                <w:sz w:val="19"/>
              </w:rPr>
              <w:t>590</w:t>
            </w:r>
          </w:p>
        </w:tc>
        <w:tc>
          <w:tcPr>
            <w:tcW w:w="2016" w:type="dxa"/>
            <w:shd w:val="clear" w:color="auto" w:fill="EDF3F9"/>
          </w:tcPr>
          <w:p w14:paraId="13E49517" w14:textId="77777777" w:rsidR="009A4662" w:rsidRDefault="00000000">
            <w:r>
              <w:rPr>
                <w:sz w:val="19"/>
              </w:rPr>
              <w:t>44</w:t>
            </w:r>
          </w:p>
        </w:tc>
        <w:tc>
          <w:tcPr>
            <w:tcW w:w="2016" w:type="dxa"/>
            <w:shd w:val="clear" w:color="auto" w:fill="EDF3F9"/>
          </w:tcPr>
          <w:p w14:paraId="43384927" w14:textId="77777777" w:rsidR="009A4662" w:rsidRDefault="00000000">
            <w:r>
              <w:rPr>
                <w:sz w:val="19"/>
              </w:rPr>
              <w:t>7.46%</w:t>
            </w:r>
          </w:p>
        </w:tc>
      </w:tr>
      <w:tr w:rsidR="009A4662" w14:paraId="660B47D5" w14:textId="77777777">
        <w:trPr>
          <w:jc w:val="center"/>
        </w:trPr>
        <w:tc>
          <w:tcPr>
            <w:tcW w:w="2880" w:type="dxa"/>
          </w:tcPr>
          <w:p w14:paraId="05C13DBA" w14:textId="77777777" w:rsidR="009A4662" w:rsidRDefault="00000000">
            <w:r>
              <w:rPr>
                <w:b/>
                <w:color w:val="0E2A47"/>
                <w:sz w:val="19"/>
              </w:rPr>
              <w:t>Established (7–12m)</w:t>
            </w:r>
          </w:p>
        </w:tc>
        <w:tc>
          <w:tcPr>
            <w:tcW w:w="2016" w:type="dxa"/>
          </w:tcPr>
          <w:p w14:paraId="6169BC0B" w14:textId="77777777" w:rsidR="009A4662" w:rsidRDefault="00000000">
            <w:r>
              <w:rPr>
                <w:sz w:val="19"/>
              </w:rPr>
              <w:t>1,584</w:t>
            </w:r>
          </w:p>
        </w:tc>
        <w:tc>
          <w:tcPr>
            <w:tcW w:w="2016" w:type="dxa"/>
          </w:tcPr>
          <w:p w14:paraId="305FEA08" w14:textId="77777777" w:rsidR="009A4662" w:rsidRDefault="00000000">
            <w:r>
              <w:rPr>
                <w:sz w:val="19"/>
              </w:rPr>
              <w:t>156</w:t>
            </w:r>
          </w:p>
        </w:tc>
        <w:tc>
          <w:tcPr>
            <w:tcW w:w="2016" w:type="dxa"/>
          </w:tcPr>
          <w:p w14:paraId="6AA20E4B" w14:textId="77777777" w:rsidR="009A4662" w:rsidRDefault="00000000">
            <w:r>
              <w:rPr>
                <w:sz w:val="19"/>
              </w:rPr>
              <w:t>9.85%</w:t>
            </w:r>
          </w:p>
        </w:tc>
      </w:tr>
      <w:tr w:rsidR="009A4662" w14:paraId="3C6027F9" w14:textId="77777777">
        <w:trPr>
          <w:jc w:val="center"/>
        </w:trPr>
        <w:tc>
          <w:tcPr>
            <w:tcW w:w="2880" w:type="dxa"/>
            <w:shd w:val="clear" w:color="auto" w:fill="EDF3F9"/>
          </w:tcPr>
          <w:p w14:paraId="59CFA87E" w14:textId="77777777" w:rsidR="009A4662" w:rsidRDefault="00000000">
            <w:r>
              <w:rPr>
                <w:b/>
                <w:color w:val="0E2A47"/>
                <w:sz w:val="19"/>
              </w:rPr>
              <w:t>Mature (13–24m)</w:t>
            </w:r>
          </w:p>
        </w:tc>
        <w:tc>
          <w:tcPr>
            <w:tcW w:w="2016" w:type="dxa"/>
            <w:shd w:val="clear" w:color="auto" w:fill="EDF3F9"/>
          </w:tcPr>
          <w:p w14:paraId="0E7FDC1E" w14:textId="77777777" w:rsidR="009A4662" w:rsidRDefault="00000000">
            <w:r>
              <w:rPr>
                <w:sz w:val="19"/>
              </w:rPr>
              <w:t>1,467</w:t>
            </w:r>
          </w:p>
        </w:tc>
        <w:tc>
          <w:tcPr>
            <w:tcW w:w="2016" w:type="dxa"/>
            <w:shd w:val="clear" w:color="auto" w:fill="EDF3F9"/>
          </w:tcPr>
          <w:p w14:paraId="5A2C256B" w14:textId="77777777" w:rsidR="009A4662" w:rsidRDefault="00000000">
            <w:r>
              <w:rPr>
                <w:sz w:val="19"/>
              </w:rPr>
              <w:t>95</w:t>
            </w:r>
          </w:p>
        </w:tc>
        <w:tc>
          <w:tcPr>
            <w:tcW w:w="2016" w:type="dxa"/>
            <w:shd w:val="clear" w:color="auto" w:fill="EDF3F9"/>
          </w:tcPr>
          <w:p w14:paraId="6AA44E63" w14:textId="77777777" w:rsidR="009A4662" w:rsidRDefault="00000000">
            <w:r>
              <w:rPr>
                <w:sz w:val="19"/>
              </w:rPr>
              <w:t>6.48%</w:t>
            </w:r>
          </w:p>
        </w:tc>
      </w:tr>
      <w:tr w:rsidR="009A4662" w14:paraId="7CAFCA0D" w14:textId="77777777">
        <w:trPr>
          <w:jc w:val="center"/>
        </w:trPr>
        <w:tc>
          <w:tcPr>
            <w:tcW w:w="2880" w:type="dxa"/>
          </w:tcPr>
          <w:p w14:paraId="4FEA4689" w14:textId="77777777" w:rsidR="009A4662" w:rsidRDefault="00000000">
            <w:r>
              <w:rPr>
                <w:b/>
                <w:color w:val="0E2A47"/>
                <w:sz w:val="19"/>
              </w:rPr>
              <w:t>Loyal (25m+)</w:t>
            </w:r>
          </w:p>
        </w:tc>
        <w:tc>
          <w:tcPr>
            <w:tcW w:w="2016" w:type="dxa"/>
          </w:tcPr>
          <w:p w14:paraId="69A0CFC2" w14:textId="77777777" w:rsidR="009A4662" w:rsidRDefault="00000000">
            <w:r>
              <w:rPr>
                <w:sz w:val="19"/>
              </w:rPr>
              <w:t>429</w:t>
            </w:r>
          </w:p>
        </w:tc>
        <w:tc>
          <w:tcPr>
            <w:tcW w:w="2016" w:type="dxa"/>
          </w:tcPr>
          <w:p w14:paraId="594F2515" w14:textId="77777777" w:rsidR="009A4662" w:rsidRDefault="00000000">
            <w:r>
              <w:rPr>
                <w:sz w:val="19"/>
              </w:rPr>
              <w:t>0</w:t>
            </w:r>
          </w:p>
        </w:tc>
        <w:tc>
          <w:tcPr>
            <w:tcW w:w="2016" w:type="dxa"/>
          </w:tcPr>
          <w:p w14:paraId="4C4E8E24" w14:textId="77777777" w:rsidR="009A4662" w:rsidRDefault="00000000">
            <w:r>
              <w:rPr>
                <w:sz w:val="19"/>
              </w:rPr>
              <w:t>0.00%</w:t>
            </w:r>
          </w:p>
        </w:tc>
      </w:tr>
    </w:tbl>
    <w:p w14:paraId="7EE73FCB" w14:textId="77777777" w:rsidR="009A4662" w:rsidRDefault="009A4662">
      <w:pPr>
        <w:spacing w:after="40"/>
      </w:pPr>
    </w:p>
    <w:p w14:paraId="08873E51" w14:textId="77777777" w:rsidR="009A4662" w:rsidRDefault="00000000">
      <w:pPr>
        <w:jc w:val="center"/>
      </w:pPr>
      <w:r>
        <w:rPr>
          <w:noProof/>
        </w:rPr>
        <w:drawing>
          <wp:inline distT="0" distB="0" distL="0" distR="0" wp14:anchorId="549AFFC3" wp14:editId="5952B35B">
            <wp:extent cx="5760720" cy="33332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hort_churn_rate.png"/>
                    <pic:cNvPicPr/>
                  </pic:nvPicPr>
                  <pic:blipFill>
                    <a:blip r:embed="rId13"/>
                    <a:stretch>
                      <a:fillRect/>
                    </a:stretch>
                  </pic:blipFill>
                  <pic:spPr>
                    <a:xfrm>
                      <a:off x="0" y="0"/>
                      <a:ext cx="5760720" cy="3333231"/>
                    </a:xfrm>
                    <a:prstGeom prst="rect">
                      <a:avLst/>
                    </a:prstGeom>
                  </pic:spPr>
                </pic:pic>
              </a:graphicData>
            </a:graphic>
          </wp:inline>
        </w:drawing>
      </w:r>
    </w:p>
    <w:p w14:paraId="476E6EBC" w14:textId="77777777" w:rsidR="009A4662" w:rsidRDefault="00000000">
      <w:pPr>
        <w:spacing w:after="200"/>
        <w:jc w:val="center"/>
      </w:pPr>
      <w:r>
        <w:rPr>
          <w:i/>
          <w:color w:val="77879A"/>
          <w:sz w:val="17"/>
        </w:rPr>
        <w:t>Figure 5  ·  Churn rate by customer lifecycle stage vs overall rate (16.84%).</w:t>
      </w:r>
    </w:p>
    <w:tbl>
      <w:tblPr>
        <w:tblW w:w="0" w:type="auto"/>
        <w:jc w:val="center"/>
        <w:tblLook w:val="04A0" w:firstRow="1" w:lastRow="0" w:firstColumn="1" w:lastColumn="0" w:noHBand="0" w:noVBand="1"/>
      </w:tblPr>
      <w:tblGrid>
        <w:gridCol w:w="9504"/>
      </w:tblGrid>
      <w:tr w:rsidR="009A4662" w14:paraId="3EE17B39" w14:textId="77777777">
        <w:trPr>
          <w:jc w:val="center"/>
        </w:trPr>
        <w:tc>
          <w:tcPr>
            <w:tcW w:w="9504" w:type="dxa"/>
            <w:tcBorders>
              <w:left w:val="single" w:sz="24" w:space="0" w:color="00A8CC"/>
            </w:tcBorders>
            <w:shd w:val="clear" w:color="auto" w:fill="E8F6FA"/>
            <w:vAlign w:val="center"/>
          </w:tcPr>
          <w:p w14:paraId="729AFCCF" w14:textId="77777777" w:rsidR="009A4662" w:rsidRDefault="00000000">
            <w:pPr>
              <w:spacing w:before="80" w:after="80"/>
            </w:pPr>
            <w:r>
              <w:rPr>
                <w:b/>
                <w:i/>
                <w:color w:val="0B5E73"/>
                <w:sz w:val="20"/>
              </w:rPr>
              <w:t>The first three months are the highest observed churn-risk stage — 653 of 948 churned customers (≈69%) come from this cohort. Onboarding is the priority retention window.</w:t>
            </w:r>
          </w:p>
        </w:tc>
      </w:tr>
    </w:tbl>
    <w:p w14:paraId="6B411471" w14:textId="77777777" w:rsidR="009A4662" w:rsidRDefault="009A4662">
      <w:pPr>
        <w:spacing w:after="40"/>
      </w:pPr>
    </w:p>
    <w:p w14:paraId="3ABA31FB" w14:textId="77777777" w:rsidR="009A4662" w:rsidRDefault="00000000">
      <w:pPr>
        <w:jc w:val="center"/>
      </w:pPr>
      <w:r>
        <w:rPr>
          <w:noProof/>
        </w:rPr>
        <w:lastRenderedPageBreak/>
        <w:drawing>
          <wp:inline distT="0" distB="0" distL="0" distR="0" wp14:anchorId="54B789E4" wp14:editId="2031D5E2">
            <wp:extent cx="5760720" cy="30710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ention_curve.png"/>
                    <pic:cNvPicPr/>
                  </pic:nvPicPr>
                  <pic:blipFill>
                    <a:blip r:embed="rId14"/>
                    <a:stretch>
                      <a:fillRect/>
                    </a:stretch>
                  </pic:blipFill>
                  <pic:spPr>
                    <a:xfrm>
                      <a:off x="0" y="0"/>
                      <a:ext cx="5760720" cy="3071038"/>
                    </a:xfrm>
                    <a:prstGeom prst="rect">
                      <a:avLst/>
                    </a:prstGeom>
                  </pic:spPr>
                </pic:pic>
              </a:graphicData>
            </a:graphic>
          </wp:inline>
        </w:drawing>
      </w:r>
    </w:p>
    <w:p w14:paraId="141C38A3" w14:textId="77777777" w:rsidR="009A4662" w:rsidRDefault="00000000">
      <w:pPr>
        <w:spacing w:after="200"/>
        <w:jc w:val="center"/>
      </w:pPr>
      <w:r>
        <w:rPr>
          <w:i/>
          <w:color w:val="77879A"/>
          <w:sz w:val="17"/>
        </w:rPr>
        <w:t>Figure 6  ·  Retention curve by lifecycle stage; a 2.39 pp dip is observed at the Established stage.</w:t>
      </w:r>
    </w:p>
    <w:p w14:paraId="19B57F83" w14:textId="77777777" w:rsidR="009A4662" w:rsidRDefault="00000000">
      <w:pPr>
        <w:pStyle w:val="Heading2"/>
      </w:pPr>
      <w:r>
        <w:t>6.1 Lifecycle × city tier</w:t>
      </w:r>
    </w:p>
    <w:p w14:paraId="62E98434" w14:textId="77777777" w:rsidR="009A4662" w:rsidRDefault="00000000">
      <w:r>
        <w:t>The cohort × city-tier view sharpens targeting: new customers in Tier 2 show the highest observed churn (61.0%), followed by Tier 3 (46.6%) and Tier 1 (38.2%).</w:t>
      </w:r>
    </w:p>
    <w:p w14:paraId="3381A0E6" w14:textId="77777777" w:rsidR="009A4662" w:rsidRDefault="00000000">
      <w:pPr>
        <w:jc w:val="center"/>
      </w:pPr>
      <w:r>
        <w:rPr>
          <w:noProof/>
        </w:rPr>
        <w:drawing>
          <wp:inline distT="0" distB="0" distL="0" distR="0" wp14:anchorId="32E701B7" wp14:editId="63398F50">
            <wp:extent cx="5303520" cy="35211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hort_citytier_heatmap.png"/>
                    <pic:cNvPicPr/>
                  </pic:nvPicPr>
                  <pic:blipFill>
                    <a:blip r:embed="rId15"/>
                    <a:stretch>
                      <a:fillRect/>
                    </a:stretch>
                  </pic:blipFill>
                  <pic:spPr>
                    <a:xfrm>
                      <a:off x="0" y="0"/>
                      <a:ext cx="5303520" cy="3521105"/>
                    </a:xfrm>
                    <a:prstGeom prst="rect">
                      <a:avLst/>
                    </a:prstGeom>
                  </pic:spPr>
                </pic:pic>
              </a:graphicData>
            </a:graphic>
          </wp:inline>
        </w:drawing>
      </w:r>
    </w:p>
    <w:p w14:paraId="0F066183" w14:textId="77777777" w:rsidR="009A4662" w:rsidRDefault="00000000">
      <w:pPr>
        <w:spacing w:after="200"/>
        <w:jc w:val="center"/>
      </w:pPr>
      <w:r>
        <w:rPr>
          <w:i/>
          <w:color w:val="77879A"/>
          <w:sz w:val="17"/>
        </w:rPr>
        <w:t>Figure 7  ·  Churn rate heatmap — tenure cohort × city tier.</w:t>
      </w:r>
    </w:p>
    <w:p w14:paraId="02D79CC9" w14:textId="77777777" w:rsidR="009A4662" w:rsidRDefault="00000000">
      <w:r>
        <w:br w:type="page"/>
      </w:r>
    </w:p>
    <w:p w14:paraId="24A6755B" w14:textId="77777777" w:rsidR="009A4662" w:rsidRDefault="00000000">
      <w:pPr>
        <w:pStyle w:val="Heading1"/>
        <w:pBdr>
          <w:bottom w:val="single" w:sz="10" w:space="5" w:color="00A8CC"/>
        </w:pBdr>
      </w:pPr>
      <w:r>
        <w:lastRenderedPageBreak/>
        <w:t>7. Churn Driver — Customer Experience</w:t>
      </w:r>
    </w:p>
    <w:p w14:paraId="20F0EF97" w14:textId="77777777" w:rsidR="009A4662" w:rsidRDefault="00000000">
      <w:pPr>
        <w:pStyle w:val="Heading2"/>
      </w:pPr>
      <w:r>
        <w:t>7.1 Complaints</w:t>
      </w:r>
    </w:p>
    <w:tbl>
      <w:tblPr>
        <w:tblStyle w:val="TableGrid"/>
        <w:tblW w:w="0" w:type="auto"/>
        <w:jc w:val="center"/>
        <w:tblLook w:val="04A0" w:firstRow="1" w:lastRow="0" w:firstColumn="1" w:lastColumn="0" w:noHBand="0" w:noVBand="1"/>
      </w:tblPr>
      <w:tblGrid>
        <w:gridCol w:w="3161"/>
        <w:gridCol w:w="2156"/>
        <w:gridCol w:w="2156"/>
        <w:gridCol w:w="2155"/>
      </w:tblGrid>
      <w:tr w:rsidR="009A4662" w14:paraId="3DD64616" w14:textId="77777777">
        <w:trPr>
          <w:jc w:val="center"/>
        </w:trPr>
        <w:tc>
          <w:tcPr>
            <w:tcW w:w="3168" w:type="dxa"/>
            <w:shd w:val="clear" w:color="auto" w:fill="0E2A47"/>
          </w:tcPr>
          <w:p w14:paraId="562441EE" w14:textId="77777777" w:rsidR="009A4662" w:rsidRDefault="00000000">
            <w:r>
              <w:rPr>
                <w:b/>
                <w:color w:val="FFFFFF"/>
                <w:sz w:val="19"/>
              </w:rPr>
              <w:t>Complaint status</w:t>
            </w:r>
          </w:p>
        </w:tc>
        <w:tc>
          <w:tcPr>
            <w:tcW w:w="2160" w:type="dxa"/>
            <w:shd w:val="clear" w:color="auto" w:fill="0E2A47"/>
          </w:tcPr>
          <w:p w14:paraId="48022BA4" w14:textId="77777777" w:rsidR="009A4662" w:rsidRDefault="00000000">
            <w:r>
              <w:rPr>
                <w:b/>
                <w:color w:val="FFFFFF"/>
                <w:sz w:val="19"/>
              </w:rPr>
              <w:t>Customers</w:t>
            </w:r>
          </w:p>
        </w:tc>
        <w:tc>
          <w:tcPr>
            <w:tcW w:w="2160" w:type="dxa"/>
            <w:shd w:val="clear" w:color="auto" w:fill="0E2A47"/>
          </w:tcPr>
          <w:p w14:paraId="165106CD" w14:textId="77777777" w:rsidR="009A4662" w:rsidRDefault="00000000">
            <w:r>
              <w:rPr>
                <w:b/>
                <w:color w:val="FFFFFF"/>
                <w:sz w:val="19"/>
              </w:rPr>
              <w:t>Churned</w:t>
            </w:r>
          </w:p>
        </w:tc>
        <w:tc>
          <w:tcPr>
            <w:tcW w:w="2160" w:type="dxa"/>
            <w:shd w:val="clear" w:color="auto" w:fill="0E2A47"/>
          </w:tcPr>
          <w:p w14:paraId="3D7EA03E" w14:textId="77777777" w:rsidR="009A4662" w:rsidRDefault="00000000">
            <w:r>
              <w:rPr>
                <w:b/>
                <w:color w:val="FFFFFF"/>
                <w:sz w:val="19"/>
              </w:rPr>
              <w:t>Churn rate</w:t>
            </w:r>
          </w:p>
        </w:tc>
      </w:tr>
      <w:tr w:rsidR="009A4662" w14:paraId="0C538E1B" w14:textId="77777777">
        <w:trPr>
          <w:jc w:val="center"/>
        </w:trPr>
        <w:tc>
          <w:tcPr>
            <w:tcW w:w="3168" w:type="dxa"/>
          </w:tcPr>
          <w:p w14:paraId="604B927B" w14:textId="77777777" w:rsidR="009A4662" w:rsidRDefault="00000000">
            <w:r>
              <w:rPr>
                <w:b/>
                <w:color w:val="0E2A47"/>
                <w:sz w:val="19"/>
              </w:rPr>
              <w:t>Complaint</w:t>
            </w:r>
          </w:p>
        </w:tc>
        <w:tc>
          <w:tcPr>
            <w:tcW w:w="2160" w:type="dxa"/>
          </w:tcPr>
          <w:p w14:paraId="4E3F6661" w14:textId="77777777" w:rsidR="009A4662" w:rsidRDefault="00000000">
            <w:r>
              <w:rPr>
                <w:sz w:val="19"/>
              </w:rPr>
              <w:t>1,604</w:t>
            </w:r>
          </w:p>
        </w:tc>
        <w:tc>
          <w:tcPr>
            <w:tcW w:w="2160" w:type="dxa"/>
          </w:tcPr>
          <w:p w14:paraId="71476E14" w14:textId="77777777" w:rsidR="009A4662" w:rsidRDefault="00000000">
            <w:r>
              <w:rPr>
                <w:sz w:val="19"/>
              </w:rPr>
              <w:t>508</w:t>
            </w:r>
          </w:p>
        </w:tc>
        <w:tc>
          <w:tcPr>
            <w:tcW w:w="2160" w:type="dxa"/>
          </w:tcPr>
          <w:p w14:paraId="5C56E31C" w14:textId="77777777" w:rsidR="009A4662" w:rsidRDefault="00000000">
            <w:r>
              <w:rPr>
                <w:sz w:val="19"/>
              </w:rPr>
              <w:t>31.67%</w:t>
            </w:r>
          </w:p>
        </w:tc>
      </w:tr>
      <w:tr w:rsidR="009A4662" w14:paraId="33518AD4" w14:textId="77777777">
        <w:trPr>
          <w:jc w:val="center"/>
        </w:trPr>
        <w:tc>
          <w:tcPr>
            <w:tcW w:w="3168" w:type="dxa"/>
            <w:shd w:val="clear" w:color="auto" w:fill="EDF3F9"/>
          </w:tcPr>
          <w:p w14:paraId="7C7F489E" w14:textId="77777777" w:rsidR="009A4662" w:rsidRDefault="00000000">
            <w:r>
              <w:rPr>
                <w:b/>
                <w:color w:val="0E2A47"/>
                <w:sz w:val="19"/>
              </w:rPr>
              <w:t>No complaint</w:t>
            </w:r>
          </w:p>
        </w:tc>
        <w:tc>
          <w:tcPr>
            <w:tcW w:w="2160" w:type="dxa"/>
            <w:shd w:val="clear" w:color="auto" w:fill="EDF3F9"/>
          </w:tcPr>
          <w:p w14:paraId="3A11D90C" w14:textId="77777777" w:rsidR="009A4662" w:rsidRDefault="00000000">
            <w:r>
              <w:rPr>
                <w:sz w:val="19"/>
              </w:rPr>
              <w:t>4,026</w:t>
            </w:r>
          </w:p>
        </w:tc>
        <w:tc>
          <w:tcPr>
            <w:tcW w:w="2160" w:type="dxa"/>
            <w:shd w:val="clear" w:color="auto" w:fill="EDF3F9"/>
          </w:tcPr>
          <w:p w14:paraId="59C080BE" w14:textId="77777777" w:rsidR="009A4662" w:rsidRDefault="00000000">
            <w:r>
              <w:rPr>
                <w:sz w:val="19"/>
              </w:rPr>
              <w:t>440</w:t>
            </w:r>
          </w:p>
        </w:tc>
        <w:tc>
          <w:tcPr>
            <w:tcW w:w="2160" w:type="dxa"/>
            <w:shd w:val="clear" w:color="auto" w:fill="EDF3F9"/>
          </w:tcPr>
          <w:p w14:paraId="4917DBA1" w14:textId="77777777" w:rsidR="009A4662" w:rsidRDefault="00000000">
            <w:r>
              <w:rPr>
                <w:sz w:val="19"/>
              </w:rPr>
              <w:t>10.93%</w:t>
            </w:r>
          </w:p>
        </w:tc>
      </w:tr>
    </w:tbl>
    <w:p w14:paraId="5A47AA9A" w14:textId="77777777" w:rsidR="009A4662" w:rsidRDefault="009A4662">
      <w:pPr>
        <w:spacing w:after="40"/>
      </w:pPr>
    </w:p>
    <w:p w14:paraId="0A68A9A5" w14:textId="77777777" w:rsidR="009A4662" w:rsidRDefault="00000000">
      <w:pPr>
        <w:jc w:val="center"/>
      </w:pPr>
      <w:r>
        <w:rPr>
          <w:noProof/>
        </w:rPr>
        <w:drawing>
          <wp:inline distT="0" distB="0" distL="0" distR="0" wp14:anchorId="323BD4FE" wp14:editId="3C66E173">
            <wp:extent cx="5486400" cy="32589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aint_vs_churn_highlight.png"/>
                    <pic:cNvPicPr/>
                  </pic:nvPicPr>
                  <pic:blipFill>
                    <a:blip r:embed="rId16"/>
                    <a:stretch>
                      <a:fillRect/>
                    </a:stretch>
                  </pic:blipFill>
                  <pic:spPr>
                    <a:xfrm>
                      <a:off x="0" y="0"/>
                      <a:ext cx="5486400" cy="3258944"/>
                    </a:xfrm>
                    <a:prstGeom prst="rect">
                      <a:avLst/>
                    </a:prstGeom>
                  </pic:spPr>
                </pic:pic>
              </a:graphicData>
            </a:graphic>
          </wp:inline>
        </w:drawing>
      </w:r>
    </w:p>
    <w:p w14:paraId="6C40CE4B" w14:textId="77777777" w:rsidR="009A4662" w:rsidRDefault="00000000">
      <w:pPr>
        <w:spacing w:after="200"/>
        <w:jc w:val="center"/>
      </w:pPr>
      <w:r>
        <w:rPr>
          <w:i/>
          <w:color w:val="77879A"/>
          <w:sz w:val="17"/>
        </w:rPr>
        <w:t>Figure 8  ·  Churn rate by complaint status — complaint behaviour is strongly associated with churn.</w:t>
      </w:r>
    </w:p>
    <w:tbl>
      <w:tblPr>
        <w:tblW w:w="0" w:type="auto"/>
        <w:jc w:val="center"/>
        <w:tblLook w:val="04A0" w:firstRow="1" w:lastRow="0" w:firstColumn="1" w:lastColumn="0" w:noHBand="0" w:noVBand="1"/>
      </w:tblPr>
      <w:tblGrid>
        <w:gridCol w:w="9504"/>
      </w:tblGrid>
      <w:tr w:rsidR="009A4662" w14:paraId="13C701FA" w14:textId="77777777">
        <w:trPr>
          <w:jc w:val="center"/>
        </w:trPr>
        <w:tc>
          <w:tcPr>
            <w:tcW w:w="9504" w:type="dxa"/>
            <w:tcBorders>
              <w:left w:val="single" w:sz="24" w:space="0" w:color="E67E22"/>
            </w:tcBorders>
            <w:shd w:val="clear" w:color="auto" w:fill="FDF4E7"/>
            <w:vAlign w:val="center"/>
          </w:tcPr>
          <w:p w14:paraId="0D370BA9" w14:textId="77777777" w:rsidR="009A4662" w:rsidRDefault="00000000">
            <w:pPr>
              <w:spacing w:before="80" w:after="80"/>
            </w:pPr>
            <w:r>
              <w:rPr>
                <w:b/>
                <w:i/>
                <w:color w:val="9A5410"/>
                <w:sz w:val="20"/>
              </w:rPr>
              <w:t>Customers who complained show ≈2.9× the observed churn rate of customers who did not (31.67% vs 10.93%). Complaint handling is a retention intervention opportunity. Reported as association, not causation.</w:t>
            </w:r>
          </w:p>
        </w:tc>
      </w:tr>
    </w:tbl>
    <w:p w14:paraId="54A39468" w14:textId="77777777" w:rsidR="009A4662" w:rsidRDefault="009A4662">
      <w:pPr>
        <w:spacing w:after="40"/>
      </w:pPr>
    </w:p>
    <w:p w14:paraId="228149A7" w14:textId="77777777" w:rsidR="009A4662" w:rsidRDefault="00000000">
      <w:pPr>
        <w:jc w:val="center"/>
      </w:pPr>
      <w:r>
        <w:rPr>
          <w:noProof/>
        </w:rPr>
        <w:lastRenderedPageBreak/>
        <w:drawing>
          <wp:inline distT="0" distB="0" distL="0" distR="0" wp14:anchorId="51E3D610" wp14:editId="2C98031F">
            <wp:extent cx="5760720" cy="284914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hort_complaint_churn.png"/>
                    <pic:cNvPicPr/>
                  </pic:nvPicPr>
                  <pic:blipFill>
                    <a:blip r:embed="rId17"/>
                    <a:stretch>
                      <a:fillRect/>
                    </a:stretch>
                  </pic:blipFill>
                  <pic:spPr>
                    <a:xfrm>
                      <a:off x="0" y="0"/>
                      <a:ext cx="5760720" cy="2849142"/>
                    </a:xfrm>
                    <a:prstGeom prst="rect">
                      <a:avLst/>
                    </a:prstGeom>
                  </pic:spPr>
                </pic:pic>
              </a:graphicData>
            </a:graphic>
          </wp:inline>
        </w:drawing>
      </w:r>
    </w:p>
    <w:p w14:paraId="54F34669" w14:textId="77777777" w:rsidR="009A4662" w:rsidRDefault="00000000">
      <w:pPr>
        <w:spacing w:after="200"/>
        <w:jc w:val="center"/>
      </w:pPr>
      <w:r>
        <w:rPr>
          <w:i/>
          <w:color w:val="77879A"/>
          <w:sz w:val="17"/>
        </w:rPr>
        <w:t>Figure 9  ·  Churn rate by tenure cohort and complaint status — the complaint gap persists across every lifecycle stage.</w:t>
      </w:r>
    </w:p>
    <w:p w14:paraId="13E11392" w14:textId="77777777" w:rsidR="009A4662" w:rsidRDefault="00000000">
      <w:pPr>
        <w:pStyle w:val="Heading2"/>
      </w:pPr>
      <w:r>
        <w:t>7.2 Satisfaction score</w:t>
      </w:r>
    </w:p>
    <w:p w14:paraId="3CB89152" w14:textId="77777777" w:rsidR="009A4662" w:rsidRDefault="00000000">
      <w:r>
        <w:t>Churn by satisfaction score is non-monotonic in this dataset: score-5 customers show the highest observed churn (23.83%), versus 11.51% at score 1. Within the New cohort, churn rises from 30.4% (score 2) to 52.8% (score 5). This pattern warrants a separate service-process review (e.g., when and how satisfaction is captured) before being used as a targeting variable.</w:t>
      </w:r>
    </w:p>
    <w:p w14:paraId="0FABC2FF" w14:textId="77777777" w:rsidR="009A4662" w:rsidRDefault="00000000">
      <w:pPr>
        <w:jc w:val="center"/>
      </w:pPr>
      <w:r>
        <w:rPr>
          <w:noProof/>
        </w:rPr>
        <w:drawing>
          <wp:inline distT="0" distB="0" distL="0" distR="0" wp14:anchorId="5EBC97E6" wp14:editId="041C3204">
            <wp:extent cx="5760720" cy="33241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tisfaction_vs_churn.png"/>
                    <pic:cNvPicPr/>
                  </pic:nvPicPr>
                  <pic:blipFill>
                    <a:blip r:embed="rId18"/>
                    <a:stretch>
                      <a:fillRect/>
                    </a:stretch>
                  </pic:blipFill>
                  <pic:spPr>
                    <a:xfrm>
                      <a:off x="0" y="0"/>
                      <a:ext cx="5760720" cy="3324147"/>
                    </a:xfrm>
                    <a:prstGeom prst="rect">
                      <a:avLst/>
                    </a:prstGeom>
                  </pic:spPr>
                </pic:pic>
              </a:graphicData>
            </a:graphic>
          </wp:inline>
        </w:drawing>
      </w:r>
    </w:p>
    <w:p w14:paraId="4B6459B2" w14:textId="77777777" w:rsidR="009A4662" w:rsidRDefault="00000000">
      <w:pPr>
        <w:spacing w:after="200"/>
        <w:jc w:val="center"/>
      </w:pPr>
      <w:r>
        <w:rPr>
          <w:i/>
          <w:color w:val="77879A"/>
          <w:sz w:val="17"/>
        </w:rPr>
        <w:t>Figure 10  ·  Satisfaction score vs customer churn.</w:t>
      </w:r>
    </w:p>
    <w:p w14:paraId="63D1F02E" w14:textId="77777777" w:rsidR="009A4662" w:rsidRDefault="00000000">
      <w:pPr>
        <w:jc w:val="center"/>
      </w:pPr>
      <w:r>
        <w:rPr>
          <w:noProof/>
        </w:rPr>
        <w:lastRenderedPageBreak/>
        <w:drawing>
          <wp:inline distT="0" distB="0" distL="0" distR="0" wp14:anchorId="48B786AA" wp14:editId="43B5FEF9">
            <wp:extent cx="5303520" cy="32529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hort_satisfaction_heatmap.png"/>
                    <pic:cNvPicPr/>
                  </pic:nvPicPr>
                  <pic:blipFill>
                    <a:blip r:embed="rId19"/>
                    <a:stretch>
                      <a:fillRect/>
                    </a:stretch>
                  </pic:blipFill>
                  <pic:spPr>
                    <a:xfrm>
                      <a:off x="0" y="0"/>
                      <a:ext cx="5303520" cy="3252921"/>
                    </a:xfrm>
                    <a:prstGeom prst="rect">
                      <a:avLst/>
                    </a:prstGeom>
                  </pic:spPr>
                </pic:pic>
              </a:graphicData>
            </a:graphic>
          </wp:inline>
        </w:drawing>
      </w:r>
    </w:p>
    <w:p w14:paraId="07F811D8" w14:textId="77777777" w:rsidR="009A4662" w:rsidRDefault="00000000">
      <w:pPr>
        <w:spacing w:after="200"/>
        <w:jc w:val="center"/>
      </w:pPr>
      <w:r>
        <w:rPr>
          <w:i/>
          <w:color w:val="77879A"/>
          <w:sz w:val="17"/>
        </w:rPr>
        <w:t>Figure 11  ·  Churn rate heatmap — tenure cohort × satisfaction score.</w:t>
      </w:r>
    </w:p>
    <w:p w14:paraId="52D14BFB" w14:textId="77777777" w:rsidR="009A4662" w:rsidRDefault="00000000">
      <w:r>
        <w:br w:type="page"/>
      </w:r>
    </w:p>
    <w:p w14:paraId="425CC515" w14:textId="77777777" w:rsidR="009A4662" w:rsidRDefault="00000000">
      <w:pPr>
        <w:pStyle w:val="Heading1"/>
        <w:pBdr>
          <w:bottom w:val="single" w:sz="10" w:space="5" w:color="00A8CC"/>
        </w:pBdr>
      </w:pPr>
      <w:r>
        <w:lastRenderedPageBreak/>
        <w:t>8. Other Churn Signals</w:t>
      </w:r>
    </w:p>
    <w:p w14:paraId="7C019BDB" w14:textId="77777777" w:rsidR="009A4662" w:rsidRDefault="00000000">
      <w:r>
        <w:t>Churn varies meaningfully across preference and profile dimensions, confirming that risk is multidimensional.</w:t>
      </w:r>
    </w:p>
    <w:p w14:paraId="64C5099B" w14:textId="77777777" w:rsidR="009A4662" w:rsidRDefault="00000000">
      <w:pPr>
        <w:pStyle w:val="Heading2"/>
      </w:pPr>
      <w:r>
        <w:t>8.1 Payment mode</w:t>
      </w:r>
    </w:p>
    <w:p w14:paraId="760E729F" w14:textId="77777777" w:rsidR="009A4662" w:rsidRDefault="00000000">
      <w:pPr>
        <w:jc w:val="center"/>
      </w:pPr>
      <w:r>
        <w:rPr>
          <w:noProof/>
        </w:rPr>
        <w:drawing>
          <wp:inline distT="0" distB="0" distL="0" distR="0" wp14:anchorId="380380C8" wp14:editId="797048D4">
            <wp:extent cx="5852160" cy="217909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by_preferredpaymentmode.png"/>
                    <pic:cNvPicPr/>
                  </pic:nvPicPr>
                  <pic:blipFill>
                    <a:blip r:embed="rId20"/>
                    <a:stretch>
                      <a:fillRect/>
                    </a:stretch>
                  </pic:blipFill>
                  <pic:spPr>
                    <a:xfrm>
                      <a:off x="0" y="0"/>
                      <a:ext cx="5852160" cy="2179094"/>
                    </a:xfrm>
                    <a:prstGeom prst="rect">
                      <a:avLst/>
                    </a:prstGeom>
                  </pic:spPr>
                </pic:pic>
              </a:graphicData>
            </a:graphic>
          </wp:inline>
        </w:drawing>
      </w:r>
    </w:p>
    <w:p w14:paraId="23502C82" w14:textId="77777777" w:rsidR="009A4662" w:rsidRDefault="00000000">
      <w:pPr>
        <w:spacing w:after="200"/>
        <w:jc w:val="center"/>
      </w:pPr>
      <w:r>
        <w:rPr>
          <w:i/>
          <w:color w:val="77879A"/>
          <w:sz w:val="17"/>
        </w:rPr>
        <w:t>Figure 12  ·  Churn by preferred payment mode — Cash on Delivery (25.0%) and E-wallet (22.8%) lead; Credit Card (12.9%) is lowest.</w:t>
      </w:r>
    </w:p>
    <w:p w14:paraId="55C83CAF" w14:textId="77777777" w:rsidR="009A4662" w:rsidRDefault="00000000">
      <w:pPr>
        <w:pStyle w:val="Heading2"/>
      </w:pPr>
      <w:r>
        <w:t>8.2 Order category</w:t>
      </w:r>
    </w:p>
    <w:p w14:paraId="7DCCEE05" w14:textId="77777777" w:rsidR="009A4662" w:rsidRDefault="00000000">
      <w:pPr>
        <w:jc w:val="center"/>
      </w:pPr>
      <w:r>
        <w:rPr>
          <w:noProof/>
        </w:rPr>
        <w:drawing>
          <wp:inline distT="0" distB="0" distL="0" distR="0" wp14:anchorId="63A6D47D" wp14:editId="1232B9C5">
            <wp:extent cx="5852160" cy="218094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by_preferedordercat.png"/>
                    <pic:cNvPicPr/>
                  </pic:nvPicPr>
                  <pic:blipFill>
                    <a:blip r:embed="rId21"/>
                    <a:stretch>
                      <a:fillRect/>
                    </a:stretch>
                  </pic:blipFill>
                  <pic:spPr>
                    <a:xfrm>
                      <a:off x="0" y="0"/>
                      <a:ext cx="5852160" cy="2180941"/>
                    </a:xfrm>
                    <a:prstGeom prst="rect">
                      <a:avLst/>
                    </a:prstGeom>
                  </pic:spPr>
                </pic:pic>
              </a:graphicData>
            </a:graphic>
          </wp:inline>
        </w:drawing>
      </w:r>
    </w:p>
    <w:p w14:paraId="39D43DF6" w14:textId="77777777" w:rsidR="009A4662" w:rsidRDefault="00000000">
      <w:pPr>
        <w:spacing w:after="200"/>
        <w:jc w:val="center"/>
      </w:pPr>
      <w:r>
        <w:rPr>
          <w:i/>
          <w:color w:val="77879A"/>
          <w:sz w:val="17"/>
        </w:rPr>
        <w:t>Figure 13  ·  Churn by preferred order category — Mobile (27.4%) is the highest-risk category; Grocery (4.9%) the lowest.</w:t>
      </w:r>
    </w:p>
    <w:p w14:paraId="1E59E1DB" w14:textId="77777777" w:rsidR="009A4662" w:rsidRDefault="00000000">
      <w:pPr>
        <w:pStyle w:val="Heading2"/>
      </w:pPr>
      <w:r>
        <w:lastRenderedPageBreak/>
        <w:t>8.3 Login device</w:t>
      </w:r>
    </w:p>
    <w:p w14:paraId="793A6014" w14:textId="77777777" w:rsidR="009A4662" w:rsidRDefault="00000000">
      <w:pPr>
        <w:jc w:val="center"/>
      </w:pPr>
      <w:r>
        <w:rPr>
          <w:noProof/>
        </w:rPr>
        <w:drawing>
          <wp:inline distT="0" distB="0" distL="0" distR="0" wp14:anchorId="3F0D85CB" wp14:editId="04D2A4AD">
            <wp:extent cx="5852160" cy="218094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by_preferredlogindevice.png"/>
                    <pic:cNvPicPr/>
                  </pic:nvPicPr>
                  <pic:blipFill>
                    <a:blip r:embed="rId22"/>
                    <a:stretch>
                      <a:fillRect/>
                    </a:stretch>
                  </pic:blipFill>
                  <pic:spPr>
                    <a:xfrm>
                      <a:off x="0" y="0"/>
                      <a:ext cx="5852160" cy="2180941"/>
                    </a:xfrm>
                    <a:prstGeom prst="rect">
                      <a:avLst/>
                    </a:prstGeom>
                  </pic:spPr>
                </pic:pic>
              </a:graphicData>
            </a:graphic>
          </wp:inline>
        </w:drawing>
      </w:r>
    </w:p>
    <w:p w14:paraId="4F84D115" w14:textId="77777777" w:rsidR="009A4662" w:rsidRDefault="00000000">
      <w:pPr>
        <w:spacing w:after="200"/>
        <w:jc w:val="center"/>
      </w:pPr>
      <w:r>
        <w:rPr>
          <w:i/>
          <w:color w:val="77879A"/>
          <w:sz w:val="17"/>
        </w:rPr>
        <w:t>Figure 14  ·  Churn by preferred login device — Phone-only login (22.4%) vs Mobile Phone (12.6%).</w:t>
      </w:r>
    </w:p>
    <w:p w14:paraId="3555E92C" w14:textId="77777777" w:rsidR="009A4662" w:rsidRDefault="00000000">
      <w:pPr>
        <w:pStyle w:val="Heading2"/>
      </w:pPr>
      <w:r>
        <w:t>8.4 Gender, marital status &amp; city tier</w:t>
      </w:r>
    </w:p>
    <w:p w14:paraId="3BDF0EF5" w14:textId="77777777" w:rsidR="009A4662" w:rsidRDefault="00000000">
      <w:pPr>
        <w:jc w:val="center"/>
      </w:pPr>
      <w:r>
        <w:rPr>
          <w:noProof/>
        </w:rPr>
        <w:drawing>
          <wp:inline distT="0" distB="0" distL="0" distR="0" wp14:anchorId="200431DA" wp14:editId="5BF94A17">
            <wp:extent cx="5852160" cy="218094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by_maritalstatus.png"/>
                    <pic:cNvPicPr/>
                  </pic:nvPicPr>
                  <pic:blipFill>
                    <a:blip r:embed="rId23"/>
                    <a:stretch>
                      <a:fillRect/>
                    </a:stretch>
                  </pic:blipFill>
                  <pic:spPr>
                    <a:xfrm>
                      <a:off x="0" y="0"/>
                      <a:ext cx="5852160" cy="2180941"/>
                    </a:xfrm>
                    <a:prstGeom prst="rect">
                      <a:avLst/>
                    </a:prstGeom>
                  </pic:spPr>
                </pic:pic>
              </a:graphicData>
            </a:graphic>
          </wp:inline>
        </w:drawing>
      </w:r>
    </w:p>
    <w:p w14:paraId="774D9BE6" w14:textId="77777777" w:rsidR="009A4662" w:rsidRDefault="00000000">
      <w:pPr>
        <w:spacing w:after="200"/>
        <w:jc w:val="center"/>
      </w:pPr>
      <w:r>
        <w:rPr>
          <w:i/>
          <w:color w:val="77879A"/>
          <w:sz w:val="17"/>
        </w:rPr>
        <w:t>Figure 15  ·  Churn by marital status — Single customers churn at 26.7% vs Married 11.5%.</w:t>
      </w:r>
    </w:p>
    <w:p w14:paraId="7762D105" w14:textId="77777777" w:rsidR="009A4662" w:rsidRDefault="00000000">
      <w:pPr>
        <w:jc w:val="center"/>
      </w:pPr>
      <w:r>
        <w:rPr>
          <w:noProof/>
        </w:rPr>
        <w:lastRenderedPageBreak/>
        <w:drawing>
          <wp:inline distT="0" distB="0" distL="0" distR="0" wp14:anchorId="059C42A7" wp14:editId="56B5C287">
            <wp:extent cx="5120640" cy="3193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der_marital_churn_heatmap.png"/>
                    <pic:cNvPicPr/>
                  </pic:nvPicPr>
                  <pic:blipFill>
                    <a:blip r:embed="rId24"/>
                    <a:stretch>
                      <a:fillRect/>
                    </a:stretch>
                  </pic:blipFill>
                  <pic:spPr>
                    <a:xfrm>
                      <a:off x="0" y="0"/>
                      <a:ext cx="5120640" cy="3193900"/>
                    </a:xfrm>
                    <a:prstGeom prst="rect">
                      <a:avLst/>
                    </a:prstGeom>
                  </pic:spPr>
                </pic:pic>
              </a:graphicData>
            </a:graphic>
          </wp:inline>
        </w:drawing>
      </w:r>
    </w:p>
    <w:p w14:paraId="24F9A06F" w14:textId="77777777" w:rsidR="009A4662" w:rsidRDefault="00000000">
      <w:pPr>
        <w:spacing w:after="200"/>
        <w:jc w:val="center"/>
      </w:pPr>
      <w:r>
        <w:rPr>
          <w:i/>
          <w:color w:val="77879A"/>
          <w:sz w:val="17"/>
        </w:rPr>
        <w:t>Figure 16  ·  Churn heatmap — gender × marital status; Single males show the highest observed rate (28.1%).</w:t>
      </w:r>
    </w:p>
    <w:p w14:paraId="178C804B" w14:textId="77777777" w:rsidR="009A4662" w:rsidRDefault="00000000">
      <w:pPr>
        <w:jc w:val="center"/>
      </w:pPr>
      <w:r>
        <w:rPr>
          <w:noProof/>
        </w:rPr>
        <w:drawing>
          <wp:inline distT="0" distB="0" distL="0" distR="0" wp14:anchorId="15F4A849" wp14:editId="65E8B9EE">
            <wp:extent cx="5852160" cy="217909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by_citytier.png"/>
                    <pic:cNvPicPr/>
                  </pic:nvPicPr>
                  <pic:blipFill>
                    <a:blip r:embed="rId25"/>
                    <a:stretch>
                      <a:fillRect/>
                    </a:stretch>
                  </pic:blipFill>
                  <pic:spPr>
                    <a:xfrm>
                      <a:off x="0" y="0"/>
                      <a:ext cx="5852160" cy="2179094"/>
                    </a:xfrm>
                    <a:prstGeom prst="rect">
                      <a:avLst/>
                    </a:prstGeom>
                  </pic:spPr>
                </pic:pic>
              </a:graphicData>
            </a:graphic>
          </wp:inline>
        </w:drawing>
      </w:r>
    </w:p>
    <w:p w14:paraId="0422790B" w14:textId="77777777" w:rsidR="009A4662" w:rsidRDefault="00000000">
      <w:pPr>
        <w:spacing w:after="200"/>
        <w:jc w:val="center"/>
      </w:pPr>
      <w:r>
        <w:rPr>
          <w:i/>
          <w:color w:val="77879A"/>
          <w:sz w:val="17"/>
        </w:rPr>
        <w:t>Figure 17  ·  Churn by city tier — Tier 3 (21.4%) and Tier 2 (19.8%) exceed Tier 1 (14.5%).</w:t>
      </w:r>
    </w:p>
    <w:p w14:paraId="398A4C86" w14:textId="77777777" w:rsidR="009A4662" w:rsidRDefault="00000000">
      <w:pPr>
        <w:pStyle w:val="Heading2"/>
      </w:pPr>
      <w:r>
        <w:t>8.5 Behavioral distributions (churned vs retained)</w:t>
      </w:r>
    </w:p>
    <w:p w14:paraId="09A68CFF" w14:textId="77777777" w:rsidR="009A4662" w:rsidRDefault="00000000">
      <w:r>
        <w:t>Churned customers show markedly shorter tenure (median ≈1 month vs ≈10 months retained) and a lower customer-value proxy distribution, consistent with the lifecycle finding.</w:t>
      </w:r>
    </w:p>
    <w:p w14:paraId="557BBDB8" w14:textId="77777777" w:rsidR="009A4662" w:rsidRDefault="00000000">
      <w:pPr>
        <w:jc w:val="center"/>
      </w:pPr>
      <w:r>
        <w:rPr>
          <w:noProof/>
        </w:rPr>
        <w:lastRenderedPageBreak/>
        <w:drawing>
          <wp:inline distT="0" distB="0" distL="0" distR="0" wp14:anchorId="2C31CF41" wp14:editId="0DE8CAC1">
            <wp:extent cx="5303520" cy="314871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tenure_churn.png"/>
                    <pic:cNvPicPr/>
                  </pic:nvPicPr>
                  <pic:blipFill>
                    <a:blip r:embed="rId26"/>
                    <a:stretch>
                      <a:fillRect/>
                    </a:stretch>
                  </pic:blipFill>
                  <pic:spPr>
                    <a:xfrm>
                      <a:off x="0" y="0"/>
                      <a:ext cx="5303520" cy="3148712"/>
                    </a:xfrm>
                    <a:prstGeom prst="rect">
                      <a:avLst/>
                    </a:prstGeom>
                  </pic:spPr>
                </pic:pic>
              </a:graphicData>
            </a:graphic>
          </wp:inline>
        </w:drawing>
      </w:r>
    </w:p>
    <w:p w14:paraId="072A26B2" w14:textId="77777777" w:rsidR="009A4662" w:rsidRDefault="00000000">
      <w:pPr>
        <w:spacing w:after="200"/>
        <w:jc w:val="center"/>
      </w:pPr>
      <w:r>
        <w:rPr>
          <w:i/>
          <w:color w:val="77879A"/>
          <w:sz w:val="17"/>
        </w:rPr>
        <w:t>Figure 18  ·  Tenure distribution — churned vs retained.</w:t>
      </w:r>
    </w:p>
    <w:p w14:paraId="771B2EE3" w14:textId="77777777" w:rsidR="009A4662" w:rsidRDefault="00000000">
      <w:pPr>
        <w:jc w:val="center"/>
      </w:pPr>
      <w:r>
        <w:rPr>
          <w:noProof/>
        </w:rPr>
        <w:drawing>
          <wp:inline distT="0" distB="0" distL="0" distR="0" wp14:anchorId="36B7154C" wp14:editId="28B8CD84">
            <wp:extent cx="5303520" cy="314871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cashbackamount_churn.png"/>
                    <pic:cNvPicPr/>
                  </pic:nvPicPr>
                  <pic:blipFill>
                    <a:blip r:embed="rId27"/>
                    <a:stretch>
                      <a:fillRect/>
                    </a:stretch>
                  </pic:blipFill>
                  <pic:spPr>
                    <a:xfrm>
                      <a:off x="0" y="0"/>
                      <a:ext cx="5303520" cy="3148712"/>
                    </a:xfrm>
                    <a:prstGeom prst="rect">
                      <a:avLst/>
                    </a:prstGeom>
                  </pic:spPr>
                </pic:pic>
              </a:graphicData>
            </a:graphic>
          </wp:inline>
        </w:drawing>
      </w:r>
    </w:p>
    <w:p w14:paraId="68E2AB74" w14:textId="77777777" w:rsidR="009A4662" w:rsidRDefault="00000000">
      <w:pPr>
        <w:spacing w:after="200"/>
        <w:jc w:val="center"/>
      </w:pPr>
      <w:r>
        <w:rPr>
          <w:i/>
          <w:color w:val="77879A"/>
          <w:sz w:val="17"/>
        </w:rPr>
        <w:t>Figure 19  ·  Customer-value proxy (CashbackAmount) — churned vs retained.</w:t>
      </w:r>
    </w:p>
    <w:p w14:paraId="5AD87E0B" w14:textId="77777777" w:rsidR="009A4662" w:rsidRDefault="00000000">
      <w:pPr>
        <w:pStyle w:val="Heading2"/>
      </w:pPr>
      <w:r>
        <w:t>8.6 Numerical association summary</w:t>
      </w:r>
    </w:p>
    <w:tbl>
      <w:tblPr>
        <w:tblStyle w:val="TableGrid"/>
        <w:tblW w:w="0" w:type="auto"/>
        <w:jc w:val="center"/>
        <w:tblLook w:val="04A0" w:firstRow="1" w:lastRow="0" w:firstColumn="1" w:lastColumn="0" w:noHBand="0" w:noVBand="1"/>
      </w:tblPr>
      <w:tblGrid>
        <w:gridCol w:w="3370"/>
        <w:gridCol w:w="2337"/>
        <w:gridCol w:w="3921"/>
      </w:tblGrid>
      <w:tr w:rsidR="009A4662" w14:paraId="5A7B4B4E" w14:textId="77777777">
        <w:trPr>
          <w:jc w:val="center"/>
        </w:trPr>
        <w:tc>
          <w:tcPr>
            <w:tcW w:w="3456" w:type="dxa"/>
            <w:shd w:val="clear" w:color="auto" w:fill="0E2A47"/>
          </w:tcPr>
          <w:p w14:paraId="3E686455" w14:textId="77777777" w:rsidR="009A4662" w:rsidRDefault="00000000">
            <w:r>
              <w:rPr>
                <w:b/>
                <w:color w:val="FFFFFF"/>
                <w:sz w:val="19"/>
              </w:rPr>
              <w:t>Variable</w:t>
            </w:r>
          </w:p>
        </w:tc>
        <w:tc>
          <w:tcPr>
            <w:tcW w:w="2448" w:type="dxa"/>
            <w:shd w:val="clear" w:color="auto" w:fill="0E2A47"/>
          </w:tcPr>
          <w:p w14:paraId="45DDDFC7" w14:textId="77777777" w:rsidR="009A4662" w:rsidRDefault="00000000">
            <w:r>
              <w:rPr>
                <w:b/>
                <w:color w:val="FFFFFF"/>
                <w:sz w:val="19"/>
              </w:rPr>
              <w:t>Correlation with churn</w:t>
            </w:r>
          </w:p>
        </w:tc>
        <w:tc>
          <w:tcPr>
            <w:tcW w:w="4176" w:type="dxa"/>
            <w:shd w:val="clear" w:color="auto" w:fill="0E2A47"/>
          </w:tcPr>
          <w:p w14:paraId="6BDEB965" w14:textId="77777777" w:rsidR="009A4662" w:rsidRDefault="00000000">
            <w:r>
              <w:rPr>
                <w:b/>
                <w:color w:val="FFFFFF"/>
                <w:sz w:val="19"/>
              </w:rPr>
              <w:t>Direction</w:t>
            </w:r>
          </w:p>
        </w:tc>
      </w:tr>
      <w:tr w:rsidR="009A4662" w14:paraId="30432DDE" w14:textId="77777777">
        <w:trPr>
          <w:jc w:val="center"/>
        </w:trPr>
        <w:tc>
          <w:tcPr>
            <w:tcW w:w="3456" w:type="dxa"/>
          </w:tcPr>
          <w:p w14:paraId="4704D3AA" w14:textId="77777777" w:rsidR="009A4662" w:rsidRDefault="00000000">
            <w:r>
              <w:rPr>
                <w:b/>
                <w:color w:val="0E2A47"/>
                <w:sz w:val="19"/>
              </w:rPr>
              <w:t>Tenure</w:t>
            </w:r>
          </w:p>
        </w:tc>
        <w:tc>
          <w:tcPr>
            <w:tcW w:w="2448" w:type="dxa"/>
          </w:tcPr>
          <w:p w14:paraId="1F3902EB" w14:textId="77777777" w:rsidR="009A4662" w:rsidRDefault="00000000">
            <w:r>
              <w:rPr>
                <w:sz w:val="19"/>
              </w:rPr>
              <w:t>−0.34</w:t>
            </w:r>
          </w:p>
        </w:tc>
        <w:tc>
          <w:tcPr>
            <w:tcW w:w="4176" w:type="dxa"/>
          </w:tcPr>
          <w:p w14:paraId="6931A2E6" w14:textId="77777777" w:rsidR="009A4662" w:rsidRDefault="00000000">
            <w:r>
              <w:rPr>
                <w:sz w:val="19"/>
              </w:rPr>
              <w:t>Longer tenure, lower churn (strongest signal)</w:t>
            </w:r>
          </w:p>
        </w:tc>
      </w:tr>
      <w:tr w:rsidR="009A4662" w14:paraId="7F7C2254" w14:textId="77777777">
        <w:trPr>
          <w:jc w:val="center"/>
        </w:trPr>
        <w:tc>
          <w:tcPr>
            <w:tcW w:w="3456" w:type="dxa"/>
            <w:shd w:val="clear" w:color="auto" w:fill="EDF3F9"/>
          </w:tcPr>
          <w:p w14:paraId="1C436F19" w14:textId="77777777" w:rsidR="009A4662" w:rsidRDefault="00000000">
            <w:r>
              <w:rPr>
                <w:b/>
                <w:color w:val="0E2A47"/>
                <w:sz w:val="19"/>
              </w:rPr>
              <w:t>DaySinceLastOrder</w:t>
            </w:r>
          </w:p>
        </w:tc>
        <w:tc>
          <w:tcPr>
            <w:tcW w:w="2448" w:type="dxa"/>
            <w:shd w:val="clear" w:color="auto" w:fill="EDF3F9"/>
          </w:tcPr>
          <w:p w14:paraId="6209D691" w14:textId="77777777" w:rsidR="009A4662" w:rsidRDefault="00000000">
            <w:r>
              <w:rPr>
                <w:sz w:val="19"/>
              </w:rPr>
              <w:t>−0.16</w:t>
            </w:r>
          </w:p>
        </w:tc>
        <w:tc>
          <w:tcPr>
            <w:tcW w:w="4176" w:type="dxa"/>
            <w:shd w:val="clear" w:color="auto" w:fill="EDF3F9"/>
          </w:tcPr>
          <w:p w14:paraId="2E795344" w14:textId="77777777" w:rsidR="009A4662" w:rsidRDefault="00000000">
            <w:r>
              <w:rPr>
                <w:sz w:val="19"/>
              </w:rPr>
              <w:t>Lower recency association among churned</w:t>
            </w:r>
          </w:p>
        </w:tc>
      </w:tr>
      <w:tr w:rsidR="009A4662" w14:paraId="58435029" w14:textId="77777777">
        <w:trPr>
          <w:jc w:val="center"/>
        </w:trPr>
        <w:tc>
          <w:tcPr>
            <w:tcW w:w="3456" w:type="dxa"/>
          </w:tcPr>
          <w:p w14:paraId="583DED6C" w14:textId="77777777" w:rsidR="009A4662" w:rsidRDefault="00000000">
            <w:r>
              <w:rPr>
                <w:b/>
                <w:color w:val="0E2A47"/>
                <w:sz w:val="19"/>
              </w:rPr>
              <w:t>CashbackAmount</w:t>
            </w:r>
          </w:p>
        </w:tc>
        <w:tc>
          <w:tcPr>
            <w:tcW w:w="2448" w:type="dxa"/>
          </w:tcPr>
          <w:p w14:paraId="5ACA1A48" w14:textId="77777777" w:rsidR="009A4662" w:rsidRDefault="00000000">
            <w:r>
              <w:rPr>
                <w:sz w:val="19"/>
              </w:rPr>
              <w:t>−0.15</w:t>
            </w:r>
          </w:p>
        </w:tc>
        <w:tc>
          <w:tcPr>
            <w:tcW w:w="4176" w:type="dxa"/>
          </w:tcPr>
          <w:p w14:paraId="165F1207" w14:textId="77777777" w:rsidR="009A4662" w:rsidRDefault="00000000">
            <w:r>
              <w:rPr>
                <w:sz w:val="19"/>
              </w:rPr>
              <w:t>Lower value proxy among churned</w:t>
            </w:r>
          </w:p>
        </w:tc>
      </w:tr>
      <w:tr w:rsidR="009A4662" w14:paraId="1CB0BC31" w14:textId="77777777">
        <w:trPr>
          <w:jc w:val="center"/>
        </w:trPr>
        <w:tc>
          <w:tcPr>
            <w:tcW w:w="3456" w:type="dxa"/>
            <w:shd w:val="clear" w:color="auto" w:fill="EDF3F9"/>
          </w:tcPr>
          <w:p w14:paraId="296728E3" w14:textId="77777777" w:rsidR="009A4662" w:rsidRDefault="00000000">
            <w:r>
              <w:rPr>
                <w:b/>
                <w:color w:val="0E2A47"/>
                <w:sz w:val="19"/>
              </w:rPr>
              <w:t>NumberOfDeviceRegistered</w:t>
            </w:r>
          </w:p>
        </w:tc>
        <w:tc>
          <w:tcPr>
            <w:tcW w:w="2448" w:type="dxa"/>
            <w:shd w:val="clear" w:color="auto" w:fill="EDF3F9"/>
          </w:tcPr>
          <w:p w14:paraId="759846D5" w14:textId="77777777" w:rsidR="009A4662" w:rsidRDefault="00000000">
            <w:r>
              <w:rPr>
                <w:sz w:val="19"/>
              </w:rPr>
              <w:t>+0.11</w:t>
            </w:r>
          </w:p>
        </w:tc>
        <w:tc>
          <w:tcPr>
            <w:tcW w:w="4176" w:type="dxa"/>
            <w:shd w:val="clear" w:color="auto" w:fill="EDF3F9"/>
          </w:tcPr>
          <w:p w14:paraId="6DE24652" w14:textId="77777777" w:rsidR="009A4662" w:rsidRDefault="00000000">
            <w:r>
              <w:rPr>
                <w:sz w:val="19"/>
              </w:rPr>
              <w:t>More devices associated with churn</w:t>
            </w:r>
          </w:p>
        </w:tc>
      </w:tr>
      <w:tr w:rsidR="009A4662" w14:paraId="6BDD23EE" w14:textId="77777777">
        <w:trPr>
          <w:jc w:val="center"/>
        </w:trPr>
        <w:tc>
          <w:tcPr>
            <w:tcW w:w="3456" w:type="dxa"/>
          </w:tcPr>
          <w:p w14:paraId="433055C7" w14:textId="77777777" w:rsidR="009A4662" w:rsidRDefault="00000000">
            <w:r>
              <w:rPr>
                <w:b/>
                <w:color w:val="0E2A47"/>
                <w:sz w:val="19"/>
              </w:rPr>
              <w:t>SatisfactionScore</w:t>
            </w:r>
          </w:p>
        </w:tc>
        <w:tc>
          <w:tcPr>
            <w:tcW w:w="2448" w:type="dxa"/>
          </w:tcPr>
          <w:p w14:paraId="3057930D" w14:textId="77777777" w:rsidR="009A4662" w:rsidRDefault="00000000">
            <w:r>
              <w:rPr>
                <w:sz w:val="19"/>
              </w:rPr>
              <w:t>+0.11</w:t>
            </w:r>
          </w:p>
        </w:tc>
        <w:tc>
          <w:tcPr>
            <w:tcW w:w="4176" w:type="dxa"/>
          </w:tcPr>
          <w:p w14:paraId="2AB138CF" w14:textId="77777777" w:rsidR="009A4662" w:rsidRDefault="00000000">
            <w:r>
              <w:rPr>
                <w:sz w:val="19"/>
              </w:rPr>
              <w:t>Non-monotonic; see §7.2</w:t>
            </w:r>
          </w:p>
        </w:tc>
      </w:tr>
    </w:tbl>
    <w:p w14:paraId="1DB84D49" w14:textId="77777777" w:rsidR="009A4662" w:rsidRDefault="009A4662">
      <w:pPr>
        <w:spacing w:after="40"/>
      </w:pPr>
    </w:p>
    <w:p w14:paraId="4279ABAE" w14:textId="77777777" w:rsidR="009A4662" w:rsidRDefault="00000000">
      <w:pPr>
        <w:jc w:val="center"/>
      </w:pPr>
      <w:r>
        <w:rPr>
          <w:noProof/>
        </w:rPr>
        <w:drawing>
          <wp:inline distT="0" distB="0" distL="0" distR="0" wp14:anchorId="54B110AD" wp14:editId="27D9A0E1">
            <wp:extent cx="5486400" cy="492375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matrix_churn.png"/>
                    <pic:cNvPicPr/>
                  </pic:nvPicPr>
                  <pic:blipFill>
                    <a:blip r:embed="rId28"/>
                    <a:stretch>
                      <a:fillRect/>
                    </a:stretch>
                  </pic:blipFill>
                  <pic:spPr>
                    <a:xfrm>
                      <a:off x="0" y="0"/>
                      <a:ext cx="5486400" cy="4923756"/>
                    </a:xfrm>
                    <a:prstGeom prst="rect">
                      <a:avLst/>
                    </a:prstGeom>
                  </pic:spPr>
                </pic:pic>
              </a:graphicData>
            </a:graphic>
          </wp:inline>
        </w:drawing>
      </w:r>
    </w:p>
    <w:p w14:paraId="50BC1AF6" w14:textId="77777777" w:rsidR="009A4662" w:rsidRDefault="00000000">
      <w:pPr>
        <w:spacing w:after="200"/>
        <w:jc w:val="center"/>
      </w:pPr>
      <w:r>
        <w:rPr>
          <w:i/>
          <w:color w:val="77879A"/>
          <w:sz w:val="17"/>
        </w:rPr>
        <w:t>Figure 20  ·  Correlation matrix of customer churn variables.</w:t>
      </w:r>
    </w:p>
    <w:p w14:paraId="5B6326A8" w14:textId="77777777" w:rsidR="009A4662" w:rsidRDefault="00000000">
      <w:r>
        <w:br w:type="page"/>
      </w:r>
    </w:p>
    <w:p w14:paraId="05CEEC54" w14:textId="77777777" w:rsidR="009A4662" w:rsidRDefault="00000000">
      <w:pPr>
        <w:pStyle w:val="Heading1"/>
        <w:pBdr>
          <w:bottom w:val="single" w:sz="10" w:space="5" w:color="00A8CC"/>
        </w:pBdr>
      </w:pPr>
      <w:r>
        <w:lastRenderedPageBreak/>
        <w:t>9. Customer Value &amp; Risk Segmentation</w:t>
      </w:r>
    </w:p>
    <w:p w14:paraId="6E4CF834" w14:textId="77777777" w:rsidR="009A4662" w:rsidRDefault="00000000">
      <w:pPr>
        <w:pStyle w:val="Heading2"/>
      </w:pPr>
      <w:r>
        <w:t>9.1 Value quartiles (NTILE)</w:t>
      </w:r>
    </w:p>
    <w:p w14:paraId="19DACABE" w14:textId="77777777" w:rsidR="009A4662" w:rsidRDefault="00000000">
      <w:r>
        <w:t>Ranking customers into quartiles on the value proxy shows an inverse risk–value relationship:</w:t>
      </w:r>
    </w:p>
    <w:tbl>
      <w:tblPr>
        <w:tblStyle w:val="TableGrid"/>
        <w:tblW w:w="0" w:type="auto"/>
        <w:jc w:val="center"/>
        <w:tblLook w:val="04A0" w:firstRow="1" w:lastRow="0" w:firstColumn="1" w:lastColumn="0" w:noHBand="0" w:noVBand="1"/>
      </w:tblPr>
      <w:tblGrid>
        <w:gridCol w:w="1979"/>
        <w:gridCol w:w="1631"/>
        <w:gridCol w:w="1592"/>
        <w:gridCol w:w="1956"/>
        <w:gridCol w:w="2470"/>
      </w:tblGrid>
      <w:tr w:rsidR="009A4662" w14:paraId="7C3BE99B" w14:textId="77777777">
        <w:trPr>
          <w:jc w:val="center"/>
        </w:trPr>
        <w:tc>
          <w:tcPr>
            <w:tcW w:w="2160" w:type="dxa"/>
            <w:shd w:val="clear" w:color="auto" w:fill="0E2A47"/>
          </w:tcPr>
          <w:p w14:paraId="79A0AB91" w14:textId="77777777" w:rsidR="009A4662" w:rsidRDefault="00000000">
            <w:r>
              <w:rPr>
                <w:b/>
                <w:color w:val="FFFFFF"/>
                <w:sz w:val="19"/>
              </w:rPr>
              <w:t>Value quartile</w:t>
            </w:r>
          </w:p>
        </w:tc>
        <w:tc>
          <w:tcPr>
            <w:tcW w:w="1728" w:type="dxa"/>
            <w:shd w:val="clear" w:color="auto" w:fill="0E2A47"/>
          </w:tcPr>
          <w:p w14:paraId="23E2E3FF" w14:textId="77777777" w:rsidR="009A4662" w:rsidRDefault="00000000">
            <w:r>
              <w:rPr>
                <w:b/>
                <w:color w:val="FFFFFF"/>
                <w:sz w:val="19"/>
              </w:rPr>
              <w:t>Customers</w:t>
            </w:r>
          </w:p>
        </w:tc>
        <w:tc>
          <w:tcPr>
            <w:tcW w:w="1728" w:type="dxa"/>
            <w:shd w:val="clear" w:color="auto" w:fill="0E2A47"/>
          </w:tcPr>
          <w:p w14:paraId="52516D1A" w14:textId="77777777" w:rsidR="009A4662" w:rsidRDefault="00000000">
            <w:r>
              <w:rPr>
                <w:b/>
                <w:color w:val="FFFFFF"/>
                <w:sz w:val="19"/>
              </w:rPr>
              <w:t>Churn rate</w:t>
            </w:r>
          </w:p>
        </w:tc>
        <w:tc>
          <w:tcPr>
            <w:tcW w:w="2160" w:type="dxa"/>
            <w:shd w:val="clear" w:color="auto" w:fill="0E2A47"/>
          </w:tcPr>
          <w:p w14:paraId="18D35284" w14:textId="77777777" w:rsidR="009A4662" w:rsidRDefault="00000000">
            <w:r>
              <w:rPr>
                <w:b/>
                <w:color w:val="FFFFFF"/>
                <w:sz w:val="19"/>
              </w:rPr>
              <w:t>Avg value proxy</w:t>
            </w:r>
          </w:p>
        </w:tc>
        <w:tc>
          <w:tcPr>
            <w:tcW w:w="2736" w:type="dxa"/>
            <w:shd w:val="clear" w:color="auto" w:fill="0E2A47"/>
          </w:tcPr>
          <w:p w14:paraId="7E116425" w14:textId="77777777" w:rsidR="009A4662" w:rsidRDefault="00000000">
            <w:r>
              <w:rPr>
                <w:b/>
                <w:color w:val="FFFFFF"/>
                <w:sz w:val="19"/>
              </w:rPr>
              <w:t>Change vs previous quartile</w:t>
            </w:r>
          </w:p>
        </w:tc>
      </w:tr>
      <w:tr w:rsidR="009A4662" w14:paraId="75106F0D" w14:textId="77777777">
        <w:trPr>
          <w:jc w:val="center"/>
        </w:trPr>
        <w:tc>
          <w:tcPr>
            <w:tcW w:w="2160" w:type="dxa"/>
          </w:tcPr>
          <w:p w14:paraId="217DDD6A" w14:textId="77777777" w:rsidR="009A4662" w:rsidRDefault="00000000">
            <w:r>
              <w:rPr>
                <w:b/>
                <w:color w:val="0E2A47"/>
                <w:sz w:val="19"/>
              </w:rPr>
              <w:t>Q1 (lowest)</w:t>
            </w:r>
          </w:p>
        </w:tc>
        <w:tc>
          <w:tcPr>
            <w:tcW w:w="1728" w:type="dxa"/>
          </w:tcPr>
          <w:p w14:paraId="74A3F9F4" w14:textId="77777777" w:rsidR="009A4662" w:rsidRDefault="00000000">
            <w:r>
              <w:rPr>
                <w:sz w:val="19"/>
              </w:rPr>
              <w:t>1,408</w:t>
            </w:r>
          </w:p>
        </w:tc>
        <w:tc>
          <w:tcPr>
            <w:tcW w:w="1728" w:type="dxa"/>
          </w:tcPr>
          <w:p w14:paraId="51B90CA9" w14:textId="77777777" w:rsidR="009A4662" w:rsidRDefault="00000000">
            <w:r>
              <w:rPr>
                <w:sz w:val="19"/>
              </w:rPr>
              <w:t>25.07%</w:t>
            </w:r>
          </w:p>
        </w:tc>
        <w:tc>
          <w:tcPr>
            <w:tcW w:w="2160" w:type="dxa"/>
          </w:tcPr>
          <w:p w14:paraId="43279586" w14:textId="77777777" w:rsidR="009A4662" w:rsidRDefault="00000000">
            <w:r>
              <w:rPr>
                <w:sz w:val="19"/>
              </w:rPr>
              <w:t>130.09</w:t>
            </w:r>
          </w:p>
        </w:tc>
        <w:tc>
          <w:tcPr>
            <w:tcW w:w="2736" w:type="dxa"/>
          </w:tcPr>
          <w:p w14:paraId="609FFF42" w14:textId="77777777" w:rsidR="009A4662" w:rsidRDefault="00000000">
            <w:r>
              <w:rPr>
                <w:sz w:val="19"/>
              </w:rPr>
              <w:t>—</w:t>
            </w:r>
          </w:p>
        </w:tc>
      </w:tr>
      <w:tr w:rsidR="009A4662" w14:paraId="1D3CB10C" w14:textId="77777777">
        <w:trPr>
          <w:jc w:val="center"/>
        </w:trPr>
        <w:tc>
          <w:tcPr>
            <w:tcW w:w="2160" w:type="dxa"/>
            <w:shd w:val="clear" w:color="auto" w:fill="EDF3F9"/>
          </w:tcPr>
          <w:p w14:paraId="12812B07" w14:textId="77777777" w:rsidR="009A4662" w:rsidRDefault="00000000">
            <w:r>
              <w:rPr>
                <w:b/>
                <w:color w:val="0E2A47"/>
                <w:sz w:val="19"/>
              </w:rPr>
              <w:t>Q2</w:t>
            </w:r>
          </w:p>
        </w:tc>
        <w:tc>
          <w:tcPr>
            <w:tcW w:w="1728" w:type="dxa"/>
            <w:shd w:val="clear" w:color="auto" w:fill="EDF3F9"/>
          </w:tcPr>
          <w:p w14:paraId="005C7534" w14:textId="77777777" w:rsidR="009A4662" w:rsidRDefault="00000000">
            <w:r>
              <w:rPr>
                <w:sz w:val="19"/>
              </w:rPr>
              <w:t>1,408</w:t>
            </w:r>
          </w:p>
        </w:tc>
        <w:tc>
          <w:tcPr>
            <w:tcW w:w="1728" w:type="dxa"/>
            <w:shd w:val="clear" w:color="auto" w:fill="EDF3F9"/>
          </w:tcPr>
          <w:p w14:paraId="7608EE34" w14:textId="77777777" w:rsidR="009A4662" w:rsidRDefault="00000000">
            <w:r>
              <w:rPr>
                <w:sz w:val="19"/>
              </w:rPr>
              <w:t>19.82%</w:t>
            </w:r>
          </w:p>
        </w:tc>
        <w:tc>
          <w:tcPr>
            <w:tcW w:w="2160" w:type="dxa"/>
            <w:shd w:val="clear" w:color="auto" w:fill="EDF3F9"/>
          </w:tcPr>
          <w:p w14:paraId="4FA74870" w14:textId="77777777" w:rsidR="009A4662" w:rsidRDefault="00000000">
            <w:r>
              <w:rPr>
                <w:sz w:val="19"/>
              </w:rPr>
              <w:t>153.00</w:t>
            </w:r>
          </w:p>
        </w:tc>
        <w:tc>
          <w:tcPr>
            <w:tcW w:w="2736" w:type="dxa"/>
            <w:shd w:val="clear" w:color="auto" w:fill="EDF3F9"/>
          </w:tcPr>
          <w:p w14:paraId="5F92C92D" w14:textId="77777777" w:rsidR="009A4662" w:rsidRDefault="00000000">
            <w:r>
              <w:rPr>
                <w:sz w:val="19"/>
              </w:rPr>
              <w:t>−5.25 pp</w:t>
            </w:r>
          </w:p>
        </w:tc>
      </w:tr>
      <w:tr w:rsidR="009A4662" w14:paraId="18E04AF1" w14:textId="77777777">
        <w:trPr>
          <w:jc w:val="center"/>
        </w:trPr>
        <w:tc>
          <w:tcPr>
            <w:tcW w:w="2160" w:type="dxa"/>
          </w:tcPr>
          <w:p w14:paraId="3C60C9D7" w14:textId="77777777" w:rsidR="009A4662" w:rsidRDefault="00000000">
            <w:r>
              <w:rPr>
                <w:b/>
                <w:color w:val="0E2A47"/>
                <w:sz w:val="19"/>
              </w:rPr>
              <w:t>Q3</w:t>
            </w:r>
          </w:p>
        </w:tc>
        <w:tc>
          <w:tcPr>
            <w:tcW w:w="1728" w:type="dxa"/>
          </w:tcPr>
          <w:p w14:paraId="682C0496" w14:textId="77777777" w:rsidR="009A4662" w:rsidRDefault="00000000">
            <w:r>
              <w:rPr>
                <w:sz w:val="19"/>
              </w:rPr>
              <w:t>1,407</w:t>
            </w:r>
          </w:p>
        </w:tc>
        <w:tc>
          <w:tcPr>
            <w:tcW w:w="1728" w:type="dxa"/>
          </w:tcPr>
          <w:p w14:paraId="7BB8D344" w14:textId="77777777" w:rsidR="009A4662" w:rsidRDefault="00000000">
            <w:r>
              <w:rPr>
                <w:sz w:val="19"/>
              </w:rPr>
              <w:t>11.51%</w:t>
            </w:r>
          </w:p>
        </w:tc>
        <w:tc>
          <w:tcPr>
            <w:tcW w:w="2160" w:type="dxa"/>
          </w:tcPr>
          <w:p w14:paraId="7C8DE3AA" w14:textId="77777777" w:rsidR="009A4662" w:rsidRDefault="00000000">
            <w:r>
              <w:rPr>
                <w:sz w:val="19"/>
              </w:rPr>
              <w:t>177.22</w:t>
            </w:r>
          </w:p>
        </w:tc>
        <w:tc>
          <w:tcPr>
            <w:tcW w:w="2736" w:type="dxa"/>
          </w:tcPr>
          <w:p w14:paraId="6A63FCA6" w14:textId="77777777" w:rsidR="009A4662" w:rsidRDefault="00000000">
            <w:r>
              <w:rPr>
                <w:sz w:val="19"/>
              </w:rPr>
              <w:t>−8.31 pp</w:t>
            </w:r>
          </w:p>
        </w:tc>
      </w:tr>
      <w:tr w:rsidR="009A4662" w14:paraId="086D4BF3" w14:textId="77777777">
        <w:trPr>
          <w:jc w:val="center"/>
        </w:trPr>
        <w:tc>
          <w:tcPr>
            <w:tcW w:w="2160" w:type="dxa"/>
            <w:shd w:val="clear" w:color="auto" w:fill="EDF3F9"/>
          </w:tcPr>
          <w:p w14:paraId="6FA7C2D5" w14:textId="77777777" w:rsidR="009A4662" w:rsidRDefault="00000000">
            <w:r>
              <w:rPr>
                <w:b/>
                <w:color w:val="0E2A47"/>
                <w:sz w:val="19"/>
              </w:rPr>
              <w:t>Q4 (highest)</w:t>
            </w:r>
          </w:p>
        </w:tc>
        <w:tc>
          <w:tcPr>
            <w:tcW w:w="1728" w:type="dxa"/>
            <w:shd w:val="clear" w:color="auto" w:fill="EDF3F9"/>
          </w:tcPr>
          <w:p w14:paraId="11EA69EE" w14:textId="77777777" w:rsidR="009A4662" w:rsidRDefault="00000000">
            <w:r>
              <w:rPr>
                <w:sz w:val="19"/>
              </w:rPr>
              <w:t>1,407</w:t>
            </w:r>
          </w:p>
        </w:tc>
        <w:tc>
          <w:tcPr>
            <w:tcW w:w="1728" w:type="dxa"/>
            <w:shd w:val="clear" w:color="auto" w:fill="EDF3F9"/>
          </w:tcPr>
          <w:p w14:paraId="68EE8F5F" w14:textId="77777777" w:rsidR="009A4662" w:rsidRDefault="00000000">
            <w:r>
              <w:rPr>
                <w:sz w:val="19"/>
              </w:rPr>
              <w:t>10.95%</w:t>
            </w:r>
          </w:p>
        </w:tc>
        <w:tc>
          <w:tcPr>
            <w:tcW w:w="2160" w:type="dxa"/>
            <w:shd w:val="clear" w:color="auto" w:fill="EDF3F9"/>
          </w:tcPr>
          <w:p w14:paraId="22FF2D65" w14:textId="77777777" w:rsidR="009A4662" w:rsidRDefault="00000000">
            <w:r>
              <w:rPr>
                <w:sz w:val="19"/>
              </w:rPr>
              <w:t>248.63</w:t>
            </w:r>
          </w:p>
        </w:tc>
        <w:tc>
          <w:tcPr>
            <w:tcW w:w="2736" w:type="dxa"/>
            <w:shd w:val="clear" w:color="auto" w:fill="EDF3F9"/>
          </w:tcPr>
          <w:p w14:paraId="327D352A" w14:textId="77777777" w:rsidR="009A4662" w:rsidRDefault="00000000">
            <w:r>
              <w:rPr>
                <w:sz w:val="19"/>
              </w:rPr>
              <w:t>−0.56 pp</w:t>
            </w:r>
          </w:p>
        </w:tc>
      </w:tr>
    </w:tbl>
    <w:p w14:paraId="64076BE3" w14:textId="77777777" w:rsidR="009A4662" w:rsidRDefault="009A4662">
      <w:pPr>
        <w:spacing w:after="40"/>
      </w:pPr>
    </w:p>
    <w:p w14:paraId="0BC2CFAA" w14:textId="77777777" w:rsidR="009A4662" w:rsidRDefault="00000000">
      <w:pPr>
        <w:pStyle w:val="Heading2"/>
      </w:pPr>
      <w:r>
        <w:t>9.2 RFM segmentation</w:t>
      </w:r>
    </w:p>
    <w:tbl>
      <w:tblPr>
        <w:tblStyle w:val="TableGrid"/>
        <w:tblW w:w="0" w:type="auto"/>
        <w:jc w:val="center"/>
        <w:tblLook w:val="04A0" w:firstRow="1" w:lastRow="0" w:firstColumn="1" w:lastColumn="0" w:noHBand="0" w:noVBand="1"/>
      </w:tblPr>
      <w:tblGrid>
        <w:gridCol w:w="3456"/>
        <w:gridCol w:w="2304"/>
        <w:gridCol w:w="3456"/>
      </w:tblGrid>
      <w:tr w:rsidR="009A4662" w14:paraId="0D295AC9" w14:textId="77777777">
        <w:trPr>
          <w:jc w:val="center"/>
        </w:trPr>
        <w:tc>
          <w:tcPr>
            <w:tcW w:w="3456" w:type="dxa"/>
            <w:shd w:val="clear" w:color="auto" w:fill="0E2A47"/>
          </w:tcPr>
          <w:p w14:paraId="4BA56B53" w14:textId="77777777" w:rsidR="009A4662" w:rsidRDefault="00000000">
            <w:r>
              <w:rPr>
                <w:b/>
                <w:color w:val="FFFFFF"/>
                <w:sz w:val="19"/>
              </w:rPr>
              <w:t>RFM segment</w:t>
            </w:r>
          </w:p>
        </w:tc>
        <w:tc>
          <w:tcPr>
            <w:tcW w:w="2304" w:type="dxa"/>
            <w:shd w:val="clear" w:color="auto" w:fill="0E2A47"/>
          </w:tcPr>
          <w:p w14:paraId="24131C55" w14:textId="77777777" w:rsidR="009A4662" w:rsidRDefault="00000000">
            <w:r>
              <w:rPr>
                <w:b/>
                <w:color w:val="FFFFFF"/>
                <w:sz w:val="19"/>
              </w:rPr>
              <w:t>Customers</w:t>
            </w:r>
          </w:p>
        </w:tc>
        <w:tc>
          <w:tcPr>
            <w:tcW w:w="3456" w:type="dxa"/>
            <w:shd w:val="clear" w:color="auto" w:fill="0E2A47"/>
          </w:tcPr>
          <w:p w14:paraId="0C329FCE" w14:textId="77777777" w:rsidR="009A4662" w:rsidRDefault="00000000">
            <w:r>
              <w:rPr>
                <w:b/>
                <w:color w:val="FFFFFF"/>
                <w:sz w:val="19"/>
              </w:rPr>
              <w:t>Observed churn rate</w:t>
            </w:r>
          </w:p>
        </w:tc>
      </w:tr>
      <w:tr w:rsidR="009A4662" w14:paraId="36438EF3" w14:textId="77777777">
        <w:trPr>
          <w:jc w:val="center"/>
        </w:trPr>
        <w:tc>
          <w:tcPr>
            <w:tcW w:w="3456" w:type="dxa"/>
          </w:tcPr>
          <w:p w14:paraId="068C864C" w14:textId="77777777" w:rsidR="009A4662" w:rsidRDefault="00000000">
            <w:r>
              <w:rPr>
                <w:b/>
                <w:color w:val="0E2A47"/>
                <w:sz w:val="19"/>
              </w:rPr>
              <w:t>Champions</w:t>
            </w:r>
          </w:p>
        </w:tc>
        <w:tc>
          <w:tcPr>
            <w:tcW w:w="2304" w:type="dxa"/>
          </w:tcPr>
          <w:p w14:paraId="5808CAB4" w14:textId="77777777" w:rsidR="009A4662" w:rsidRDefault="00000000">
            <w:r>
              <w:rPr>
                <w:sz w:val="19"/>
              </w:rPr>
              <w:t>0</w:t>
            </w:r>
          </w:p>
        </w:tc>
        <w:tc>
          <w:tcPr>
            <w:tcW w:w="3456" w:type="dxa"/>
          </w:tcPr>
          <w:p w14:paraId="645544F6" w14:textId="77777777" w:rsidR="009A4662" w:rsidRDefault="00000000">
            <w:r>
              <w:rPr>
                <w:sz w:val="19"/>
              </w:rPr>
              <w:t>— (no customers in this dataset)</w:t>
            </w:r>
          </w:p>
        </w:tc>
      </w:tr>
      <w:tr w:rsidR="009A4662" w14:paraId="605272FA" w14:textId="77777777">
        <w:trPr>
          <w:jc w:val="center"/>
        </w:trPr>
        <w:tc>
          <w:tcPr>
            <w:tcW w:w="3456" w:type="dxa"/>
            <w:shd w:val="clear" w:color="auto" w:fill="EDF3F9"/>
          </w:tcPr>
          <w:p w14:paraId="58CFC43C" w14:textId="77777777" w:rsidR="009A4662" w:rsidRDefault="00000000">
            <w:r>
              <w:rPr>
                <w:b/>
                <w:color w:val="0E2A47"/>
                <w:sz w:val="19"/>
              </w:rPr>
              <w:t>Loyal Customers</w:t>
            </w:r>
          </w:p>
        </w:tc>
        <w:tc>
          <w:tcPr>
            <w:tcW w:w="2304" w:type="dxa"/>
            <w:shd w:val="clear" w:color="auto" w:fill="EDF3F9"/>
          </w:tcPr>
          <w:p w14:paraId="35A82856" w14:textId="77777777" w:rsidR="009A4662" w:rsidRDefault="00000000">
            <w:r>
              <w:rPr>
                <w:sz w:val="19"/>
              </w:rPr>
              <w:t>284</w:t>
            </w:r>
          </w:p>
        </w:tc>
        <w:tc>
          <w:tcPr>
            <w:tcW w:w="3456" w:type="dxa"/>
            <w:shd w:val="clear" w:color="auto" w:fill="EDF3F9"/>
          </w:tcPr>
          <w:p w14:paraId="0F202C5C" w14:textId="77777777" w:rsidR="009A4662" w:rsidRDefault="00000000">
            <w:r>
              <w:rPr>
                <w:sz w:val="19"/>
              </w:rPr>
              <w:t>15.49%</w:t>
            </w:r>
          </w:p>
        </w:tc>
      </w:tr>
      <w:tr w:rsidR="009A4662" w14:paraId="066B1653" w14:textId="77777777">
        <w:trPr>
          <w:jc w:val="center"/>
        </w:trPr>
        <w:tc>
          <w:tcPr>
            <w:tcW w:w="3456" w:type="dxa"/>
          </w:tcPr>
          <w:p w14:paraId="5611CB71" w14:textId="77777777" w:rsidR="009A4662" w:rsidRDefault="00000000">
            <w:r>
              <w:rPr>
                <w:b/>
                <w:color w:val="0E2A47"/>
                <w:sz w:val="19"/>
              </w:rPr>
              <w:t>Potential Loyalists</w:t>
            </w:r>
          </w:p>
        </w:tc>
        <w:tc>
          <w:tcPr>
            <w:tcW w:w="2304" w:type="dxa"/>
          </w:tcPr>
          <w:p w14:paraId="03B69A1A" w14:textId="77777777" w:rsidR="009A4662" w:rsidRDefault="00000000">
            <w:r>
              <w:rPr>
                <w:sz w:val="19"/>
              </w:rPr>
              <w:t>2,018</w:t>
            </w:r>
          </w:p>
        </w:tc>
        <w:tc>
          <w:tcPr>
            <w:tcW w:w="3456" w:type="dxa"/>
          </w:tcPr>
          <w:p w14:paraId="0F428814" w14:textId="77777777" w:rsidR="009A4662" w:rsidRDefault="00000000">
            <w:r>
              <w:rPr>
                <w:sz w:val="19"/>
              </w:rPr>
              <w:t>16.40%</w:t>
            </w:r>
          </w:p>
        </w:tc>
      </w:tr>
      <w:tr w:rsidR="009A4662" w14:paraId="7535F30B" w14:textId="77777777">
        <w:trPr>
          <w:jc w:val="center"/>
        </w:trPr>
        <w:tc>
          <w:tcPr>
            <w:tcW w:w="3456" w:type="dxa"/>
            <w:shd w:val="clear" w:color="auto" w:fill="EDF3F9"/>
          </w:tcPr>
          <w:p w14:paraId="55442453" w14:textId="77777777" w:rsidR="009A4662" w:rsidRDefault="00000000">
            <w:r>
              <w:rPr>
                <w:b/>
                <w:color w:val="0E2A47"/>
                <w:sz w:val="19"/>
              </w:rPr>
              <w:t>At Risk</w:t>
            </w:r>
          </w:p>
        </w:tc>
        <w:tc>
          <w:tcPr>
            <w:tcW w:w="2304" w:type="dxa"/>
            <w:shd w:val="clear" w:color="auto" w:fill="EDF3F9"/>
          </w:tcPr>
          <w:p w14:paraId="32326A81" w14:textId="77777777" w:rsidR="009A4662" w:rsidRDefault="00000000">
            <w:r>
              <w:rPr>
                <w:sz w:val="19"/>
              </w:rPr>
              <w:t>2,723</w:t>
            </w:r>
          </w:p>
        </w:tc>
        <w:tc>
          <w:tcPr>
            <w:tcW w:w="3456" w:type="dxa"/>
            <w:shd w:val="clear" w:color="auto" w:fill="EDF3F9"/>
          </w:tcPr>
          <w:p w14:paraId="532CB559" w14:textId="77777777" w:rsidR="009A4662" w:rsidRDefault="00000000">
            <w:r>
              <w:rPr>
                <w:sz w:val="19"/>
              </w:rPr>
              <w:t>17.66%</w:t>
            </w:r>
          </w:p>
        </w:tc>
      </w:tr>
      <w:tr w:rsidR="009A4662" w14:paraId="74E259BB" w14:textId="77777777">
        <w:trPr>
          <w:jc w:val="center"/>
        </w:trPr>
        <w:tc>
          <w:tcPr>
            <w:tcW w:w="3456" w:type="dxa"/>
          </w:tcPr>
          <w:p w14:paraId="31B9D36D" w14:textId="77777777" w:rsidR="009A4662" w:rsidRDefault="00000000">
            <w:r>
              <w:rPr>
                <w:b/>
                <w:color w:val="0E2A47"/>
                <w:sz w:val="19"/>
              </w:rPr>
              <w:t>Lost Customers</w:t>
            </w:r>
          </w:p>
        </w:tc>
        <w:tc>
          <w:tcPr>
            <w:tcW w:w="2304" w:type="dxa"/>
          </w:tcPr>
          <w:p w14:paraId="40F0BBC3" w14:textId="77777777" w:rsidR="009A4662" w:rsidRDefault="00000000">
            <w:r>
              <w:rPr>
                <w:sz w:val="19"/>
              </w:rPr>
              <w:t>605</w:t>
            </w:r>
          </w:p>
        </w:tc>
        <w:tc>
          <w:tcPr>
            <w:tcW w:w="3456" w:type="dxa"/>
          </w:tcPr>
          <w:p w14:paraId="6E600666" w14:textId="77777777" w:rsidR="009A4662" w:rsidRDefault="00000000">
            <w:r>
              <w:rPr>
                <w:sz w:val="19"/>
              </w:rPr>
              <w:t>15.21%</w:t>
            </w:r>
          </w:p>
        </w:tc>
      </w:tr>
    </w:tbl>
    <w:p w14:paraId="2A9963AE" w14:textId="77777777" w:rsidR="009A4662" w:rsidRDefault="009A4662">
      <w:pPr>
        <w:spacing w:after="40"/>
      </w:pPr>
    </w:p>
    <w:p w14:paraId="5991D0B8" w14:textId="77777777" w:rsidR="009A4662" w:rsidRDefault="00000000">
      <w:pPr>
        <w:jc w:val="center"/>
      </w:pPr>
      <w:r>
        <w:rPr>
          <w:noProof/>
        </w:rPr>
        <w:drawing>
          <wp:inline distT="0" distB="0" distL="0" distR="0" wp14:anchorId="62FD9E05" wp14:editId="36A40E31">
            <wp:extent cx="5486400" cy="31718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m_segment_churn_rate.png"/>
                    <pic:cNvPicPr/>
                  </pic:nvPicPr>
                  <pic:blipFill>
                    <a:blip r:embed="rId29"/>
                    <a:stretch>
                      <a:fillRect/>
                    </a:stretch>
                  </pic:blipFill>
                  <pic:spPr>
                    <a:xfrm>
                      <a:off x="0" y="0"/>
                      <a:ext cx="5486400" cy="3171825"/>
                    </a:xfrm>
                    <a:prstGeom prst="rect">
                      <a:avLst/>
                    </a:prstGeom>
                  </pic:spPr>
                </pic:pic>
              </a:graphicData>
            </a:graphic>
          </wp:inline>
        </w:drawing>
      </w:r>
    </w:p>
    <w:p w14:paraId="4A00F9C3" w14:textId="77777777" w:rsidR="009A4662" w:rsidRDefault="00000000">
      <w:pPr>
        <w:spacing w:after="200"/>
        <w:jc w:val="center"/>
      </w:pPr>
      <w:r>
        <w:rPr>
          <w:i/>
          <w:color w:val="77879A"/>
          <w:sz w:val="17"/>
        </w:rPr>
        <w:t>Figure 21  ·  Churn rate by RFM segment (notebook output).</w:t>
      </w:r>
    </w:p>
    <w:p w14:paraId="227A7C4B" w14:textId="77777777" w:rsidR="009A4662" w:rsidRDefault="00000000">
      <w:pPr>
        <w:pStyle w:val="Heading2"/>
      </w:pPr>
      <w:r>
        <w:lastRenderedPageBreak/>
        <w:t>9.3 Risk-level segmentation</w:t>
      </w:r>
    </w:p>
    <w:tbl>
      <w:tblPr>
        <w:tblStyle w:val="TableGrid"/>
        <w:tblW w:w="0" w:type="auto"/>
        <w:jc w:val="center"/>
        <w:tblLook w:val="04A0" w:firstRow="1" w:lastRow="0" w:firstColumn="1" w:lastColumn="0" w:noHBand="0" w:noVBand="1"/>
      </w:tblPr>
      <w:tblGrid>
        <w:gridCol w:w="2448"/>
        <w:gridCol w:w="1872"/>
        <w:gridCol w:w="1872"/>
        <w:gridCol w:w="2880"/>
      </w:tblGrid>
      <w:tr w:rsidR="009A4662" w14:paraId="2DFB9F50" w14:textId="77777777">
        <w:trPr>
          <w:jc w:val="center"/>
        </w:trPr>
        <w:tc>
          <w:tcPr>
            <w:tcW w:w="2448" w:type="dxa"/>
            <w:shd w:val="clear" w:color="auto" w:fill="0E2A47"/>
          </w:tcPr>
          <w:p w14:paraId="4FFF038A" w14:textId="77777777" w:rsidR="009A4662" w:rsidRDefault="00000000">
            <w:r>
              <w:rPr>
                <w:b/>
                <w:color w:val="FFFFFF"/>
                <w:sz w:val="19"/>
              </w:rPr>
              <w:t>Risk level</w:t>
            </w:r>
          </w:p>
        </w:tc>
        <w:tc>
          <w:tcPr>
            <w:tcW w:w="1872" w:type="dxa"/>
            <w:shd w:val="clear" w:color="auto" w:fill="0E2A47"/>
          </w:tcPr>
          <w:p w14:paraId="0537AB1D" w14:textId="77777777" w:rsidR="009A4662" w:rsidRDefault="00000000">
            <w:r>
              <w:rPr>
                <w:b/>
                <w:color w:val="FFFFFF"/>
                <w:sz w:val="19"/>
              </w:rPr>
              <w:t>Customers</w:t>
            </w:r>
          </w:p>
        </w:tc>
        <w:tc>
          <w:tcPr>
            <w:tcW w:w="1872" w:type="dxa"/>
            <w:shd w:val="clear" w:color="auto" w:fill="0E2A47"/>
          </w:tcPr>
          <w:p w14:paraId="43AC332E" w14:textId="77777777" w:rsidR="009A4662" w:rsidRDefault="00000000">
            <w:r>
              <w:rPr>
                <w:b/>
                <w:color w:val="FFFFFF"/>
                <w:sz w:val="19"/>
              </w:rPr>
              <w:t>Churn rate</w:t>
            </w:r>
          </w:p>
        </w:tc>
        <w:tc>
          <w:tcPr>
            <w:tcW w:w="2880" w:type="dxa"/>
            <w:shd w:val="clear" w:color="auto" w:fill="0E2A47"/>
          </w:tcPr>
          <w:p w14:paraId="403435AA" w14:textId="77777777" w:rsidR="009A4662" w:rsidRDefault="00000000">
            <w:r>
              <w:rPr>
                <w:b/>
                <w:color w:val="FFFFFF"/>
                <w:sz w:val="19"/>
              </w:rPr>
              <w:t>Value proxy at risk</w:t>
            </w:r>
          </w:p>
        </w:tc>
      </w:tr>
      <w:tr w:rsidR="009A4662" w14:paraId="7A824244" w14:textId="77777777">
        <w:trPr>
          <w:jc w:val="center"/>
        </w:trPr>
        <w:tc>
          <w:tcPr>
            <w:tcW w:w="2448" w:type="dxa"/>
          </w:tcPr>
          <w:p w14:paraId="291B90C3" w14:textId="77777777" w:rsidR="009A4662" w:rsidRDefault="00000000">
            <w:r>
              <w:rPr>
                <w:b/>
                <w:color w:val="0E2A47"/>
                <w:sz w:val="19"/>
              </w:rPr>
              <w:t>Critical risk</w:t>
            </w:r>
          </w:p>
        </w:tc>
        <w:tc>
          <w:tcPr>
            <w:tcW w:w="1872" w:type="dxa"/>
          </w:tcPr>
          <w:p w14:paraId="218D545F" w14:textId="77777777" w:rsidR="009A4662" w:rsidRDefault="00000000">
            <w:r>
              <w:rPr>
                <w:sz w:val="19"/>
              </w:rPr>
              <w:t>166</w:t>
            </w:r>
          </w:p>
        </w:tc>
        <w:tc>
          <w:tcPr>
            <w:tcW w:w="1872" w:type="dxa"/>
          </w:tcPr>
          <w:p w14:paraId="45EA7795" w14:textId="77777777" w:rsidR="009A4662" w:rsidRDefault="00000000">
            <w:r>
              <w:rPr>
                <w:sz w:val="19"/>
              </w:rPr>
              <w:t>60.2%</w:t>
            </w:r>
          </w:p>
        </w:tc>
        <w:tc>
          <w:tcPr>
            <w:tcW w:w="2880" w:type="dxa"/>
          </w:tcPr>
          <w:p w14:paraId="4EFA7C60" w14:textId="77777777" w:rsidR="009A4662" w:rsidRDefault="00000000">
            <w:r>
              <w:rPr>
                <w:sz w:val="19"/>
              </w:rPr>
              <w:t>₹25,632</w:t>
            </w:r>
          </w:p>
        </w:tc>
      </w:tr>
      <w:tr w:rsidR="009A4662" w14:paraId="74B07A3A" w14:textId="77777777">
        <w:trPr>
          <w:jc w:val="center"/>
        </w:trPr>
        <w:tc>
          <w:tcPr>
            <w:tcW w:w="2448" w:type="dxa"/>
            <w:shd w:val="clear" w:color="auto" w:fill="EDF3F9"/>
          </w:tcPr>
          <w:p w14:paraId="72353146" w14:textId="77777777" w:rsidR="009A4662" w:rsidRDefault="00000000">
            <w:r>
              <w:rPr>
                <w:b/>
                <w:color w:val="0E2A47"/>
                <w:sz w:val="19"/>
              </w:rPr>
              <w:t>High risk</w:t>
            </w:r>
          </w:p>
        </w:tc>
        <w:tc>
          <w:tcPr>
            <w:tcW w:w="1872" w:type="dxa"/>
            <w:shd w:val="clear" w:color="auto" w:fill="EDF3F9"/>
          </w:tcPr>
          <w:p w14:paraId="7DB02CF5" w14:textId="77777777" w:rsidR="009A4662" w:rsidRDefault="00000000">
            <w:r>
              <w:rPr>
                <w:sz w:val="19"/>
              </w:rPr>
              <w:t>1</w:t>
            </w:r>
          </w:p>
        </w:tc>
        <w:tc>
          <w:tcPr>
            <w:tcW w:w="1872" w:type="dxa"/>
            <w:shd w:val="clear" w:color="auto" w:fill="EDF3F9"/>
          </w:tcPr>
          <w:p w14:paraId="6AB9ADCF" w14:textId="77777777" w:rsidR="009A4662" w:rsidRDefault="00000000">
            <w:r>
              <w:rPr>
                <w:sz w:val="19"/>
              </w:rPr>
              <w:t>100.0%</w:t>
            </w:r>
          </w:p>
        </w:tc>
        <w:tc>
          <w:tcPr>
            <w:tcW w:w="2880" w:type="dxa"/>
            <w:shd w:val="clear" w:color="auto" w:fill="EDF3F9"/>
          </w:tcPr>
          <w:p w14:paraId="704DD34F" w14:textId="77777777" w:rsidR="009A4662" w:rsidRDefault="00000000">
            <w:r>
              <w:rPr>
                <w:sz w:val="19"/>
              </w:rPr>
              <w:t>₹206</w:t>
            </w:r>
          </w:p>
        </w:tc>
      </w:tr>
      <w:tr w:rsidR="009A4662" w14:paraId="70335862" w14:textId="77777777">
        <w:trPr>
          <w:jc w:val="center"/>
        </w:trPr>
        <w:tc>
          <w:tcPr>
            <w:tcW w:w="2448" w:type="dxa"/>
          </w:tcPr>
          <w:p w14:paraId="314DFF14" w14:textId="77777777" w:rsidR="009A4662" w:rsidRDefault="00000000">
            <w:r>
              <w:rPr>
                <w:b/>
                <w:color w:val="0E2A47"/>
                <w:sz w:val="19"/>
              </w:rPr>
              <w:t>Medium risk</w:t>
            </w:r>
          </w:p>
        </w:tc>
        <w:tc>
          <w:tcPr>
            <w:tcW w:w="1872" w:type="dxa"/>
          </w:tcPr>
          <w:p w14:paraId="183F6D6C" w14:textId="77777777" w:rsidR="009A4662" w:rsidRDefault="00000000">
            <w:r>
              <w:rPr>
                <w:sz w:val="19"/>
              </w:rPr>
              <w:t>215</w:t>
            </w:r>
          </w:p>
        </w:tc>
        <w:tc>
          <w:tcPr>
            <w:tcW w:w="1872" w:type="dxa"/>
          </w:tcPr>
          <w:p w14:paraId="545582D4" w14:textId="77777777" w:rsidR="009A4662" w:rsidRDefault="00000000">
            <w:r>
              <w:rPr>
                <w:sz w:val="19"/>
              </w:rPr>
              <w:t>3.7%</w:t>
            </w:r>
          </w:p>
        </w:tc>
        <w:tc>
          <w:tcPr>
            <w:tcW w:w="2880" w:type="dxa"/>
          </w:tcPr>
          <w:p w14:paraId="6F88DA80" w14:textId="77777777" w:rsidR="009A4662" w:rsidRDefault="00000000">
            <w:r>
              <w:rPr>
                <w:sz w:val="19"/>
              </w:rPr>
              <w:t>₹36,404</w:t>
            </w:r>
          </w:p>
        </w:tc>
      </w:tr>
      <w:tr w:rsidR="009A4662" w14:paraId="7384631F" w14:textId="77777777">
        <w:trPr>
          <w:jc w:val="center"/>
        </w:trPr>
        <w:tc>
          <w:tcPr>
            <w:tcW w:w="2448" w:type="dxa"/>
            <w:shd w:val="clear" w:color="auto" w:fill="EDF3F9"/>
          </w:tcPr>
          <w:p w14:paraId="7CD2996A" w14:textId="77777777" w:rsidR="009A4662" w:rsidRDefault="00000000">
            <w:r>
              <w:rPr>
                <w:b/>
                <w:color w:val="0E2A47"/>
                <w:sz w:val="19"/>
              </w:rPr>
              <w:t>Low risk</w:t>
            </w:r>
          </w:p>
        </w:tc>
        <w:tc>
          <w:tcPr>
            <w:tcW w:w="1872" w:type="dxa"/>
            <w:shd w:val="clear" w:color="auto" w:fill="EDF3F9"/>
          </w:tcPr>
          <w:p w14:paraId="3654746A" w14:textId="77777777" w:rsidR="009A4662" w:rsidRDefault="00000000">
            <w:r>
              <w:rPr>
                <w:sz w:val="19"/>
              </w:rPr>
              <w:t>545</w:t>
            </w:r>
          </w:p>
        </w:tc>
        <w:tc>
          <w:tcPr>
            <w:tcW w:w="1872" w:type="dxa"/>
            <w:shd w:val="clear" w:color="auto" w:fill="EDF3F9"/>
          </w:tcPr>
          <w:p w14:paraId="6102D88D" w14:textId="77777777" w:rsidR="009A4662" w:rsidRDefault="00000000">
            <w:r>
              <w:rPr>
                <w:sz w:val="19"/>
              </w:rPr>
              <w:t>0.9%</w:t>
            </w:r>
          </w:p>
        </w:tc>
        <w:tc>
          <w:tcPr>
            <w:tcW w:w="2880" w:type="dxa"/>
            <w:shd w:val="clear" w:color="auto" w:fill="EDF3F9"/>
          </w:tcPr>
          <w:p w14:paraId="453A9574" w14:textId="77777777" w:rsidR="009A4662" w:rsidRDefault="00000000">
            <w:r>
              <w:rPr>
                <w:sz w:val="19"/>
              </w:rPr>
              <w:t>₹115,599</w:t>
            </w:r>
          </w:p>
        </w:tc>
      </w:tr>
      <w:tr w:rsidR="009A4662" w14:paraId="2189CBC8" w14:textId="77777777">
        <w:trPr>
          <w:jc w:val="center"/>
        </w:trPr>
        <w:tc>
          <w:tcPr>
            <w:tcW w:w="2448" w:type="dxa"/>
          </w:tcPr>
          <w:p w14:paraId="38DB9040" w14:textId="77777777" w:rsidR="009A4662" w:rsidRDefault="00000000">
            <w:r>
              <w:rPr>
                <w:b/>
                <w:color w:val="0E2A47"/>
                <w:sz w:val="19"/>
              </w:rPr>
              <w:t>Standard risk</w:t>
            </w:r>
          </w:p>
        </w:tc>
        <w:tc>
          <w:tcPr>
            <w:tcW w:w="1872" w:type="dxa"/>
          </w:tcPr>
          <w:p w14:paraId="5A39C7FB" w14:textId="77777777" w:rsidR="009A4662" w:rsidRDefault="00000000">
            <w:r>
              <w:rPr>
                <w:sz w:val="19"/>
              </w:rPr>
              <w:t>4,703</w:t>
            </w:r>
          </w:p>
        </w:tc>
        <w:tc>
          <w:tcPr>
            <w:tcW w:w="1872" w:type="dxa"/>
          </w:tcPr>
          <w:p w14:paraId="75B9D520" w14:textId="77777777" w:rsidR="009A4662" w:rsidRDefault="00000000">
            <w:r>
              <w:rPr>
                <w:sz w:val="19"/>
              </w:rPr>
              <w:t>17.7%</w:t>
            </w:r>
          </w:p>
        </w:tc>
        <w:tc>
          <w:tcPr>
            <w:tcW w:w="2880" w:type="dxa"/>
          </w:tcPr>
          <w:p w14:paraId="753230DF" w14:textId="77777777" w:rsidR="009A4662" w:rsidRDefault="00000000">
            <w:r>
              <w:rPr>
                <w:sz w:val="19"/>
              </w:rPr>
              <w:t>₹819,925</w:t>
            </w:r>
          </w:p>
        </w:tc>
      </w:tr>
    </w:tbl>
    <w:p w14:paraId="3E5B795E" w14:textId="77777777" w:rsidR="009A4662" w:rsidRDefault="009A4662">
      <w:pPr>
        <w:spacing w:after="40"/>
      </w:pPr>
    </w:p>
    <w:p w14:paraId="564BF073" w14:textId="77777777" w:rsidR="009A4662" w:rsidRDefault="00000000">
      <w:pPr>
        <w:jc w:val="center"/>
      </w:pPr>
      <w:r>
        <w:rPr>
          <w:noProof/>
        </w:rPr>
        <w:drawing>
          <wp:inline distT="0" distB="0" distL="0" distR="0" wp14:anchorId="4EC1489D" wp14:editId="680B8E91">
            <wp:extent cx="5852160" cy="174134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risk_segments.png"/>
                    <pic:cNvPicPr/>
                  </pic:nvPicPr>
                  <pic:blipFill>
                    <a:blip r:embed="rId30"/>
                    <a:stretch>
                      <a:fillRect/>
                    </a:stretch>
                  </pic:blipFill>
                  <pic:spPr>
                    <a:xfrm>
                      <a:off x="0" y="0"/>
                      <a:ext cx="5852160" cy="1741346"/>
                    </a:xfrm>
                    <a:prstGeom prst="rect">
                      <a:avLst/>
                    </a:prstGeom>
                  </pic:spPr>
                </pic:pic>
              </a:graphicData>
            </a:graphic>
          </wp:inline>
        </w:drawing>
      </w:r>
    </w:p>
    <w:p w14:paraId="3A545BCC" w14:textId="77777777" w:rsidR="009A4662" w:rsidRDefault="00000000">
      <w:pPr>
        <w:spacing w:after="200"/>
        <w:jc w:val="center"/>
      </w:pPr>
      <w:r>
        <w:rPr>
          <w:i/>
          <w:color w:val="77879A"/>
          <w:sz w:val="17"/>
        </w:rPr>
        <w:t>Figure 22  ·  Customer risk segment analysis — counts, churn rates and value proxy at risk.</w:t>
      </w:r>
    </w:p>
    <w:tbl>
      <w:tblPr>
        <w:tblW w:w="0" w:type="auto"/>
        <w:jc w:val="center"/>
        <w:tblLook w:val="04A0" w:firstRow="1" w:lastRow="0" w:firstColumn="1" w:lastColumn="0" w:noHBand="0" w:noVBand="1"/>
      </w:tblPr>
      <w:tblGrid>
        <w:gridCol w:w="9504"/>
      </w:tblGrid>
      <w:tr w:rsidR="009A4662" w14:paraId="61B14B90" w14:textId="77777777">
        <w:trPr>
          <w:jc w:val="center"/>
        </w:trPr>
        <w:tc>
          <w:tcPr>
            <w:tcW w:w="9504" w:type="dxa"/>
            <w:tcBorders>
              <w:left w:val="single" w:sz="24" w:space="0" w:color="7C5CBF"/>
            </w:tcBorders>
            <w:shd w:val="clear" w:color="auto" w:fill="EFE9F9"/>
            <w:vAlign w:val="center"/>
          </w:tcPr>
          <w:p w14:paraId="515269CA" w14:textId="77777777" w:rsidR="009A4662" w:rsidRDefault="00000000">
            <w:pPr>
              <w:spacing w:before="80" w:after="80"/>
            </w:pPr>
            <w:r>
              <w:rPr>
                <w:b/>
                <w:i/>
                <w:color w:val="543B87"/>
                <w:sz w:val="20"/>
              </w:rPr>
              <w:t>The critical + high risk pools (167 customers) carry ₹25,838 of currently exposed customer-value proxy — a compact, high-yield target list for human-led retention.</w:t>
            </w:r>
          </w:p>
        </w:tc>
      </w:tr>
    </w:tbl>
    <w:p w14:paraId="69ACC3B4" w14:textId="77777777" w:rsidR="009A4662" w:rsidRDefault="009A4662">
      <w:pPr>
        <w:spacing w:after="40"/>
      </w:pPr>
    </w:p>
    <w:p w14:paraId="23DCBBEA" w14:textId="77777777" w:rsidR="009A4662" w:rsidRDefault="00000000">
      <w:pPr>
        <w:pStyle w:val="Heading2"/>
      </w:pPr>
      <w:r>
        <w:t>9.4 Value concentration</w:t>
      </w:r>
    </w:p>
    <w:p w14:paraId="6621CC95" w14:textId="77777777" w:rsidR="009A4662" w:rsidRDefault="00000000">
      <w:pPr>
        <w:jc w:val="center"/>
      </w:pPr>
      <w:r>
        <w:rPr>
          <w:noProof/>
        </w:rPr>
        <w:drawing>
          <wp:inline distT="0" distB="0" distL="0" distR="0" wp14:anchorId="1E694138" wp14:editId="46F7D470">
            <wp:extent cx="5760720" cy="284811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value_pareto.png"/>
                    <pic:cNvPicPr/>
                  </pic:nvPicPr>
                  <pic:blipFill>
                    <a:blip r:embed="rId31"/>
                    <a:stretch>
                      <a:fillRect/>
                    </a:stretch>
                  </pic:blipFill>
                  <pic:spPr>
                    <a:xfrm>
                      <a:off x="0" y="0"/>
                      <a:ext cx="5760720" cy="2848113"/>
                    </a:xfrm>
                    <a:prstGeom prst="rect">
                      <a:avLst/>
                    </a:prstGeom>
                  </pic:spPr>
                </pic:pic>
              </a:graphicData>
            </a:graphic>
          </wp:inline>
        </w:drawing>
      </w:r>
    </w:p>
    <w:p w14:paraId="39B26265" w14:textId="77777777" w:rsidR="009A4662" w:rsidRDefault="00000000">
      <w:pPr>
        <w:spacing w:after="200"/>
        <w:jc w:val="center"/>
      </w:pPr>
      <w:r>
        <w:rPr>
          <w:i/>
          <w:color w:val="77879A"/>
          <w:sz w:val="17"/>
        </w:rPr>
        <w:t>Figure 23  ·  Pareto analysis of customer-value proxy — the top ~20% of customers contribute roughly ~30% of proxy value.</w:t>
      </w:r>
    </w:p>
    <w:p w14:paraId="0B75969C" w14:textId="77777777" w:rsidR="009A4662" w:rsidRDefault="00000000">
      <w:pPr>
        <w:pStyle w:val="Heading2"/>
      </w:pPr>
      <w:r>
        <w:lastRenderedPageBreak/>
        <w:t>9.5 Prioritization logic</w:t>
      </w:r>
    </w:p>
    <w:tbl>
      <w:tblPr>
        <w:tblStyle w:val="TableGrid"/>
        <w:tblW w:w="0" w:type="auto"/>
        <w:jc w:val="center"/>
        <w:tblLook w:val="04A0" w:firstRow="1" w:lastRow="0" w:firstColumn="1" w:lastColumn="0" w:noHBand="0" w:noVBand="1"/>
      </w:tblPr>
      <w:tblGrid>
        <w:gridCol w:w="3581"/>
        <w:gridCol w:w="6047"/>
      </w:tblGrid>
      <w:tr w:rsidR="009A4662" w14:paraId="6277BC75" w14:textId="77777777">
        <w:trPr>
          <w:jc w:val="center"/>
        </w:trPr>
        <w:tc>
          <w:tcPr>
            <w:tcW w:w="3744" w:type="dxa"/>
            <w:shd w:val="clear" w:color="auto" w:fill="0E2A47"/>
          </w:tcPr>
          <w:p w14:paraId="391F90F3" w14:textId="77777777" w:rsidR="009A4662" w:rsidRDefault="00000000">
            <w:r>
              <w:rPr>
                <w:b/>
                <w:color w:val="FFFFFF"/>
                <w:sz w:val="19"/>
              </w:rPr>
              <w:t>Quadrant</w:t>
            </w:r>
          </w:p>
        </w:tc>
        <w:tc>
          <w:tcPr>
            <w:tcW w:w="6336" w:type="dxa"/>
            <w:shd w:val="clear" w:color="auto" w:fill="0E2A47"/>
          </w:tcPr>
          <w:p w14:paraId="0B088F8D" w14:textId="77777777" w:rsidR="009A4662" w:rsidRDefault="00000000">
            <w:r>
              <w:rPr>
                <w:b/>
                <w:color w:val="FFFFFF"/>
                <w:sz w:val="19"/>
              </w:rPr>
              <w:t>Recommended stance</w:t>
            </w:r>
          </w:p>
        </w:tc>
      </w:tr>
      <w:tr w:rsidR="009A4662" w14:paraId="6459FBAE" w14:textId="77777777">
        <w:trPr>
          <w:jc w:val="center"/>
        </w:trPr>
        <w:tc>
          <w:tcPr>
            <w:tcW w:w="3744" w:type="dxa"/>
          </w:tcPr>
          <w:p w14:paraId="2685C31A" w14:textId="77777777" w:rsidR="009A4662" w:rsidRDefault="00000000">
            <w:r>
              <w:rPr>
                <w:b/>
                <w:color w:val="0E2A47"/>
                <w:sz w:val="19"/>
              </w:rPr>
              <w:t>High value + high risk</w:t>
            </w:r>
          </w:p>
        </w:tc>
        <w:tc>
          <w:tcPr>
            <w:tcW w:w="6336" w:type="dxa"/>
          </w:tcPr>
          <w:p w14:paraId="749A73D0" w14:textId="77777777" w:rsidR="009A4662" w:rsidRDefault="00000000">
            <w:r>
              <w:rPr>
                <w:sz w:val="19"/>
              </w:rPr>
              <w:t>Priority retention — proactive, human-led saves</w:t>
            </w:r>
          </w:p>
        </w:tc>
      </w:tr>
      <w:tr w:rsidR="009A4662" w14:paraId="3E2A357D" w14:textId="77777777">
        <w:trPr>
          <w:jc w:val="center"/>
        </w:trPr>
        <w:tc>
          <w:tcPr>
            <w:tcW w:w="3744" w:type="dxa"/>
            <w:shd w:val="clear" w:color="auto" w:fill="EDF3F9"/>
          </w:tcPr>
          <w:p w14:paraId="6B192BA2" w14:textId="77777777" w:rsidR="009A4662" w:rsidRDefault="00000000">
            <w:r>
              <w:rPr>
                <w:b/>
                <w:color w:val="0E2A47"/>
                <w:sz w:val="19"/>
              </w:rPr>
              <w:t>High value + low risk</w:t>
            </w:r>
          </w:p>
        </w:tc>
        <w:tc>
          <w:tcPr>
            <w:tcW w:w="6336" w:type="dxa"/>
            <w:shd w:val="clear" w:color="auto" w:fill="EDF3F9"/>
          </w:tcPr>
          <w:p w14:paraId="3FABD57F" w14:textId="77777777" w:rsidR="009A4662" w:rsidRDefault="00000000">
            <w:r>
              <w:rPr>
                <w:sz w:val="19"/>
              </w:rPr>
              <w:t>Loyalty / protection — milestone rewards</w:t>
            </w:r>
          </w:p>
        </w:tc>
      </w:tr>
      <w:tr w:rsidR="009A4662" w14:paraId="2BB97610" w14:textId="77777777">
        <w:trPr>
          <w:jc w:val="center"/>
        </w:trPr>
        <w:tc>
          <w:tcPr>
            <w:tcW w:w="3744" w:type="dxa"/>
          </w:tcPr>
          <w:p w14:paraId="7452D9C5" w14:textId="77777777" w:rsidR="009A4662" w:rsidRDefault="00000000">
            <w:r>
              <w:rPr>
                <w:b/>
                <w:color w:val="0E2A47"/>
                <w:sz w:val="19"/>
              </w:rPr>
              <w:t>Low value + high risk</w:t>
            </w:r>
          </w:p>
        </w:tc>
        <w:tc>
          <w:tcPr>
            <w:tcW w:w="6336" w:type="dxa"/>
          </w:tcPr>
          <w:p w14:paraId="297940D8" w14:textId="77777777" w:rsidR="009A4662" w:rsidRDefault="00000000">
            <w:r>
              <w:rPr>
                <w:sz w:val="19"/>
              </w:rPr>
              <w:t>Automated / low-cost retention — triggered offers</w:t>
            </w:r>
          </w:p>
        </w:tc>
      </w:tr>
      <w:tr w:rsidR="009A4662" w14:paraId="10F5E710" w14:textId="77777777">
        <w:trPr>
          <w:jc w:val="center"/>
        </w:trPr>
        <w:tc>
          <w:tcPr>
            <w:tcW w:w="3744" w:type="dxa"/>
            <w:shd w:val="clear" w:color="auto" w:fill="EDF3F9"/>
          </w:tcPr>
          <w:p w14:paraId="04F30441" w14:textId="77777777" w:rsidR="009A4662" w:rsidRDefault="00000000">
            <w:r>
              <w:rPr>
                <w:b/>
                <w:color w:val="0E2A47"/>
                <w:sz w:val="19"/>
              </w:rPr>
              <w:t>Low value + low risk</w:t>
            </w:r>
          </w:p>
        </w:tc>
        <w:tc>
          <w:tcPr>
            <w:tcW w:w="6336" w:type="dxa"/>
            <w:shd w:val="clear" w:color="auto" w:fill="EDF3F9"/>
          </w:tcPr>
          <w:p w14:paraId="79F6ED2E" w14:textId="77777777" w:rsidR="009A4662" w:rsidRDefault="00000000">
            <w:r>
              <w:rPr>
                <w:sz w:val="19"/>
              </w:rPr>
              <w:t>Standard engagement — business-as-usual</w:t>
            </w:r>
          </w:p>
        </w:tc>
      </w:tr>
    </w:tbl>
    <w:p w14:paraId="44AE1346" w14:textId="77777777" w:rsidR="009A4662" w:rsidRDefault="009A4662">
      <w:pPr>
        <w:spacing w:after="40"/>
      </w:pPr>
    </w:p>
    <w:p w14:paraId="652642B0" w14:textId="77777777" w:rsidR="009A4662" w:rsidRDefault="00000000">
      <w:r>
        <w:br w:type="page"/>
      </w:r>
    </w:p>
    <w:p w14:paraId="07D9471D" w14:textId="77777777" w:rsidR="009A4662" w:rsidRDefault="00000000">
      <w:pPr>
        <w:pStyle w:val="Heading1"/>
        <w:pBdr>
          <w:bottom w:val="single" w:sz="10" w:space="5" w:color="00A8CC"/>
        </w:pBdr>
      </w:pPr>
      <w:r>
        <w:lastRenderedPageBreak/>
        <w:t>10. Business Impact — Value at Risk</w:t>
      </w:r>
    </w:p>
    <w:p w14:paraId="3589C99A" w14:textId="77777777" w:rsidR="009A4662" w:rsidRDefault="00000000">
      <w:r>
        <w:t>Churn converts into measurable customer-value exposure. All figures below are CashbackAmount-derived customer-value proxy, not actual revenue.</w:t>
      </w:r>
    </w:p>
    <w:tbl>
      <w:tblPr>
        <w:tblStyle w:val="TableGrid"/>
        <w:tblW w:w="0" w:type="auto"/>
        <w:jc w:val="center"/>
        <w:tblLook w:val="04A0" w:firstRow="1" w:lastRow="0" w:firstColumn="1" w:lastColumn="0" w:noHBand="0" w:noVBand="1"/>
      </w:tblPr>
      <w:tblGrid>
        <w:gridCol w:w="5184"/>
        <w:gridCol w:w="4320"/>
      </w:tblGrid>
      <w:tr w:rsidR="009A4662" w14:paraId="1EF5B25E" w14:textId="77777777">
        <w:trPr>
          <w:jc w:val="center"/>
        </w:trPr>
        <w:tc>
          <w:tcPr>
            <w:tcW w:w="5184" w:type="dxa"/>
            <w:shd w:val="clear" w:color="auto" w:fill="0E2A47"/>
          </w:tcPr>
          <w:p w14:paraId="0207D6EA" w14:textId="77777777" w:rsidR="009A4662" w:rsidRDefault="00000000">
            <w:r>
              <w:rPr>
                <w:b/>
                <w:color w:val="FFFFFF"/>
                <w:sz w:val="19"/>
              </w:rPr>
              <w:t>Metric</w:t>
            </w:r>
          </w:p>
        </w:tc>
        <w:tc>
          <w:tcPr>
            <w:tcW w:w="4320" w:type="dxa"/>
            <w:shd w:val="clear" w:color="auto" w:fill="0E2A47"/>
          </w:tcPr>
          <w:p w14:paraId="01CC8ACE" w14:textId="77777777" w:rsidR="009A4662" w:rsidRDefault="00000000">
            <w:r>
              <w:rPr>
                <w:b/>
                <w:color w:val="FFFFFF"/>
                <w:sz w:val="19"/>
              </w:rPr>
              <w:t>Value</w:t>
            </w:r>
          </w:p>
        </w:tc>
      </w:tr>
      <w:tr w:rsidR="009A4662" w14:paraId="259427BB" w14:textId="77777777">
        <w:trPr>
          <w:jc w:val="center"/>
        </w:trPr>
        <w:tc>
          <w:tcPr>
            <w:tcW w:w="5184" w:type="dxa"/>
          </w:tcPr>
          <w:p w14:paraId="52C88D18" w14:textId="77777777" w:rsidR="009A4662" w:rsidRDefault="00000000">
            <w:r>
              <w:rPr>
                <w:b/>
                <w:color w:val="0E2A47"/>
                <w:sz w:val="19"/>
              </w:rPr>
              <w:t>Total customer-value proxy</w:t>
            </w:r>
          </w:p>
        </w:tc>
        <w:tc>
          <w:tcPr>
            <w:tcW w:w="4320" w:type="dxa"/>
          </w:tcPr>
          <w:p w14:paraId="72D9B8D1" w14:textId="77777777" w:rsidR="009A4662" w:rsidRDefault="00000000">
            <w:r>
              <w:rPr>
                <w:sz w:val="19"/>
              </w:rPr>
              <w:t>₹997.77K</w:t>
            </w:r>
          </w:p>
        </w:tc>
      </w:tr>
      <w:tr w:rsidR="009A4662" w14:paraId="1CEB39A6" w14:textId="77777777">
        <w:trPr>
          <w:jc w:val="center"/>
        </w:trPr>
        <w:tc>
          <w:tcPr>
            <w:tcW w:w="5184" w:type="dxa"/>
            <w:shd w:val="clear" w:color="auto" w:fill="EDF3F9"/>
          </w:tcPr>
          <w:p w14:paraId="3FC509E0" w14:textId="77777777" w:rsidR="009A4662" w:rsidRDefault="00000000">
            <w:r>
              <w:rPr>
                <w:b/>
                <w:color w:val="0E2A47"/>
                <w:sz w:val="19"/>
              </w:rPr>
              <w:t>Value associated with churn</w:t>
            </w:r>
          </w:p>
        </w:tc>
        <w:tc>
          <w:tcPr>
            <w:tcW w:w="4320" w:type="dxa"/>
            <w:shd w:val="clear" w:color="auto" w:fill="EDF3F9"/>
          </w:tcPr>
          <w:p w14:paraId="0518A128" w14:textId="77777777" w:rsidR="009A4662" w:rsidRDefault="00000000">
            <w:r>
              <w:rPr>
                <w:sz w:val="19"/>
              </w:rPr>
              <w:t>₹152.03K (15.24% of proxy)</w:t>
            </w:r>
          </w:p>
        </w:tc>
      </w:tr>
      <w:tr w:rsidR="009A4662" w14:paraId="4E79336E" w14:textId="77777777">
        <w:trPr>
          <w:jc w:val="center"/>
        </w:trPr>
        <w:tc>
          <w:tcPr>
            <w:tcW w:w="5184" w:type="dxa"/>
          </w:tcPr>
          <w:p w14:paraId="070F5F0A" w14:textId="77777777" w:rsidR="009A4662" w:rsidRDefault="00000000">
            <w:r>
              <w:rPr>
                <w:b/>
                <w:color w:val="0E2A47"/>
                <w:sz w:val="19"/>
              </w:rPr>
              <w:t>Value currently at risk (critical + high risk)</w:t>
            </w:r>
          </w:p>
        </w:tc>
        <w:tc>
          <w:tcPr>
            <w:tcW w:w="4320" w:type="dxa"/>
          </w:tcPr>
          <w:p w14:paraId="73BDABEA" w14:textId="77777777" w:rsidR="009A4662" w:rsidRDefault="00000000">
            <w:r>
              <w:rPr>
                <w:sz w:val="19"/>
              </w:rPr>
              <w:t>₹25,838</w:t>
            </w:r>
          </w:p>
        </w:tc>
      </w:tr>
      <w:tr w:rsidR="009A4662" w14:paraId="3B15A928" w14:textId="77777777">
        <w:trPr>
          <w:jc w:val="center"/>
        </w:trPr>
        <w:tc>
          <w:tcPr>
            <w:tcW w:w="5184" w:type="dxa"/>
            <w:shd w:val="clear" w:color="auto" w:fill="EDF3F9"/>
          </w:tcPr>
          <w:p w14:paraId="1AB6F3E1" w14:textId="77777777" w:rsidR="009A4662" w:rsidRDefault="00000000">
            <w:r>
              <w:rPr>
                <w:b/>
                <w:color w:val="0E2A47"/>
                <w:sz w:val="19"/>
              </w:rPr>
              <w:t>Potential protected value at 5% churn reduction</w:t>
            </w:r>
          </w:p>
        </w:tc>
        <w:tc>
          <w:tcPr>
            <w:tcW w:w="4320" w:type="dxa"/>
            <w:shd w:val="clear" w:color="auto" w:fill="EDF3F9"/>
          </w:tcPr>
          <w:p w14:paraId="77B6CE4F" w14:textId="77777777" w:rsidR="009A4662" w:rsidRDefault="00000000">
            <w:r>
              <w:rPr>
                <w:sz w:val="19"/>
              </w:rPr>
              <w:t>₹7.60K</w:t>
            </w:r>
          </w:p>
        </w:tc>
      </w:tr>
      <w:tr w:rsidR="009A4662" w14:paraId="0C71D3DE" w14:textId="77777777">
        <w:trPr>
          <w:jc w:val="center"/>
        </w:trPr>
        <w:tc>
          <w:tcPr>
            <w:tcW w:w="5184" w:type="dxa"/>
          </w:tcPr>
          <w:p w14:paraId="49073221" w14:textId="77777777" w:rsidR="009A4662" w:rsidRDefault="00000000">
            <w:r>
              <w:rPr>
                <w:b/>
                <w:color w:val="0E2A47"/>
                <w:sz w:val="19"/>
              </w:rPr>
              <w:t>Potential protected value at 10% churn reduction</w:t>
            </w:r>
          </w:p>
        </w:tc>
        <w:tc>
          <w:tcPr>
            <w:tcW w:w="4320" w:type="dxa"/>
          </w:tcPr>
          <w:p w14:paraId="341B0A95" w14:textId="77777777" w:rsidR="009A4662" w:rsidRDefault="00000000">
            <w:r>
              <w:rPr>
                <w:sz w:val="19"/>
              </w:rPr>
              <w:t>₹15.20K</w:t>
            </w:r>
          </w:p>
        </w:tc>
      </w:tr>
    </w:tbl>
    <w:p w14:paraId="05D9A80B" w14:textId="77777777" w:rsidR="009A4662" w:rsidRDefault="009A4662">
      <w:pPr>
        <w:spacing w:after="40"/>
      </w:pPr>
    </w:p>
    <w:p w14:paraId="0A1070E9" w14:textId="77777777" w:rsidR="009A4662" w:rsidRDefault="00000000">
      <w:pPr>
        <w:jc w:val="center"/>
      </w:pPr>
      <w:r>
        <w:rPr>
          <w:noProof/>
        </w:rPr>
        <w:drawing>
          <wp:inline distT="0" distB="0" distL="0" distR="0" wp14:anchorId="2C9DB763" wp14:editId="39911D9E">
            <wp:extent cx="5943600" cy="339077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201050.png"/>
                    <pic:cNvPicPr/>
                  </pic:nvPicPr>
                  <pic:blipFill>
                    <a:blip r:embed="rId32"/>
                    <a:stretch>
                      <a:fillRect/>
                    </a:stretch>
                  </pic:blipFill>
                  <pic:spPr>
                    <a:xfrm>
                      <a:off x="0" y="0"/>
                      <a:ext cx="5943600" cy="3390774"/>
                    </a:xfrm>
                    <a:prstGeom prst="rect">
                      <a:avLst/>
                    </a:prstGeom>
                  </pic:spPr>
                </pic:pic>
              </a:graphicData>
            </a:graphic>
          </wp:inline>
        </w:drawing>
      </w:r>
    </w:p>
    <w:p w14:paraId="33C855FD" w14:textId="77777777" w:rsidR="009A4662" w:rsidRDefault="00000000">
      <w:pPr>
        <w:spacing w:after="200"/>
        <w:jc w:val="center"/>
      </w:pPr>
      <w:r>
        <w:rPr>
          <w:i/>
          <w:color w:val="77879A"/>
          <w:sz w:val="17"/>
        </w:rPr>
        <w:t>Figure 24  ·  ChurnLens Revenue Impact dashboard — value at risk and retention opportunity.</w:t>
      </w:r>
    </w:p>
    <w:p w14:paraId="27979F5B" w14:textId="77777777" w:rsidR="009A4662" w:rsidRDefault="00000000">
      <w:r>
        <w:t>Value at risk is lifecycle-concentrated: New customers carry ₹101.64K of the churn-associated value, versus ₹23.6K (Established), ₹18.59K (Mature) and ₹8.2K (Growing). Protecting early-lifecycle retention therefore protects the largest share of exposed value.</w:t>
      </w:r>
    </w:p>
    <w:p w14:paraId="7EC934BB" w14:textId="77777777" w:rsidR="009A4662" w:rsidRDefault="00000000">
      <w:pPr>
        <w:jc w:val="center"/>
      </w:pPr>
      <w:r>
        <w:rPr>
          <w:noProof/>
        </w:rPr>
        <w:lastRenderedPageBreak/>
        <w:drawing>
          <wp:inline distT="0" distB="0" distL="0" distR="0" wp14:anchorId="0F2A0946" wp14:editId="5AB271DC">
            <wp:extent cx="5760720" cy="284914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survival_style_curve.png"/>
                    <pic:cNvPicPr/>
                  </pic:nvPicPr>
                  <pic:blipFill>
                    <a:blip r:embed="rId33"/>
                    <a:stretch>
                      <a:fillRect/>
                    </a:stretch>
                  </pic:blipFill>
                  <pic:spPr>
                    <a:xfrm>
                      <a:off x="0" y="0"/>
                      <a:ext cx="5760720" cy="2849142"/>
                    </a:xfrm>
                    <a:prstGeom prst="rect">
                      <a:avLst/>
                    </a:prstGeom>
                  </pic:spPr>
                </pic:pic>
              </a:graphicData>
            </a:graphic>
          </wp:inline>
        </w:drawing>
      </w:r>
    </w:p>
    <w:p w14:paraId="07F8DF80" w14:textId="77777777" w:rsidR="009A4662" w:rsidRDefault="00000000">
      <w:pPr>
        <w:spacing w:after="200"/>
        <w:jc w:val="center"/>
      </w:pPr>
      <w:r>
        <w:rPr>
          <w:i/>
          <w:color w:val="77879A"/>
          <w:sz w:val="17"/>
        </w:rPr>
        <w:t>Figure 25  ·  Survival-style curve — the churn share is concentrated in the first tenure months and approaches zero beyond ~22 months.</w:t>
      </w:r>
    </w:p>
    <w:tbl>
      <w:tblPr>
        <w:tblW w:w="0" w:type="auto"/>
        <w:jc w:val="center"/>
        <w:tblLook w:val="04A0" w:firstRow="1" w:lastRow="0" w:firstColumn="1" w:lastColumn="0" w:noHBand="0" w:noVBand="1"/>
      </w:tblPr>
      <w:tblGrid>
        <w:gridCol w:w="9504"/>
      </w:tblGrid>
      <w:tr w:rsidR="009A4662" w14:paraId="11315CC1" w14:textId="77777777">
        <w:trPr>
          <w:jc w:val="center"/>
        </w:trPr>
        <w:tc>
          <w:tcPr>
            <w:tcW w:w="9504" w:type="dxa"/>
            <w:tcBorders>
              <w:left w:val="single" w:sz="24" w:space="0" w:color="D6493A"/>
            </w:tcBorders>
            <w:shd w:val="clear" w:color="auto" w:fill="FDF1EF"/>
            <w:vAlign w:val="center"/>
          </w:tcPr>
          <w:p w14:paraId="71A2E4D3" w14:textId="77777777" w:rsidR="009A4662" w:rsidRDefault="00000000">
            <w:pPr>
              <w:spacing w:before="80" w:after="80"/>
            </w:pPr>
            <w:r>
              <w:rPr>
                <w:b/>
                <w:i/>
                <w:color w:val="9C3A2E"/>
                <w:sz w:val="20"/>
              </w:rPr>
              <w:t>Guardrail: all monetary figures are CashbackAmount-derived customer-value proxy — not actual company revenue.</w:t>
            </w:r>
          </w:p>
        </w:tc>
      </w:tr>
    </w:tbl>
    <w:p w14:paraId="2DC01362" w14:textId="77777777" w:rsidR="009A4662" w:rsidRDefault="009A4662">
      <w:pPr>
        <w:spacing w:after="40"/>
      </w:pPr>
    </w:p>
    <w:p w14:paraId="3CB46414" w14:textId="77777777" w:rsidR="009A4662" w:rsidRDefault="00000000">
      <w:r>
        <w:br w:type="page"/>
      </w:r>
    </w:p>
    <w:p w14:paraId="6F70260F" w14:textId="77777777" w:rsidR="009A4662" w:rsidRDefault="00000000">
      <w:pPr>
        <w:pStyle w:val="Heading1"/>
        <w:pBdr>
          <w:bottom w:val="single" w:sz="10" w:space="5" w:color="00A8CC"/>
        </w:pBdr>
      </w:pPr>
      <w:r>
        <w:lastRenderedPageBreak/>
        <w:t>11. Retention Strategy &amp; Action Plan</w:t>
      </w:r>
    </w:p>
    <w:p w14:paraId="3C7102A3" w14:textId="77777777" w:rsidR="009A4662" w:rsidRDefault="00000000">
      <w:pPr>
        <w:pStyle w:val="Heading2"/>
      </w:pPr>
      <w:r>
        <w:t>11.1 Where to intervene</w:t>
      </w:r>
    </w:p>
    <w:tbl>
      <w:tblPr>
        <w:tblStyle w:val="TableGrid"/>
        <w:tblW w:w="0" w:type="auto"/>
        <w:jc w:val="center"/>
        <w:tblLook w:val="04A0" w:firstRow="1" w:lastRow="0" w:firstColumn="1" w:lastColumn="0" w:noHBand="0" w:noVBand="1"/>
      </w:tblPr>
      <w:tblGrid>
        <w:gridCol w:w="984"/>
        <w:gridCol w:w="2538"/>
        <w:gridCol w:w="3429"/>
        <w:gridCol w:w="2677"/>
      </w:tblGrid>
      <w:tr w:rsidR="009A4662" w14:paraId="73D5D15C" w14:textId="77777777">
        <w:trPr>
          <w:jc w:val="center"/>
        </w:trPr>
        <w:tc>
          <w:tcPr>
            <w:tcW w:w="1008" w:type="dxa"/>
            <w:shd w:val="clear" w:color="auto" w:fill="0E2A47"/>
          </w:tcPr>
          <w:p w14:paraId="567F045A" w14:textId="77777777" w:rsidR="009A4662" w:rsidRDefault="00000000">
            <w:r>
              <w:rPr>
                <w:b/>
                <w:color w:val="FFFFFF"/>
                <w:sz w:val="19"/>
              </w:rPr>
              <w:t>Priority</w:t>
            </w:r>
          </w:p>
        </w:tc>
        <w:tc>
          <w:tcPr>
            <w:tcW w:w="2736" w:type="dxa"/>
            <w:shd w:val="clear" w:color="auto" w:fill="0E2A47"/>
          </w:tcPr>
          <w:p w14:paraId="61D6C211" w14:textId="77777777" w:rsidR="009A4662" w:rsidRDefault="00000000">
            <w:r>
              <w:rPr>
                <w:b/>
                <w:color w:val="FFFFFF"/>
                <w:sz w:val="19"/>
              </w:rPr>
              <w:t>Target segment</w:t>
            </w:r>
          </w:p>
        </w:tc>
        <w:tc>
          <w:tcPr>
            <w:tcW w:w="3744" w:type="dxa"/>
            <w:shd w:val="clear" w:color="auto" w:fill="0E2A47"/>
          </w:tcPr>
          <w:p w14:paraId="06DFEA0F" w14:textId="77777777" w:rsidR="009A4662" w:rsidRDefault="00000000">
            <w:r>
              <w:rPr>
                <w:b/>
                <w:color w:val="FFFFFF"/>
                <w:sz w:val="19"/>
              </w:rPr>
              <w:t>Evidence</w:t>
            </w:r>
          </w:p>
        </w:tc>
        <w:tc>
          <w:tcPr>
            <w:tcW w:w="2880" w:type="dxa"/>
            <w:shd w:val="clear" w:color="auto" w:fill="0E2A47"/>
          </w:tcPr>
          <w:p w14:paraId="5722F9CB" w14:textId="77777777" w:rsidR="009A4662" w:rsidRDefault="00000000">
            <w:r>
              <w:rPr>
                <w:b/>
                <w:color w:val="FFFFFF"/>
                <w:sz w:val="19"/>
              </w:rPr>
              <w:t>Rationale</w:t>
            </w:r>
          </w:p>
        </w:tc>
      </w:tr>
      <w:tr w:rsidR="009A4662" w14:paraId="658257B9" w14:textId="77777777">
        <w:trPr>
          <w:jc w:val="center"/>
        </w:trPr>
        <w:tc>
          <w:tcPr>
            <w:tcW w:w="1008" w:type="dxa"/>
          </w:tcPr>
          <w:p w14:paraId="6CCDB6D9" w14:textId="77777777" w:rsidR="009A4662" w:rsidRDefault="00000000">
            <w:r>
              <w:rPr>
                <w:b/>
                <w:color w:val="0E2A47"/>
                <w:sz w:val="19"/>
              </w:rPr>
              <w:t>P1</w:t>
            </w:r>
          </w:p>
        </w:tc>
        <w:tc>
          <w:tcPr>
            <w:tcW w:w="2736" w:type="dxa"/>
          </w:tcPr>
          <w:p w14:paraId="2AEC898F" w14:textId="77777777" w:rsidR="009A4662" w:rsidRDefault="00000000">
            <w:r>
              <w:rPr>
                <w:sz w:val="19"/>
              </w:rPr>
              <w:t>New customers (0–3m)</w:t>
            </w:r>
          </w:p>
        </w:tc>
        <w:tc>
          <w:tcPr>
            <w:tcW w:w="3744" w:type="dxa"/>
          </w:tcPr>
          <w:p w14:paraId="4F660DFD" w14:textId="77777777" w:rsidR="009A4662" w:rsidRDefault="00000000">
            <w:r>
              <w:rPr>
                <w:sz w:val="19"/>
              </w:rPr>
              <w:t>41.86% churn; 653 of 948 churned; ₹101.64K value at risk</w:t>
            </w:r>
          </w:p>
        </w:tc>
        <w:tc>
          <w:tcPr>
            <w:tcW w:w="2880" w:type="dxa"/>
          </w:tcPr>
          <w:p w14:paraId="193370FD" w14:textId="77777777" w:rsidR="009A4662" w:rsidRDefault="00000000">
            <w:r>
              <w:rPr>
                <w:sz w:val="19"/>
              </w:rPr>
              <w:t>Highest lifecycle risk and largest value exposure</w:t>
            </w:r>
          </w:p>
        </w:tc>
      </w:tr>
      <w:tr w:rsidR="009A4662" w14:paraId="4B3C5EBF" w14:textId="77777777">
        <w:trPr>
          <w:jc w:val="center"/>
        </w:trPr>
        <w:tc>
          <w:tcPr>
            <w:tcW w:w="1008" w:type="dxa"/>
            <w:shd w:val="clear" w:color="auto" w:fill="EDF3F9"/>
          </w:tcPr>
          <w:p w14:paraId="546C4ECA" w14:textId="77777777" w:rsidR="009A4662" w:rsidRDefault="00000000">
            <w:r>
              <w:rPr>
                <w:b/>
                <w:color w:val="0E2A47"/>
                <w:sz w:val="19"/>
              </w:rPr>
              <w:t>P2</w:t>
            </w:r>
          </w:p>
        </w:tc>
        <w:tc>
          <w:tcPr>
            <w:tcW w:w="2736" w:type="dxa"/>
            <w:shd w:val="clear" w:color="auto" w:fill="EDF3F9"/>
          </w:tcPr>
          <w:p w14:paraId="5A177B84" w14:textId="77777777" w:rsidR="009A4662" w:rsidRDefault="00000000">
            <w:r>
              <w:rPr>
                <w:sz w:val="19"/>
              </w:rPr>
              <w:t>Customers with complaints</w:t>
            </w:r>
          </w:p>
        </w:tc>
        <w:tc>
          <w:tcPr>
            <w:tcW w:w="3744" w:type="dxa"/>
            <w:shd w:val="clear" w:color="auto" w:fill="EDF3F9"/>
          </w:tcPr>
          <w:p w14:paraId="51EA5284" w14:textId="77777777" w:rsidR="009A4662" w:rsidRDefault="00000000">
            <w:r>
              <w:rPr>
                <w:sz w:val="19"/>
              </w:rPr>
              <w:t>31.67% vs 10.93% (≈2.9×)</w:t>
            </w:r>
          </w:p>
        </w:tc>
        <w:tc>
          <w:tcPr>
            <w:tcW w:w="2880" w:type="dxa"/>
            <w:shd w:val="clear" w:color="auto" w:fill="EDF3F9"/>
          </w:tcPr>
          <w:p w14:paraId="256C6A72" w14:textId="77777777" w:rsidR="009A4662" w:rsidRDefault="00000000">
            <w:r>
              <w:rPr>
                <w:sz w:val="19"/>
              </w:rPr>
              <w:t>Service recovery is a retention intervention</w:t>
            </w:r>
          </w:p>
        </w:tc>
      </w:tr>
      <w:tr w:rsidR="009A4662" w14:paraId="07FFFC4B" w14:textId="77777777">
        <w:trPr>
          <w:jc w:val="center"/>
        </w:trPr>
        <w:tc>
          <w:tcPr>
            <w:tcW w:w="1008" w:type="dxa"/>
          </w:tcPr>
          <w:p w14:paraId="660B9C3A" w14:textId="77777777" w:rsidR="009A4662" w:rsidRDefault="00000000">
            <w:r>
              <w:rPr>
                <w:b/>
                <w:color w:val="0E2A47"/>
                <w:sz w:val="19"/>
              </w:rPr>
              <w:t>P3</w:t>
            </w:r>
          </w:p>
        </w:tc>
        <w:tc>
          <w:tcPr>
            <w:tcW w:w="2736" w:type="dxa"/>
          </w:tcPr>
          <w:p w14:paraId="66754AEA" w14:textId="77777777" w:rsidR="009A4662" w:rsidRDefault="00000000">
            <w:r>
              <w:rPr>
                <w:sz w:val="19"/>
              </w:rPr>
              <w:t>At-Risk / Lost &amp; critical-risk segments</w:t>
            </w:r>
          </w:p>
        </w:tc>
        <w:tc>
          <w:tcPr>
            <w:tcW w:w="3744" w:type="dxa"/>
          </w:tcPr>
          <w:p w14:paraId="3CC7D7C9" w14:textId="77777777" w:rsidR="009A4662" w:rsidRDefault="00000000">
            <w:r>
              <w:rPr>
                <w:sz w:val="19"/>
              </w:rPr>
              <w:t>17.66% / 15.21% RFM; critical pool 60.2%</w:t>
            </w:r>
          </w:p>
        </w:tc>
        <w:tc>
          <w:tcPr>
            <w:tcW w:w="2880" w:type="dxa"/>
          </w:tcPr>
          <w:p w14:paraId="59AE1F9F" w14:textId="77777777" w:rsidR="009A4662" w:rsidRDefault="00000000">
            <w:r>
              <w:rPr>
                <w:sz w:val="19"/>
              </w:rPr>
              <w:t>Compact, high-yield target lists</w:t>
            </w:r>
          </w:p>
        </w:tc>
      </w:tr>
      <w:tr w:rsidR="009A4662" w14:paraId="7E6E096C" w14:textId="77777777">
        <w:trPr>
          <w:jc w:val="center"/>
        </w:trPr>
        <w:tc>
          <w:tcPr>
            <w:tcW w:w="1008" w:type="dxa"/>
            <w:shd w:val="clear" w:color="auto" w:fill="EDF3F9"/>
          </w:tcPr>
          <w:p w14:paraId="027E8172" w14:textId="77777777" w:rsidR="009A4662" w:rsidRDefault="00000000">
            <w:r>
              <w:rPr>
                <w:b/>
                <w:color w:val="0E2A47"/>
                <w:sz w:val="19"/>
              </w:rPr>
              <w:t>P4</w:t>
            </w:r>
          </w:p>
        </w:tc>
        <w:tc>
          <w:tcPr>
            <w:tcW w:w="2736" w:type="dxa"/>
            <w:shd w:val="clear" w:color="auto" w:fill="EDF3F9"/>
          </w:tcPr>
          <w:p w14:paraId="4A38AEBB" w14:textId="77777777" w:rsidR="009A4662" w:rsidRDefault="00000000">
            <w:r>
              <w:rPr>
                <w:sz w:val="19"/>
              </w:rPr>
              <w:t>Growing / mid-tenure</w:t>
            </w:r>
          </w:p>
        </w:tc>
        <w:tc>
          <w:tcPr>
            <w:tcW w:w="3744" w:type="dxa"/>
            <w:shd w:val="clear" w:color="auto" w:fill="EDF3F9"/>
          </w:tcPr>
          <w:p w14:paraId="7B941E3D" w14:textId="77777777" w:rsidR="009A4662" w:rsidRDefault="00000000">
            <w:r>
              <w:rPr>
                <w:sz w:val="19"/>
              </w:rPr>
              <w:t>7.46% today; −2.39 pp retention dip at Established</w:t>
            </w:r>
          </w:p>
        </w:tc>
        <w:tc>
          <w:tcPr>
            <w:tcW w:w="2880" w:type="dxa"/>
            <w:shd w:val="clear" w:color="auto" w:fill="EDF3F9"/>
          </w:tcPr>
          <w:p w14:paraId="7C5906FD" w14:textId="77777777" w:rsidR="009A4662" w:rsidRDefault="00000000">
            <w:r>
              <w:rPr>
                <w:sz w:val="19"/>
              </w:rPr>
              <w:t>Prevent migration into higher-risk states</w:t>
            </w:r>
          </w:p>
        </w:tc>
      </w:tr>
    </w:tbl>
    <w:p w14:paraId="5E6C7BA1" w14:textId="77777777" w:rsidR="009A4662" w:rsidRDefault="009A4662">
      <w:pPr>
        <w:spacing w:after="40"/>
      </w:pPr>
    </w:p>
    <w:p w14:paraId="02CFB206" w14:textId="77777777" w:rsidR="009A4662" w:rsidRDefault="00000000">
      <w:pPr>
        <w:pStyle w:val="Heading2"/>
      </w:pPr>
      <w:r>
        <w:t>11.2 Retention playbook</w:t>
      </w:r>
    </w:p>
    <w:tbl>
      <w:tblPr>
        <w:tblStyle w:val="TableGrid"/>
        <w:tblW w:w="0" w:type="auto"/>
        <w:jc w:val="center"/>
        <w:tblLook w:val="04A0" w:firstRow="1" w:lastRow="0" w:firstColumn="1" w:lastColumn="0" w:noHBand="0" w:noVBand="1"/>
      </w:tblPr>
      <w:tblGrid>
        <w:gridCol w:w="2632"/>
        <w:gridCol w:w="2621"/>
        <w:gridCol w:w="4375"/>
      </w:tblGrid>
      <w:tr w:rsidR="009A4662" w14:paraId="31D26761" w14:textId="77777777">
        <w:trPr>
          <w:jc w:val="center"/>
        </w:trPr>
        <w:tc>
          <w:tcPr>
            <w:tcW w:w="2736" w:type="dxa"/>
            <w:shd w:val="clear" w:color="auto" w:fill="0E2A47"/>
          </w:tcPr>
          <w:p w14:paraId="74ED3E2F" w14:textId="77777777" w:rsidR="009A4662" w:rsidRDefault="00000000">
            <w:r>
              <w:rPr>
                <w:b/>
                <w:color w:val="FFFFFF"/>
                <w:sz w:val="19"/>
              </w:rPr>
              <w:t>Intervention</w:t>
            </w:r>
          </w:p>
        </w:tc>
        <w:tc>
          <w:tcPr>
            <w:tcW w:w="2736" w:type="dxa"/>
            <w:shd w:val="clear" w:color="auto" w:fill="0E2A47"/>
          </w:tcPr>
          <w:p w14:paraId="4C777F25" w14:textId="77777777" w:rsidR="009A4662" w:rsidRDefault="00000000">
            <w:r>
              <w:rPr>
                <w:b/>
                <w:color w:val="FFFFFF"/>
                <w:sz w:val="19"/>
              </w:rPr>
              <w:t>Target</w:t>
            </w:r>
          </w:p>
        </w:tc>
        <w:tc>
          <w:tcPr>
            <w:tcW w:w="4608" w:type="dxa"/>
            <w:shd w:val="clear" w:color="auto" w:fill="0E2A47"/>
          </w:tcPr>
          <w:p w14:paraId="1F5598C4" w14:textId="77777777" w:rsidR="009A4662" w:rsidRDefault="00000000">
            <w:r>
              <w:rPr>
                <w:b/>
                <w:color w:val="FFFFFF"/>
                <w:sz w:val="19"/>
              </w:rPr>
              <w:t>Design</w:t>
            </w:r>
          </w:p>
        </w:tc>
      </w:tr>
      <w:tr w:rsidR="009A4662" w14:paraId="50717F14" w14:textId="77777777">
        <w:trPr>
          <w:jc w:val="center"/>
        </w:trPr>
        <w:tc>
          <w:tcPr>
            <w:tcW w:w="2736" w:type="dxa"/>
          </w:tcPr>
          <w:p w14:paraId="6FD4B559" w14:textId="77777777" w:rsidR="009A4662" w:rsidRDefault="00000000">
            <w:r>
              <w:rPr>
                <w:b/>
                <w:color w:val="0E2A47"/>
                <w:sz w:val="19"/>
              </w:rPr>
              <w:t>01 — Early onboarding</w:t>
            </w:r>
          </w:p>
        </w:tc>
        <w:tc>
          <w:tcPr>
            <w:tcW w:w="2736" w:type="dxa"/>
          </w:tcPr>
          <w:p w14:paraId="4E3E119D" w14:textId="77777777" w:rsidR="009A4662" w:rsidRDefault="00000000">
            <w:r>
              <w:rPr>
                <w:sz w:val="19"/>
              </w:rPr>
              <w:t>New customers (0–3m)</w:t>
            </w:r>
          </w:p>
        </w:tc>
        <w:tc>
          <w:tcPr>
            <w:tcW w:w="4608" w:type="dxa"/>
          </w:tcPr>
          <w:p w14:paraId="3E369EA9" w14:textId="77777777" w:rsidR="009A4662" w:rsidRDefault="00000000">
            <w:r>
              <w:rPr>
                <w:sz w:val="19"/>
              </w:rPr>
              <w:t>30-day onboarding journey; first-order engagement / cashback intervention</w:t>
            </w:r>
          </w:p>
        </w:tc>
      </w:tr>
      <w:tr w:rsidR="009A4662" w14:paraId="2DC85880" w14:textId="77777777">
        <w:trPr>
          <w:jc w:val="center"/>
        </w:trPr>
        <w:tc>
          <w:tcPr>
            <w:tcW w:w="2736" w:type="dxa"/>
            <w:shd w:val="clear" w:color="auto" w:fill="EDF3F9"/>
          </w:tcPr>
          <w:p w14:paraId="2D24F942" w14:textId="77777777" w:rsidR="009A4662" w:rsidRDefault="00000000">
            <w:r>
              <w:rPr>
                <w:b/>
                <w:color w:val="0E2A47"/>
                <w:sz w:val="19"/>
              </w:rPr>
              <w:t>02 — Complaint fast-track</w:t>
            </w:r>
          </w:p>
        </w:tc>
        <w:tc>
          <w:tcPr>
            <w:tcW w:w="2736" w:type="dxa"/>
            <w:shd w:val="clear" w:color="auto" w:fill="EDF3F9"/>
          </w:tcPr>
          <w:p w14:paraId="7E7B2E64" w14:textId="77777777" w:rsidR="009A4662" w:rsidRDefault="00000000">
            <w:r>
              <w:rPr>
                <w:sz w:val="19"/>
              </w:rPr>
              <w:t>Customers who complain</w:t>
            </w:r>
          </w:p>
        </w:tc>
        <w:tc>
          <w:tcPr>
            <w:tcW w:w="4608" w:type="dxa"/>
            <w:shd w:val="clear" w:color="auto" w:fill="EDF3F9"/>
          </w:tcPr>
          <w:p w14:paraId="56AFB53A" w14:textId="77777777" w:rsidR="009A4662" w:rsidRDefault="00000000">
            <w:r>
              <w:rPr>
                <w:sz w:val="19"/>
              </w:rPr>
              <w:t>Priority resolution (≤24h) plus structured follow-up after resolution</w:t>
            </w:r>
          </w:p>
        </w:tc>
      </w:tr>
      <w:tr w:rsidR="009A4662" w14:paraId="3A953CC8" w14:textId="77777777">
        <w:trPr>
          <w:jc w:val="center"/>
        </w:trPr>
        <w:tc>
          <w:tcPr>
            <w:tcW w:w="2736" w:type="dxa"/>
          </w:tcPr>
          <w:p w14:paraId="79F7E596" w14:textId="77777777" w:rsidR="009A4662" w:rsidRDefault="00000000">
            <w:r>
              <w:rPr>
                <w:b/>
                <w:color w:val="0E2A47"/>
                <w:sz w:val="19"/>
              </w:rPr>
              <w:t>03 — Loyalty / milestone engagement</w:t>
            </w:r>
          </w:p>
        </w:tc>
        <w:tc>
          <w:tcPr>
            <w:tcW w:w="2736" w:type="dxa"/>
          </w:tcPr>
          <w:p w14:paraId="362FA973" w14:textId="77777777" w:rsidR="009A4662" w:rsidRDefault="00000000">
            <w:r>
              <w:rPr>
                <w:sz w:val="19"/>
              </w:rPr>
              <w:t>Growing / mid-tenure</w:t>
            </w:r>
          </w:p>
        </w:tc>
        <w:tc>
          <w:tcPr>
            <w:tcW w:w="4608" w:type="dxa"/>
          </w:tcPr>
          <w:p w14:paraId="5D84614A" w14:textId="77777777" w:rsidR="009A4662" w:rsidRDefault="00000000">
            <w:r>
              <w:rPr>
                <w:sz w:val="19"/>
              </w:rPr>
              <w:t>6-month and 12-month milestone rewards to defend the Established-stage dip</w:t>
            </w:r>
          </w:p>
        </w:tc>
      </w:tr>
    </w:tbl>
    <w:p w14:paraId="0A49A9E3" w14:textId="77777777" w:rsidR="009A4662" w:rsidRDefault="009A4662">
      <w:pPr>
        <w:spacing w:after="40"/>
      </w:pPr>
    </w:p>
    <w:p w14:paraId="47072C27" w14:textId="77777777" w:rsidR="009A4662" w:rsidRDefault="00000000">
      <w:pPr>
        <w:pStyle w:val="Heading2"/>
      </w:pPr>
      <w:r>
        <w:t>11.3 90-day operating roadmap</w:t>
      </w:r>
    </w:p>
    <w:tbl>
      <w:tblPr>
        <w:tblStyle w:val="TableGrid"/>
        <w:tblW w:w="0" w:type="auto"/>
        <w:jc w:val="center"/>
        <w:tblLook w:val="04A0" w:firstRow="1" w:lastRow="0" w:firstColumn="1" w:lastColumn="0" w:noHBand="0" w:noVBand="1"/>
      </w:tblPr>
      <w:tblGrid>
        <w:gridCol w:w="1942"/>
        <w:gridCol w:w="7686"/>
      </w:tblGrid>
      <w:tr w:rsidR="009A4662" w14:paraId="0C13AD79" w14:textId="77777777">
        <w:trPr>
          <w:jc w:val="center"/>
        </w:trPr>
        <w:tc>
          <w:tcPr>
            <w:tcW w:w="2016" w:type="dxa"/>
            <w:shd w:val="clear" w:color="auto" w:fill="0E2A47"/>
          </w:tcPr>
          <w:p w14:paraId="7935A0F7" w14:textId="77777777" w:rsidR="009A4662" w:rsidRDefault="00000000">
            <w:r>
              <w:rPr>
                <w:b/>
                <w:color w:val="FFFFFF"/>
                <w:sz w:val="19"/>
              </w:rPr>
              <w:t>Phase</w:t>
            </w:r>
          </w:p>
        </w:tc>
        <w:tc>
          <w:tcPr>
            <w:tcW w:w="8064" w:type="dxa"/>
            <w:shd w:val="clear" w:color="auto" w:fill="0E2A47"/>
          </w:tcPr>
          <w:p w14:paraId="196D2AE7" w14:textId="77777777" w:rsidR="009A4662" w:rsidRDefault="00000000">
            <w:r>
              <w:rPr>
                <w:b/>
                <w:color w:val="FFFFFF"/>
                <w:sz w:val="19"/>
              </w:rPr>
              <w:t>Actions</w:t>
            </w:r>
          </w:p>
        </w:tc>
      </w:tr>
      <w:tr w:rsidR="009A4662" w14:paraId="11B20B23" w14:textId="77777777">
        <w:trPr>
          <w:jc w:val="center"/>
        </w:trPr>
        <w:tc>
          <w:tcPr>
            <w:tcW w:w="2016" w:type="dxa"/>
          </w:tcPr>
          <w:p w14:paraId="69F2AE5B" w14:textId="77777777" w:rsidR="009A4662" w:rsidRDefault="00000000">
            <w:r>
              <w:rPr>
                <w:b/>
                <w:color w:val="0E2A47"/>
                <w:sz w:val="19"/>
              </w:rPr>
              <w:t>0–30 days</w:t>
            </w:r>
          </w:p>
        </w:tc>
        <w:tc>
          <w:tcPr>
            <w:tcW w:w="8064" w:type="dxa"/>
          </w:tcPr>
          <w:p w14:paraId="1E17CA21" w14:textId="77777777" w:rsidR="009A4662" w:rsidRDefault="00000000">
            <w:r>
              <w:rPr>
                <w:sz w:val="19"/>
              </w:rPr>
              <w:t>Identify new-customer risk pool · establish complaint fast-track · create churn-risk monitoring view</w:t>
            </w:r>
          </w:p>
        </w:tc>
      </w:tr>
      <w:tr w:rsidR="009A4662" w14:paraId="212CB303" w14:textId="77777777">
        <w:trPr>
          <w:jc w:val="center"/>
        </w:trPr>
        <w:tc>
          <w:tcPr>
            <w:tcW w:w="2016" w:type="dxa"/>
            <w:shd w:val="clear" w:color="auto" w:fill="EDF3F9"/>
          </w:tcPr>
          <w:p w14:paraId="76620B90" w14:textId="77777777" w:rsidR="009A4662" w:rsidRDefault="00000000">
            <w:r>
              <w:rPr>
                <w:b/>
                <w:color w:val="0E2A47"/>
                <w:sz w:val="19"/>
              </w:rPr>
              <w:t>31–60 days</w:t>
            </w:r>
          </w:p>
        </w:tc>
        <w:tc>
          <w:tcPr>
            <w:tcW w:w="8064" w:type="dxa"/>
            <w:shd w:val="clear" w:color="auto" w:fill="EDF3F9"/>
          </w:tcPr>
          <w:p w14:paraId="2A6288F4" w14:textId="77777777" w:rsidR="009A4662" w:rsidRDefault="00000000">
            <w:r>
              <w:rPr>
                <w:sz w:val="19"/>
              </w:rPr>
              <w:t>Launch onboarding intervention · introduce service-recovery follow-up · monitor high-risk segments</w:t>
            </w:r>
          </w:p>
        </w:tc>
      </w:tr>
      <w:tr w:rsidR="009A4662" w14:paraId="56AADAD7" w14:textId="77777777">
        <w:trPr>
          <w:jc w:val="center"/>
        </w:trPr>
        <w:tc>
          <w:tcPr>
            <w:tcW w:w="2016" w:type="dxa"/>
          </w:tcPr>
          <w:p w14:paraId="4ADC40AC" w14:textId="77777777" w:rsidR="009A4662" w:rsidRDefault="00000000">
            <w:r>
              <w:rPr>
                <w:b/>
                <w:color w:val="0E2A47"/>
                <w:sz w:val="19"/>
              </w:rPr>
              <w:t>61–90 days</w:t>
            </w:r>
          </w:p>
        </w:tc>
        <w:tc>
          <w:tcPr>
            <w:tcW w:w="8064" w:type="dxa"/>
          </w:tcPr>
          <w:p w14:paraId="7EA9E45E" w14:textId="77777777" w:rsidR="009A4662" w:rsidRDefault="00000000">
            <w:r>
              <w:rPr>
                <w:sz w:val="19"/>
              </w:rPr>
              <w:t>Evaluate outcomes · compare churn before/after · refine segments · scale successful interventions</w:t>
            </w:r>
          </w:p>
        </w:tc>
      </w:tr>
    </w:tbl>
    <w:p w14:paraId="739A4B23" w14:textId="77777777" w:rsidR="009A4662" w:rsidRDefault="009A4662">
      <w:pPr>
        <w:spacing w:after="40"/>
      </w:pPr>
    </w:p>
    <w:p w14:paraId="0141602D" w14:textId="77777777" w:rsidR="009A4662" w:rsidRDefault="00000000">
      <w:pPr>
        <w:pStyle w:val="Heading2"/>
      </w:pPr>
      <w:r>
        <w:t>11.4 KPIs to monitor</w:t>
      </w:r>
    </w:p>
    <w:p w14:paraId="44134589" w14:textId="77777777" w:rsidR="009A4662" w:rsidRDefault="00000000">
      <w:r>
        <w:t>Churn rate · Retention rate · Complaint churn rate · New-customer churn · At-risk customer count · Customer-value exposure. Review cadence: monthly retention review with Customer Success, CRM and Marketing.</w:t>
      </w:r>
    </w:p>
    <w:p w14:paraId="325F7289" w14:textId="77777777" w:rsidR="009A4662" w:rsidRDefault="00000000">
      <w:pPr>
        <w:pStyle w:val="Heading1"/>
        <w:pBdr>
          <w:bottom w:val="single" w:sz="10" w:space="5" w:color="00A8CC"/>
        </w:pBdr>
      </w:pPr>
      <w:r>
        <w:lastRenderedPageBreak/>
        <w:t>12. Conclusions &amp; Recommendations</w:t>
      </w:r>
    </w:p>
    <w:p w14:paraId="12B9C7F1" w14:textId="77777777" w:rsidR="009A4662" w:rsidRDefault="00000000">
      <w:pPr>
        <w:pStyle w:val="ListBullet"/>
        <w:spacing w:after="60"/>
      </w:pPr>
      <w:r>
        <w:t>Churn is concentrated: early-lifecycle customers churn at 41.86% while later stages stay below 10% (Loyal 0.00%).</w:t>
      </w:r>
    </w:p>
    <w:p w14:paraId="7C3817AD" w14:textId="77777777" w:rsidR="009A4662" w:rsidRDefault="00000000">
      <w:pPr>
        <w:pStyle w:val="ListBullet"/>
        <w:spacing w:after="60"/>
      </w:pPr>
      <w:r>
        <w:t>Customer experience matters: complaint behaviour is strongly associated with higher churn (31.67% vs 10.93%).</w:t>
      </w:r>
    </w:p>
    <w:p w14:paraId="0EF151B8" w14:textId="77777777" w:rsidR="009A4662" w:rsidRDefault="00000000">
      <w:pPr>
        <w:pStyle w:val="ListBullet"/>
        <w:spacing w:after="60"/>
      </w:pPr>
      <w:r>
        <w:t>Value changes priority: risk-level and value-quartile segmentation convert churn statistics into target lists and exposure figures.</w:t>
      </w:r>
    </w:p>
    <w:p w14:paraId="5AD8BBB6" w14:textId="77777777" w:rsidR="009A4662" w:rsidRDefault="00000000">
      <w:pPr>
        <w:pStyle w:val="ListBullet"/>
        <w:spacing w:after="60"/>
      </w:pPr>
      <w:r>
        <w:t>Retention has a measurable business case: reducing churn protects part of the ₹152.03K customer-value exposure (₹7.60K per 5 pp; ₹15.20K per 10 pp).</w:t>
      </w:r>
    </w:p>
    <w:tbl>
      <w:tblPr>
        <w:tblW w:w="0" w:type="auto"/>
        <w:jc w:val="center"/>
        <w:tblLook w:val="04A0" w:firstRow="1" w:lastRow="0" w:firstColumn="1" w:lastColumn="0" w:noHBand="0" w:noVBand="1"/>
      </w:tblPr>
      <w:tblGrid>
        <w:gridCol w:w="9504"/>
      </w:tblGrid>
      <w:tr w:rsidR="009A4662" w14:paraId="49593603" w14:textId="77777777">
        <w:trPr>
          <w:jc w:val="center"/>
        </w:trPr>
        <w:tc>
          <w:tcPr>
            <w:tcW w:w="9504" w:type="dxa"/>
            <w:tcBorders>
              <w:left w:val="single" w:sz="24" w:space="0" w:color="00A8CC"/>
            </w:tcBorders>
            <w:shd w:val="clear" w:color="auto" w:fill="0E2A47"/>
            <w:vAlign w:val="center"/>
          </w:tcPr>
          <w:p w14:paraId="47A613FA" w14:textId="77777777" w:rsidR="009A4662" w:rsidRDefault="00000000">
            <w:pPr>
              <w:spacing w:before="80" w:after="80"/>
            </w:pPr>
            <w:r>
              <w:rPr>
                <w:b/>
                <w:i/>
                <w:color w:val="35C3E8"/>
                <w:sz w:val="20"/>
              </w:rPr>
              <w:t>Recommended focus: prevent early churn → resolve complaints faster → protect high-risk customer value.</w:t>
            </w:r>
          </w:p>
        </w:tc>
      </w:tr>
    </w:tbl>
    <w:p w14:paraId="7E79E2E8" w14:textId="77777777" w:rsidR="009A4662" w:rsidRDefault="009A4662">
      <w:pPr>
        <w:spacing w:after="40"/>
      </w:pPr>
    </w:p>
    <w:p w14:paraId="2502EBF9" w14:textId="77777777" w:rsidR="009A4662" w:rsidRDefault="00000000">
      <w:pPr>
        <w:pStyle w:val="Heading1"/>
        <w:pBdr>
          <w:bottom w:val="single" w:sz="10" w:space="5" w:color="00A8CC"/>
        </w:pBdr>
      </w:pPr>
      <w:r>
        <w:t>13. Limitations &amp; Guardrails</w:t>
      </w:r>
    </w:p>
    <w:p w14:paraId="7C237583" w14:textId="77777777" w:rsidR="009A4662" w:rsidRDefault="00000000">
      <w:pPr>
        <w:pStyle w:val="ListBullet"/>
        <w:spacing w:after="60"/>
      </w:pPr>
      <w:r>
        <w:t>CashbackAmount is a monetary proxy for customer value; figures are not actual company revenue.</w:t>
      </w:r>
    </w:p>
    <w:p w14:paraId="77601C6C" w14:textId="77777777" w:rsidR="009A4662" w:rsidRDefault="00000000">
      <w:pPr>
        <w:pStyle w:val="ListBullet"/>
        <w:spacing w:after="60"/>
      </w:pPr>
      <w:r>
        <w:t>All relationships are observed associations; no causal claims are made.</w:t>
      </w:r>
    </w:p>
    <w:p w14:paraId="3D2F4290" w14:textId="77777777" w:rsidR="009A4662" w:rsidRDefault="00000000">
      <w:pPr>
        <w:pStyle w:val="ListBullet"/>
        <w:spacing w:after="60"/>
      </w:pPr>
      <w:r>
        <w:t>No predictive model was built; no model performance metrics are claimed.</w:t>
      </w:r>
    </w:p>
    <w:p w14:paraId="5919545F" w14:textId="77777777" w:rsidR="009A4662" w:rsidRDefault="00000000">
      <w:pPr>
        <w:pStyle w:val="ListBullet"/>
        <w:spacing w:after="60"/>
      </w:pPr>
      <w:r>
        <w:t>The satisfaction–churn relationship is non-monotonic and requires process review before operational use.</w:t>
      </w:r>
    </w:p>
    <w:p w14:paraId="3BC693FB" w14:textId="77777777" w:rsidR="009A4662" w:rsidRDefault="00000000">
      <w:pPr>
        <w:pStyle w:val="ListBullet"/>
        <w:spacing w:after="60"/>
      </w:pPr>
      <w:r>
        <w:t>The Champions RFM segment contains 0 customers in this dataset; RFM definitions should be revisited as the base matures.</w:t>
      </w:r>
    </w:p>
    <w:p w14:paraId="4C27EB5C" w14:textId="77777777" w:rsidR="009A4662" w:rsidRDefault="00000000">
      <w:pPr>
        <w:pStyle w:val="ListBullet"/>
        <w:spacing w:after="60"/>
      </w:pPr>
      <w:r>
        <w:t>Scenario savings (5%/10% reductions) are potential, not guaranteed, outcomes.</w:t>
      </w:r>
    </w:p>
    <w:p w14:paraId="327D06D5" w14:textId="77777777" w:rsidR="009A4662" w:rsidRDefault="00000000">
      <w:r>
        <w:br w:type="page"/>
      </w:r>
    </w:p>
    <w:p w14:paraId="017BEE20" w14:textId="77777777" w:rsidR="009A4662" w:rsidRDefault="00000000">
      <w:pPr>
        <w:pStyle w:val="Heading1"/>
        <w:pBdr>
          <w:bottom w:val="single" w:sz="10" w:space="5" w:color="00A8CC"/>
        </w:pBdr>
      </w:pPr>
      <w:r>
        <w:lastRenderedPageBreak/>
        <w:t>Appendix A — Technical Implementation</w:t>
      </w:r>
    </w:p>
    <w:p w14:paraId="0A6B05D0" w14:textId="77777777" w:rsidR="009A4662" w:rsidRDefault="00000000">
      <w:pPr>
        <w:pStyle w:val="Heading2"/>
      </w:pPr>
      <w:r>
        <w:t>A.1 Python</w:t>
      </w:r>
    </w:p>
    <w:p w14:paraId="46CABB47" w14:textId="77777777" w:rsidR="009A4662" w:rsidRDefault="00000000">
      <w:r>
        <w:t>Pandas · NumPy for cleaning and transformation; null profiling (isnull().sum()), duplicate detection (duplicated().sum()), median imputation; Matplotlib/Seaborn for EDA, cohort and heatmap visuals; RFM and cohort construction for segmentation.</w:t>
      </w:r>
    </w:p>
    <w:p w14:paraId="6A7F7968" w14:textId="77777777" w:rsidR="009A4662" w:rsidRDefault="00000000">
      <w:pPr>
        <w:pStyle w:val="Heading2"/>
      </w:pPr>
      <w:r>
        <w:t>A.2 SQL (MySQL 8.0+)</w:t>
      </w:r>
    </w:p>
    <w:p w14:paraId="37616E70" w14:textId="77777777" w:rsidR="009A4662" w:rsidRDefault="00000000">
      <w:r>
        <w:t>Representative constructs used across the business-query layer:</w:t>
      </w:r>
    </w:p>
    <w:p w14:paraId="2FD6887E" w14:textId="77777777" w:rsidR="009A4662" w:rsidRDefault="00000000">
      <w:pPr>
        <w:spacing w:after="80"/>
      </w:pPr>
      <w:r>
        <w:rPr>
          <w:rFonts w:ascii="Consolas" w:hAnsi="Consolas"/>
          <w:color w:val="0B4E63"/>
          <w:sz w:val="17"/>
        </w:rPr>
        <w:t>WITH tenure_segments AS (</w:t>
      </w:r>
      <w:r>
        <w:rPr>
          <w:rFonts w:ascii="Consolas" w:hAnsi="Consolas"/>
          <w:color w:val="0B4E63"/>
          <w:sz w:val="17"/>
        </w:rPr>
        <w:br/>
        <w:t xml:space="preserve">  SELECT CASE WHEN Tenure &lt;= 3 THEN 'New (0-3m)' ...</w:t>
      </w:r>
      <w:r>
        <w:rPr>
          <w:rFonts w:ascii="Consolas" w:hAnsi="Consolas"/>
          <w:color w:val="0B4E63"/>
          <w:sz w:val="17"/>
        </w:rPr>
        <w:br/>
        <w:t xml:space="preserve">  FROM ecommerce_churn )</w:t>
      </w:r>
    </w:p>
    <w:p w14:paraId="543F2064" w14:textId="77777777" w:rsidR="009A4662" w:rsidRDefault="00000000">
      <w:pPr>
        <w:spacing w:after="80"/>
      </w:pPr>
      <w:r>
        <w:rPr>
          <w:rFonts w:ascii="Consolas" w:hAnsi="Consolas"/>
          <w:color w:val="0B4E63"/>
          <w:sz w:val="17"/>
        </w:rPr>
        <w:t>NTILE(4) OVER (ORDER BY CashbackAmount) AS value_quartile</w:t>
      </w:r>
    </w:p>
    <w:p w14:paraId="14CA7545" w14:textId="77777777" w:rsidR="009A4662" w:rsidRDefault="00000000">
      <w:pPr>
        <w:spacing w:after="80"/>
      </w:pPr>
      <w:r>
        <w:rPr>
          <w:rFonts w:ascii="Consolas" w:hAnsi="Consolas"/>
          <w:color w:val="0B4E63"/>
          <w:sz w:val="17"/>
        </w:rPr>
        <w:t>RANK() OVER (ORDER BY CashbackAmount DESC) AS value_rank</w:t>
      </w:r>
    </w:p>
    <w:p w14:paraId="3601A2D9" w14:textId="77777777" w:rsidR="009A4662" w:rsidRDefault="00000000">
      <w:pPr>
        <w:spacing w:after="80"/>
      </w:pPr>
      <w:r>
        <w:rPr>
          <w:rFonts w:ascii="Consolas" w:hAnsi="Consolas"/>
          <w:color w:val="0B4E63"/>
          <w:sz w:val="17"/>
        </w:rPr>
        <w:t>SUM(CASE WHEN Churn = 1 THEN 1 ELSE 0 END) ... LAG() OVER (ORDER BY Tenure)</w:t>
      </w:r>
    </w:p>
    <w:p w14:paraId="77D11CF2" w14:textId="77777777" w:rsidR="009A4662" w:rsidRDefault="00000000">
      <w:pPr>
        <w:pStyle w:val="Heading2"/>
      </w:pPr>
      <w:r>
        <w:t>A.3 Power BI</w:t>
      </w:r>
    </w:p>
    <w:p w14:paraId="2C506002" w14:textId="77777777" w:rsidR="009A4662" w:rsidRDefault="00000000">
      <w:r>
        <w:t>Three dashboard pages — Overview, Churn Drivers, Revenue Impact — with KPI cards, slicers (gender, city tier, marital status, preferred category) and the retention playbook panel for management consumption.</w:t>
      </w:r>
    </w:p>
    <w:p w14:paraId="227FFC61" w14:textId="77777777" w:rsidR="009A4662" w:rsidRDefault="00000000">
      <w:pPr>
        <w:jc w:val="center"/>
      </w:pPr>
      <w:r>
        <w:rPr>
          <w:noProof/>
        </w:rPr>
        <w:drawing>
          <wp:inline distT="0" distB="0" distL="0" distR="0" wp14:anchorId="0AC6DDF1" wp14:editId="0A3D11F0">
            <wp:extent cx="5943600" cy="34037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201117.png"/>
                    <pic:cNvPicPr/>
                  </pic:nvPicPr>
                  <pic:blipFill>
                    <a:blip r:embed="rId34"/>
                    <a:stretch>
                      <a:fillRect/>
                    </a:stretch>
                  </pic:blipFill>
                  <pic:spPr>
                    <a:xfrm>
                      <a:off x="0" y="0"/>
                      <a:ext cx="5943600" cy="3403710"/>
                    </a:xfrm>
                    <a:prstGeom prst="rect">
                      <a:avLst/>
                    </a:prstGeom>
                  </pic:spPr>
                </pic:pic>
              </a:graphicData>
            </a:graphic>
          </wp:inline>
        </w:drawing>
      </w:r>
    </w:p>
    <w:p w14:paraId="2301CBF0" w14:textId="77777777" w:rsidR="009A4662" w:rsidRDefault="00000000">
      <w:pPr>
        <w:spacing w:after="200"/>
        <w:jc w:val="center"/>
      </w:pPr>
      <w:r>
        <w:rPr>
          <w:i/>
          <w:color w:val="77879A"/>
          <w:sz w:val="17"/>
        </w:rPr>
        <w:t>Figure 26  ·  ChurnLens Drivers dashboard.</w:t>
      </w:r>
    </w:p>
    <w:p w14:paraId="16F98098" w14:textId="77777777" w:rsidR="009A4662" w:rsidRDefault="00000000">
      <w:pPr>
        <w:pStyle w:val="Heading2"/>
      </w:pPr>
      <w:r>
        <w:t>A.4 Architecture</w:t>
      </w:r>
    </w:p>
    <w:p w14:paraId="7CC708DA" w14:textId="77777777" w:rsidR="009A4662" w:rsidRDefault="00000000">
      <w:r>
        <w:t>Raw Excel → Python data preparation → clean CSV → MySQL analytical database → business SQL layer → customer risk / business metrics → Power BI dashboards → management decision. End-to-end ownership by a single analyst pipeline.</w:t>
      </w:r>
    </w:p>
    <w:p w14:paraId="7AAB97E4" w14:textId="77777777" w:rsidR="009A4662" w:rsidRDefault="00000000">
      <w:r>
        <w:lastRenderedPageBreak/>
        <w:br w:type="page"/>
      </w:r>
    </w:p>
    <w:p w14:paraId="23EEFA0B" w14:textId="77777777" w:rsidR="009A4662" w:rsidRDefault="00000000">
      <w:pPr>
        <w:pStyle w:val="Heading1"/>
        <w:pBdr>
          <w:bottom w:val="single" w:sz="10" w:space="5" w:color="00A8CC"/>
        </w:pBdr>
      </w:pPr>
      <w:r>
        <w:lastRenderedPageBreak/>
        <w:t>Appendix B — Figure &amp; Data Source Index</w:t>
      </w:r>
    </w:p>
    <w:p w14:paraId="21FB4759" w14:textId="77777777" w:rsidR="009A4662" w:rsidRDefault="00000000">
      <w:r>
        <w:t>All figures are reproduced from the project's validated analytical outputs (Python/Seaborn charts, MySQL query results and Power BI dashboards). Underlying data files: ecommerce_churn_raw.xlsx, cleaned_ecommerce_churn.csv, customer_risk_segments.csv, final_business_metrics.csv; SQL scripts 01_database_setup.sql, 02_data_cleaning.sql, 03_business_queries.sql; and the project notebooks.</w:t>
      </w:r>
    </w:p>
    <w:p w14:paraId="3FECE285" w14:textId="77777777" w:rsidR="009A4662" w:rsidRDefault="00000000">
      <w:pPr>
        <w:pStyle w:val="ListBullet"/>
        <w:spacing w:after="60"/>
      </w:pPr>
      <w:r>
        <w:rPr>
          <w:sz w:val="19"/>
        </w:rPr>
        <w:t>B.1  ChurnLens dashboards (Overview / Drivers / Revenue Impact) — Power BI exports</w:t>
      </w:r>
    </w:p>
    <w:p w14:paraId="7DBAE333" w14:textId="77777777" w:rsidR="009A4662" w:rsidRDefault="00000000">
      <w:pPr>
        <w:pStyle w:val="ListBullet"/>
        <w:spacing w:after="60"/>
      </w:pPr>
      <w:r>
        <w:rPr>
          <w:sz w:val="19"/>
        </w:rPr>
        <w:t>B.2  Missing values by column; churn distribution</w:t>
      </w:r>
    </w:p>
    <w:p w14:paraId="05AB2865" w14:textId="77777777" w:rsidR="009A4662" w:rsidRDefault="00000000">
      <w:pPr>
        <w:pStyle w:val="ListBullet"/>
        <w:spacing w:after="60"/>
      </w:pPr>
      <w:r>
        <w:rPr>
          <w:sz w:val="19"/>
        </w:rPr>
        <w:t>B.3  Lifecycle churn, retention curve, cohort × city-tier heatmap</w:t>
      </w:r>
    </w:p>
    <w:p w14:paraId="123970C1" w14:textId="77777777" w:rsidR="009A4662" w:rsidRDefault="00000000">
      <w:pPr>
        <w:pStyle w:val="ListBullet"/>
        <w:spacing w:after="60"/>
      </w:pPr>
      <w:r>
        <w:rPr>
          <w:sz w:val="19"/>
        </w:rPr>
        <w:t>B.4  Complaint &amp; satisfaction visuals, cohort heatmaps</w:t>
      </w:r>
    </w:p>
    <w:p w14:paraId="40A74938" w14:textId="77777777" w:rsidR="009A4662" w:rsidRDefault="00000000">
      <w:pPr>
        <w:pStyle w:val="ListBullet"/>
        <w:spacing w:after="60"/>
      </w:pPr>
      <w:r>
        <w:rPr>
          <w:sz w:val="19"/>
        </w:rPr>
        <w:t>B.5  Segment charts: payment, category, login device, marital, city tier, gender × marital</w:t>
      </w:r>
    </w:p>
    <w:p w14:paraId="6CB0D085" w14:textId="77777777" w:rsidR="009A4662" w:rsidRDefault="00000000">
      <w:pPr>
        <w:pStyle w:val="ListBullet"/>
        <w:spacing w:after="60"/>
      </w:pPr>
      <w:r>
        <w:rPr>
          <w:sz w:val="19"/>
        </w:rPr>
        <w:t>B.6  Boxplots (tenure, value proxy), correlation matrix</w:t>
      </w:r>
    </w:p>
    <w:p w14:paraId="563C5CBA" w14:textId="77777777" w:rsidR="009A4662" w:rsidRDefault="00000000">
      <w:pPr>
        <w:pStyle w:val="ListBullet"/>
        <w:spacing w:after="60"/>
      </w:pPr>
      <w:r>
        <w:rPr>
          <w:sz w:val="19"/>
        </w:rPr>
        <w:t>B.7  RFM, risk segments, Pareto value concentration</w:t>
      </w:r>
    </w:p>
    <w:p w14:paraId="64BE2050" w14:textId="77777777" w:rsidR="009A4662" w:rsidRDefault="00000000">
      <w:pPr>
        <w:pStyle w:val="ListBullet"/>
        <w:spacing w:after="60"/>
      </w:pPr>
      <w:r>
        <w:rPr>
          <w:sz w:val="19"/>
        </w:rPr>
        <w:t>B.8  Intelligence dashboard composite</w:t>
      </w:r>
    </w:p>
    <w:p w14:paraId="6CEA879C" w14:textId="77777777" w:rsidR="009A4662" w:rsidRDefault="00000000">
      <w:pPr>
        <w:jc w:val="center"/>
      </w:pPr>
      <w:r>
        <w:rPr>
          <w:i/>
          <w:color w:val="77879A"/>
          <w:sz w:val="18"/>
        </w:rPr>
        <w:t>— End of report —</w:t>
      </w:r>
    </w:p>
    <w:sectPr w:rsidR="009A4662" w:rsidSect="00034616">
      <w:headerReference w:type="default" r:id="rId35"/>
      <w:footerReference w:type="default" r:id="rId36"/>
      <w:pgSz w:w="11906" w:h="16838"/>
      <w:pgMar w:top="1134" w:right="1247" w:bottom="1020"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762EE" w14:textId="77777777" w:rsidR="007C471F" w:rsidRDefault="007C471F">
      <w:pPr>
        <w:spacing w:after="0" w:line="240" w:lineRule="auto"/>
      </w:pPr>
      <w:r>
        <w:separator/>
      </w:r>
    </w:p>
  </w:endnote>
  <w:endnote w:type="continuationSeparator" w:id="0">
    <w:p w14:paraId="1FB0503F" w14:textId="77777777" w:rsidR="007C471F" w:rsidRDefault="007C47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F708B" w14:textId="77777777" w:rsidR="009A4662" w:rsidRDefault="00000000">
    <w:pPr>
      <w:pStyle w:val="Footer"/>
      <w:pBdr>
        <w:top w:val="single" w:sz="6" w:space="4" w:color="D9E2EC"/>
      </w:pBdr>
    </w:pPr>
    <w:r>
      <w:rPr>
        <w:color w:val="77879A"/>
        <w:sz w:val="15"/>
      </w:rPr>
      <w:t xml:space="preserve">Source: Customer Churn &amp; Retention </w:t>
    </w:r>
    <w:proofErr w:type="gramStart"/>
    <w:r>
      <w:rPr>
        <w:color w:val="77879A"/>
        <w:sz w:val="15"/>
      </w:rPr>
      <w:t>Analytics  |</w:t>
    </w:r>
    <w:proofErr w:type="gramEnd"/>
    <w:r>
      <w:rPr>
        <w:color w:val="77879A"/>
        <w:sz w:val="15"/>
      </w:rPr>
      <w:t xml:space="preserve">  Python + MySQL + Power BI          Page </w:t>
    </w:r>
    <w:r>
      <w:fldChar w:fldCharType="begin"/>
    </w:r>
    <w:r>
      <w:instrText>PAGE</w:instrText>
    </w:r>
    <w:r w:rsidR="006630BA">
      <w:fldChar w:fldCharType="separate"/>
    </w:r>
    <w:r w:rsidR="006630BA">
      <w:rPr>
        <w:noProof/>
      </w:rPr>
      <w:t>2</w:t>
    </w:r>
    <w:r>
      <w:fldChar w:fldCharType="end"/>
    </w:r>
    <w:r>
      <w:rPr>
        <w:color w:val="77879A"/>
        <w:sz w:val="15"/>
      </w:rPr>
      <w:t xml:space="preserve"> of </w:t>
    </w:r>
    <w:r>
      <w:fldChar w:fldCharType="begin"/>
    </w:r>
    <w:r>
      <w:instrText>NUMPAGES</w:instrText>
    </w:r>
    <w:r w:rsidR="006630BA">
      <w:fldChar w:fldCharType="separate"/>
    </w:r>
    <w:r w:rsidR="006630BA">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D350C" w14:textId="77777777" w:rsidR="007C471F" w:rsidRDefault="007C471F">
      <w:pPr>
        <w:spacing w:after="0" w:line="240" w:lineRule="auto"/>
      </w:pPr>
      <w:r>
        <w:separator/>
      </w:r>
    </w:p>
  </w:footnote>
  <w:footnote w:type="continuationSeparator" w:id="0">
    <w:p w14:paraId="3128442D" w14:textId="77777777" w:rsidR="007C471F" w:rsidRDefault="007C47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6100B" w14:textId="77777777" w:rsidR="009A4662" w:rsidRDefault="00000000">
    <w:pPr>
      <w:pStyle w:val="Header"/>
      <w:pBdr>
        <w:bottom w:val="single" w:sz="6" w:space="4" w:color="D9E2EC"/>
      </w:pBdr>
    </w:pPr>
    <w:r>
      <w:rPr>
        <w:noProof/>
      </w:rPr>
      <w:drawing>
        <wp:inline distT="0" distB="0" distL="0" distR="0" wp14:anchorId="15494891" wp14:editId="37718F7C">
          <wp:extent cx="964229" cy="342000"/>
          <wp:effectExtent l="0" t="0" r="0" b="0"/>
          <wp:docPr id="1764045753" name="Picture 1764045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light.png"/>
                  <pic:cNvPicPr/>
                </pic:nvPicPr>
                <pic:blipFill>
                  <a:blip r:embed="rId1"/>
                  <a:stretch>
                    <a:fillRect/>
                  </a:stretch>
                </pic:blipFill>
                <pic:spPr>
                  <a:xfrm>
                    <a:off x="0" y="0"/>
                    <a:ext cx="964229" cy="342000"/>
                  </a:xfrm>
                  <a:prstGeom prst="rect">
                    <a:avLst/>
                  </a:prstGeom>
                </pic:spPr>
              </pic:pic>
            </a:graphicData>
          </a:graphic>
        </wp:inline>
      </w:drawing>
    </w:r>
  </w:p>
  <w:p w14:paraId="67025D18" w14:textId="2BB0C083" w:rsidR="009A4662" w:rsidRDefault="00000000">
    <w:pPr>
      <w:spacing w:after="0"/>
      <w:jc w:val="right"/>
    </w:pPr>
    <w:r>
      <w:rPr>
        <w:color w:val="77879A"/>
        <w:sz w:val="15"/>
      </w:rPr>
      <w:t xml:space="preserve">CUSTOMER CHURN &amp; RETENTION </w:t>
    </w:r>
    <w:r w:rsidR="006630BA">
      <w:rPr>
        <w:color w:val="77879A"/>
        <w:sz w:val="15"/>
      </w:rPr>
      <w:t xml:space="preserve">ANALYTICS </w:t>
    </w:r>
    <w:proofErr w:type="gramStart"/>
    <w:r w:rsidR="006630BA">
      <w:rPr>
        <w:color w:val="77879A"/>
        <w:sz w:val="15"/>
      </w:rPr>
      <w:t>·</w:t>
    </w:r>
    <w:r>
      <w:rPr>
        <w:color w:val="77879A"/>
        <w:sz w:val="15"/>
      </w:rPr>
      <w:t xml:space="preserve">  ANALYTICS</w:t>
    </w:r>
    <w:proofErr w:type="gramEnd"/>
    <w:r>
      <w:rPr>
        <w:color w:val="77879A"/>
        <w:sz w:val="15"/>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2456019">
    <w:abstractNumId w:val="8"/>
  </w:num>
  <w:num w:numId="2" w16cid:durableId="2028368117">
    <w:abstractNumId w:val="6"/>
  </w:num>
  <w:num w:numId="3" w16cid:durableId="1923174748">
    <w:abstractNumId w:val="5"/>
  </w:num>
  <w:num w:numId="4" w16cid:durableId="101188317">
    <w:abstractNumId w:val="4"/>
  </w:num>
  <w:num w:numId="5" w16cid:durableId="806513942">
    <w:abstractNumId w:val="7"/>
  </w:num>
  <w:num w:numId="6" w16cid:durableId="541786818">
    <w:abstractNumId w:val="3"/>
  </w:num>
  <w:num w:numId="7" w16cid:durableId="80419186">
    <w:abstractNumId w:val="2"/>
  </w:num>
  <w:num w:numId="8" w16cid:durableId="316962060">
    <w:abstractNumId w:val="1"/>
  </w:num>
  <w:num w:numId="9" w16cid:durableId="243035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30BA"/>
    <w:rsid w:val="007059EC"/>
    <w:rsid w:val="007C471F"/>
    <w:rsid w:val="009A466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EEB5B2"/>
  <w14:defaultImageDpi w14:val="300"/>
  <w15:docId w15:val="{B08F1127-B3FC-4A40-BB70-1960865E2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Calibri" w:hAnsi="Calibri"/>
      <w:color w:val="445468"/>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0E2A47"/>
      <w:sz w:val="33"/>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008FAD"/>
      <w:sz w:val="25"/>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b/>
      <w:bCs/>
      <w:color w:val="0E2A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2769</Words>
  <Characters>15786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Kumar Jha</cp:lastModifiedBy>
  <cp:revision>2</cp:revision>
  <dcterms:created xsi:type="dcterms:W3CDTF">2013-12-23T23:15:00Z</dcterms:created>
  <dcterms:modified xsi:type="dcterms:W3CDTF">2026-08-31T11:55:00Z</dcterms:modified>
  <cp:category/>
</cp:coreProperties>
</file>