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Arial" w:cs="Arial" w:eastAsia="Arial" w:hAnsi="Arial"/>
          <w:b/>
          <w:bCs/>
          <w:color w:val="0F2940"/>
          <w:sz w:val="36"/>
          <w:szCs w:val="36"/>
        </w:rPr>
        <w:t xml:space="preserve">AMIT SAH</w:t>
      </w:r>
    </w:p>
    <w:p>
      <w:pPr>
        <w:spacing w:after="80"/>
      </w:pPr>
      <w:r>
        <w:rPr>
          <w:rFonts w:ascii="Arial" w:cs="Arial" w:eastAsia="Arial" w:hAnsi="Arial"/>
          <w:color w:val="3C4A56"/>
          <w:sz w:val="21"/>
          <w:szCs w:val="21"/>
        </w:rPr>
        <w:t xml:space="preserve">Delivery &amp; Transformation Manager | Automation Leadership | AI-Enabled Operations</w:t>
      </w:r>
    </w:p>
    <w:p>
      <w:pPr>
        <w:spacing w:after="200"/>
      </w:pPr>
      <w:r>
        <w:rPr>
          <w:rFonts w:ascii="Arial" w:cs="Arial" w:eastAsia="Arial" w:hAnsi="Arial"/>
          <w:color w:val="3C4A56"/>
          <w:sz w:val="19"/>
          <w:szCs w:val="19"/>
        </w:rPr>
        <w:t xml:space="preserve">amitmesah@gmail.com  ·  +33 745 38 30 80  ·  France (onsite)  ·  linkedin.com/in/amitmesah</w:t>
      </w:r>
    </w:p>
    <w:p>
      <w:pPr>
        <w:pStyle w:val="Heading1"/>
        <w:pBdr>
          <w:bottom w:val="single" w:color="0F2940" w:sz="6" w:space="2"/>
        </w:pBdr>
        <w:spacing w:after="140" w:before="280"/>
      </w:pPr>
      <w:r>
        <w:rPr>
          <w:rFonts w:ascii="Arial" w:cs="Arial" w:eastAsia="Arial" w:hAnsi="Arial"/>
          <w:b/>
          <w:bCs/>
          <w:color w:val="0F2940"/>
          <w:sz w:val="24"/>
          <w:szCs w:val="24"/>
        </w:rPr>
        <w:t xml:space="preserve">Professional Summary</w:t>
      </w:r>
    </w:p>
    <w:p>
      <w:pPr>
        <w:spacing w:after="120"/>
      </w:pPr>
      <w:r>
        <w:rPr>
          <w:rFonts w:ascii="Arial" w:cs="Arial" w:eastAsia="Arial" w:hAnsi="Arial"/>
          <w:color w:val="1A1A1A"/>
          <w:sz w:val="20"/>
          <w:szCs w:val="20"/>
        </w:rPr>
        <w:t xml:space="preserve">19 years in IT delivery, automation, and transformation — working across client onboarding, service delivery, and automation programmes in complex, multi-country environments. Currently based in France, working with European enterprise clients as part of Capgemini’s onsite team. Experience spans managing large delivery teams, leading client transitions worth up to USD 149M, coordinating automation across multiple accounts simultaneously, and driving global initiatives such as AIOps adoption and GenAI proofs-of-concept. Looking to bring this delivery and automation leadership to a senior international role with broader scope and direct business impact.</w:t>
      </w:r>
    </w:p>
    <w:p>
      <w:pPr>
        <w:pStyle w:val="Heading1"/>
        <w:pBdr>
          <w:bottom w:val="single" w:color="0F2940" w:sz="6" w:space="2"/>
        </w:pBdr>
        <w:spacing w:after="140" w:before="280"/>
      </w:pPr>
      <w:r>
        <w:rPr>
          <w:rFonts w:ascii="Arial" w:cs="Arial" w:eastAsia="Arial" w:hAnsi="Arial"/>
          <w:b/>
          <w:bCs/>
          <w:color w:val="0F2940"/>
          <w:sz w:val="24"/>
          <w:szCs w:val="24"/>
        </w:rPr>
        <w:t xml:space="preserve">Core Competencies</w:t>
      </w:r>
    </w:p>
    <w:p>
      <w:pPr>
        <w:spacing w:after="120"/>
      </w:pPr>
      <w:r>
        <w:rPr>
          <w:rFonts w:ascii="Arial" w:cs="Arial" w:eastAsia="Arial" w:hAnsi="Arial"/>
          <w:color w:val="1A1A1A"/>
          <w:sz w:val="20"/>
          <w:szCs w:val="20"/>
        </w:rPr>
        <w:t xml:space="preserve">Service Delivery Management (ITIL V4)  ·  Client Transition &amp; Onboarding (50+ deals)  ·  Automation Programme Leadership  ·  AIOps &amp; GenAI PoC Delivery  ·  Stakeholder &amp; Account Management  ·  Team Leadership — Onshore + Offshore  ·  Presales &amp; Business Development  ·  Risk Assessment &amp; Mitigation  ·  Scrum / Agile Delivery</w:t>
      </w:r>
    </w:p>
    <w:p>
      <w:pPr>
        <w:pStyle w:val="Heading1"/>
        <w:pBdr>
          <w:bottom w:val="single" w:color="0F2940" w:sz="6" w:space="2"/>
        </w:pBdr>
        <w:spacing w:after="140" w:before="280"/>
      </w:pPr>
      <w:r>
        <w:rPr>
          <w:rFonts w:ascii="Arial" w:cs="Arial" w:eastAsia="Arial" w:hAnsi="Arial"/>
          <w:b/>
          <w:bCs/>
          <w:color w:val="0F2940"/>
          <w:sz w:val="24"/>
          <w:szCs w:val="24"/>
        </w:rPr>
        <w:t xml:space="preserve">Professional Experience</w:t>
      </w:r>
    </w:p>
    <w:p>
      <w:pPr>
        <w:spacing w:after="60" w:before="240"/>
      </w:pPr>
      <w:r>
        <w:rPr>
          <w:rFonts w:ascii="Arial" w:cs="Arial" w:eastAsia="Arial" w:hAnsi="Arial"/>
          <w:b/>
          <w:bCs/>
          <w:color w:val="0F2940"/>
          <w:sz w:val="22"/>
          <w:szCs w:val="22"/>
        </w:rPr>
        <w:t xml:space="preserve">CAPGEMINI TECHNOLOGY SERVICES — France (Onsite)</w:t>
      </w:r>
      <w:r>
        <w:rPr>
          <w:rFonts w:ascii="Arial" w:cs="Arial" w:eastAsia="Arial" w:hAnsi="Arial"/>
          <w:i/>
          <w:iCs/>
          <w:color w:val="3C4A56"/>
          <w:sz w:val="19"/>
          <w:szCs w:val="19"/>
        </w:rPr>
        <w:t xml:space="preserve">  —  Jan 2023 – Present</w:t>
      </w:r>
    </w:p>
    <w:p>
      <w:pPr>
        <w:spacing w:after="40" w:before="200"/>
      </w:pPr>
      <w:r>
        <w:rPr>
          <w:rFonts w:ascii="Arial" w:cs="Arial" w:eastAsia="Arial" w:hAnsi="Arial"/>
          <w:b/>
          <w:bCs/>
          <w:color w:val="0F2940"/>
          <w:sz w:val="21"/>
          <w:szCs w:val="21"/>
        </w:rPr>
        <w:t xml:space="preserve">Transversal Delivery Lead</w:t>
      </w:r>
      <w:r>
        <w:rPr>
          <w:rFonts w:ascii="Arial" w:cs="Arial" w:eastAsia="Arial" w:hAnsi="Arial"/>
          <w:i/>
          <w:iCs/>
          <w:color w:val="3C4A56"/>
          <w:sz w:val="19"/>
          <w:szCs w:val="19"/>
        </w:rPr>
        <w:t xml:space="preserve">   Oct 2025 – Present</w:t>
      </w:r>
    </w:p>
    <w:p>
      <w:pPr>
        <w:pStyle w:val="ListParagraph"/>
        <w:numPr>
          <w:ilvl w:val="0"/>
          <w:numId w:val="2"/>
        </w:numPr>
        <w:spacing w:after="60"/>
      </w:pPr>
      <w:r>
        <w:rPr>
          <w:rFonts w:ascii="Arial" w:cs="Arial" w:eastAsia="Arial" w:hAnsi="Arial"/>
          <w:color w:val="1A1A1A"/>
          <w:sz w:val="20"/>
          <w:szCs w:val="20"/>
        </w:rPr>
        <w:t xml:space="preserve">Entrusted with an expanded cross-domain mandate spanning automation delivery and, from Jan 2026, firewall operations — taking on leadership of 5 onshore + 4 offshore resources across technology towers, reflecting confidence in handling broader scope.</w:t>
      </w:r>
    </w:p>
    <w:p>
      <w:pPr>
        <w:pStyle w:val="ListParagraph"/>
        <w:numPr>
          <w:ilvl w:val="0"/>
          <w:numId w:val="2"/>
        </w:numPr>
        <w:spacing w:after="60"/>
      </w:pPr>
      <w:r>
        <w:rPr>
          <w:rFonts w:ascii="Arial" w:cs="Arial" w:eastAsia="Arial" w:hAnsi="Arial"/>
          <w:color w:val="1A1A1A"/>
          <w:sz w:val="20"/>
          <w:szCs w:val="20"/>
        </w:rPr>
        <w:t xml:space="preserve">Leading the integration of Red Hat Ansible Automation Platform (AAP) with ServiceNow — including a ServiceNow-based service referencing CMDB/CI data, enabling AAP to execute both Windows and Linux automation use cases and resolving a Windows execution constraint where WinRM was not permitted.</w:t>
      </w:r>
    </w:p>
    <w:p>
      <w:pPr>
        <w:pStyle w:val="ListParagraph"/>
        <w:numPr>
          <w:ilvl w:val="0"/>
          <w:numId w:val="2"/>
        </w:numPr>
        <w:spacing w:after="60"/>
      </w:pPr>
      <w:r>
        <w:rPr>
          <w:rFonts w:ascii="Arial" w:cs="Arial" w:eastAsia="Arial" w:hAnsi="Arial"/>
          <w:color w:val="1A1A1A"/>
          <w:sz w:val="20"/>
          <w:szCs w:val="20"/>
        </w:rPr>
        <w:t xml:space="preserve">Delivered SQL query automation on the account; scoping auto-ticketing (pending Dynatrace rollout) and alert fine-tuning on the ServiceNav monitoring platform.</w:t>
      </w:r>
    </w:p>
    <w:p>
      <w:pPr>
        <w:pStyle w:val="ListParagraph"/>
        <w:numPr>
          <w:ilvl w:val="0"/>
          <w:numId w:val="2"/>
        </w:numPr>
        <w:spacing w:after="60"/>
      </w:pPr>
      <w:r>
        <w:rPr>
          <w:rFonts w:ascii="Arial" w:cs="Arial" w:eastAsia="Arial" w:hAnsi="Arial"/>
          <w:color w:val="1A1A1A"/>
          <w:sz w:val="20"/>
          <w:szCs w:val="20"/>
        </w:rPr>
        <w:t xml:space="preserve">Driving a task force for the onshore firewall team — reducing ticket backlog, dependencies, access gaps, and onboarding time.</w:t>
      </w:r>
    </w:p>
    <w:p>
      <w:pPr>
        <w:pStyle w:val="ListParagraph"/>
        <w:numPr>
          <w:ilvl w:val="0"/>
          <w:numId w:val="2"/>
        </w:numPr>
        <w:spacing w:after="60"/>
      </w:pPr>
      <w:r>
        <w:rPr>
          <w:rFonts w:ascii="Arial" w:cs="Arial" w:eastAsia="Arial" w:hAnsi="Arial"/>
          <w:color w:val="1A1A1A"/>
          <w:sz w:val="20"/>
          <w:szCs w:val="20"/>
        </w:rPr>
        <w:t xml:space="preserve">Driving Service Improvement Plans and strategic initiatives directly assigned by senior management.</w:t>
      </w:r>
    </w:p>
    <w:p>
      <w:pPr>
        <w:spacing w:after="40" w:before="200"/>
      </w:pPr>
      <w:r>
        <w:rPr>
          <w:rFonts w:ascii="Arial" w:cs="Arial" w:eastAsia="Arial" w:hAnsi="Arial"/>
          <w:b/>
          <w:bCs/>
          <w:color w:val="0F2940"/>
          <w:sz w:val="21"/>
          <w:szCs w:val="21"/>
        </w:rPr>
        <w:t xml:space="preserve">Automation Tools Lead — Cognitive &amp; Robotics (C&amp;R) Practice</w:t>
      </w:r>
      <w:r>
        <w:rPr>
          <w:rFonts w:ascii="Arial" w:cs="Arial" w:eastAsia="Arial" w:hAnsi="Arial"/>
          <w:i/>
          <w:iCs/>
          <w:color w:val="3C4A56"/>
          <w:sz w:val="19"/>
          <w:szCs w:val="19"/>
        </w:rPr>
        <w:t xml:space="preserve">   Oct 2023 – Sep 2025</w:t>
      </w:r>
    </w:p>
    <w:p>
      <w:pPr>
        <w:pStyle w:val="ListParagraph"/>
        <w:numPr>
          <w:ilvl w:val="0"/>
          <w:numId w:val="2"/>
        </w:numPr>
        <w:spacing w:after="60"/>
      </w:pPr>
      <w:r>
        <w:rPr>
          <w:rFonts w:ascii="Arial" w:cs="Arial" w:eastAsia="Arial" w:hAnsi="Arial"/>
          <w:color w:val="1A1A1A"/>
          <w:sz w:val="20"/>
          <w:szCs w:val="20"/>
        </w:rPr>
        <w:t xml:space="preserve">SPOC between 9 enterprise client accounts and Capgemini’s French and Indian automation delivery teams — qualifying, routing, and progressing automation use cases end-to-end.</w:t>
      </w:r>
    </w:p>
    <w:p>
      <w:pPr>
        <w:pStyle w:val="ListParagraph"/>
        <w:numPr>
          <w:ilvl w:val="0"/>
          <w:numId w:val="2"/>
        </w:numPr>
        <w:spacing w:after="60"/>
      </w:pPr>
      <w:r>
        <w:rPr>
          <w:rFonts w:ascii="Arial" w:cs="Arial" w:eastAsia="Arial" w:hAnsi="Arial"/>
          <w:color w:val="1A1A1A"/>
          <w:sz w:val="20"/>
          <w:szCs w:val="20"/>
        </w:rPr>
        <w:t xml:space="preserve">As France region TIO Business Partner, coordinated Capgemini’s global AIOps initiative across the region.</w:t>
      </w:r>
    </w:p>
    <w:p>
      <w:pPr>
        <w:pStyle w:val="ListParagraph"/>
        <w:numPr>
          <w:ilvl w:val="0"/>
          <w:numId w:val="2"/>
        </w:numPr>
        <w:spacing w:after="60"/>
      </w:pPr>
      <w:r>
        <w:rPr>
          <w:rFonts w:ascii="Arial" w:cs="Arial" w:eastAsia="Arial" w:hAnsi="Arial"/>
          <w:color w:val="1A1A1A"/>
          <w:sz w:val="20"/>
          <w:szCs w:val="20"/>
        </w:rPr>
        <w:t xml:space="preserve">Coordinated a GenAI proof-of-concept for LVMH — managing the interface between Capgemini’s development team and client stakeholders for a document processing use case across multiple rounds of workshops, delivering a clear go/no-go outcome for the client’s leadership.</w:t>
      </w:r>
    </w:p>
    <w:p>
      <w:pPr>
        <w:pStyle w:val="ListParagraph"/>
        <w:numPr>
          <w:ilvl w:val="0"/>
          <w:numId w:val="2"/>
        </w:numPr>
        <w:spacing w:after="60"/>
      </w:pPr>
      <w:r>
        <w:rPr>
          <w:rFonts w:ascii="Arial" w:cs="Arial" w:eastAsia="Arial" w:hAnsi="Arial"/>
          <w:color w:val="1A1A1A"/>
          <w:sz w:val="20"/>
          <w:szCs w:val="20"/>
        </w:rPr>
        <w:t xml:space="preserve">Participated in presales engagements for Air France and CCF Bank — contributing to solution design and client-facing presentations.</w:t>
      </w:r>
    </w:p>
    <w:p>
      <w:pPr>
        <w:spacing w:after="40" w:before="200"/>
      </w:pPr>
      <w:r>
        <w:rPr>
          <w:rFonts w:ascii="Arial" w:cs="Arial" w:eastAsia="Arial" w:hAnsi="Arial"/>
          <w:b/>
          <w:bCs/>
          <w:color w:val="0F2940"/>
          <w:sz w:val="21"/>
          <w:szCs w:val="21"/>
        </w:rPr>
        <w:t xml:space="preserve">Application Domain Manager &amp; Automation Lead</w:t>
      </w:r>
      <w:r>
        <w:rPr>
          <w:rFonts w:ascii="Arial" w:cs="Arial" w:eastAsia="Arial" w:hAnsi="Arial"/>
          <w:i/>
          <w:iCs/>
          <w:color w:val="3C4A56"/>
          <w:sz w:val="19"/>
          <w:szCs w:val="19"/>
        </w:rPr>
        <w:t xml:space="preserve">   Jan 2023 – Sep 2023</w:t>
      </w:r>
    </w:p>
    <w:p>
      <w:pPr>
        <w:pStyle w:val="ListParagraph"/>
        <w:numPr>
          <w:ilvl w:val="0"/>
          <w:numId w:val="2"/>
        </w:numPr>
        <w:spacing w:after="60"/>
      </w:pPr>
      <w:r>
        <w:rPr>
          <w:rFonts w:ascii="Arial" w:cs="Arial" w:eastAsia="Arial" w:hAnsi="Arial"/>
          <w:color w:val="1A1A1A"/>
          <w:sz w:val="20"/>
          <w:szCs w:val="20"/>
        </w:rPr>
        <w:t xml:space="preserve">Relocated to France; took ownership of the ADM role covering two India-based delivery teams — OPCON (batch scheduling) and Middleware — ensuring SLA adherence from day one.</w:t>
      </w:r>
    </w:p>
    <w:p>
      <w:pPr>
        <w:pStyle w:val="ListParagraph"/>
        <w:numPr>
          <w:ilvl w:val="0"/>
          <w:numId w:val="2"/>
        </w:numPr>
        <w:spacing w:after="60"/>
      </w:pPr>
      <w:r>
        <w:rPr>
          <w:rFonts w:ascii="Arial" w:cs="Arial" w:eastAsia="Arial" w:hAnsi="Arial"/>
          <w:color w:val="1A1A1A"/>
          <w:sz w:val="20"/>
          <w:szCs w:val="20"/>
        </w:rPr>
        <w:t xml:space="preserve">Maintained parallel automation leadership responsibilities alongside ADM duties.</w:t>
      </w:r>
    </w:p>
    <w:p>
      <w:pPr>
        <w:spacing w:after="60" w:before="240"/>
      </w:pPr>
      <w:r>
        <w:rPr>
          <w:rFonts w:ascii="Arial" w:cs="Arial" w:eastAsia="Arial" w:hAnsi="Arial"/>
          <w:b/>
          <w:bCs/>
          <w:color w:val="0F2940"/>
          <w:sz w:val="22"/>
          <w:szCs w:val="22"/>
        </w:rPr>
        <w:t xml:space="preserve">CAPGEMINI TECHNOLOGY SERVICES — India</w:t>
      </w:r>
      <w:r>
        <w:rPr>
          <w:rFonts w:ascii="Arial" w:cs="Arial" w:eastAsia="Arial" w:hAnsi="Arial"/>
          <w:i/>
          <w:iCs/>
          <w:color w:val="3C4A56"/>
          <w:sz w:val="19"/>
          <w:szCs w:val="19"/>
        </w:rPr>
        <w:t xml:space="preserve">  —  Jun 2017 – Jan 2023  |  Mumbai (2017–2018) · Pune (2018–2023)  |  Final two roles delivered for the same luxury goods client engagement</w:t>
      </w:r>
    </w:p>
    <w:p>
      <w:pPr>
        <w:spacing w:after="40" w:before="200"/>
      </w:pPr>
      <w:r>
        <w:rPr>
          <w:rFonts w:ascii="Arial" w:cs="Arial" w:eastAsia="Arial" w:hAnsi="Arial"/>
          <w:b/>
          <w:bCs/>
          <w:color w:val="0F2940"/>
          <w:sz w:val="21"/>
          <w:szCs w:val="21"/>
        </w:rPr>
        <w:t xml:space="preserve">Automation Lead</w:t>
      </w:r>
      <w:r>
        <w:rPr>
          <w:rFonts w:ascii="Arial" w:cs="Arial" w:eastAsia="Arial" w:hAnsi="Arial"/>
          <w:i/>
          <w:iCs/>
          <w:color w:val="3C4A56"/>
          <w:sz w:val="19"/>
          <w:szCs w:val="19"/>
        </w:rPr>
        <w:t xml:space="preserve">   Jan 2021 – Jan 2023</w:t>
      </w:r>
    </w:p>
    <w:p>
      <w:pPr>
        <w:pStyle w:val="ListParagraph"/>
        <w:numPr>
          <w:ilvl w:val="0"/>
          <w:numId w:val="2"/>
        </w:numPr>
        <w:spacing w:after="60"/>
      </w:pPr>
      <w:r>
        <w:rPr>
          <w:rFonts w:ascii="Arial" w:cs="Arial" w:eastAsia="Arial" w:hAnsi="Arial"/>
          <w:color w:val="1A1A1A"/>
          <w:sz w:val="20"/>
          <w:szCs w:val="20"/>
        </w:rPr>
        <w:t xml:space="preserve">Solely responsible for automation leadership on the account — identifying use cases, managing automation delivery, and handling transversal issues.</w:t>
      </w:r>
    </w:p>
    <w:p>
      <w:pPr>
        <w:pStyle w:val="ListParagraph"/>
        <w:numPr>
          <w:ilvl w:val="0"/>
          <w:numId w:val="2"/>
        </w:numPr>
        <w:spacing w:after="60"/>
      </w:pPr>
      <w:r>
        <w:rPr>
          <w:rFonts w:ascii="Arial" w:cs="Arial" w:eastAsia="Arial" w:hAnsi="Arial"/>
          <w:color w:val="1A1A1A"/>
          <w:sz w:val="20"/>
          <w:szCs w:val="20"/>
        </w:rPr>
        <w:t xml:space="preserve">Drove delivery of an automation portfolio spanning 2022–2023, including 72 network use cases (e.g., F5 reboot and upgrade), Linux disk auto-heal, and automated file-system mounting.</w:t>
      </w:r>
    </w:p>
    <w:p>
      <w:pPr>
        <w:spacing w:after="40" w:before="200"/>
      </w:pPr>
      <w:r>
        <w:rPr>
          <w:rFonts w:ascii="Arial" w:cs="Arial" w:eastAsia="Arial" w:hAnsi="Arial"/>
          <w:b/>
          <w:bCs/>
          <w:color w:val="0F2940"/>
          <w:sz w:val="21"/>
          <w:szCs w:val="21"/>
        </w:rPr>
        <w:t xml:space="preserve">Delivery Team Lead</w:t>
      </w:r>
      <w:r>
        <w:rPr>
          <w:rFonts w:ascii="Arial" w:cs="Arial" w:eastAsia="Arial" w:hAnsi="Arial"/>
          <w:i/>
          <w:iCs/>
          <w:color w:val="3C4A56"/>
          <w:sz w:val="19"/>
          <w:szCs w:val="19"/>
        </w:rPr>
        <w:t xml:space="preserve">   Jul 2020 – Mid 2021</w:t>
      </w:r>
    </w:p>
    <w:p>
      <w:pPr>
        <w:pStyle w:val="ListParagraph"/>
        <w:numPr>
          <w:ilvl w:val="0"/>
          <w:numId w:val="2"/>
        </w:numPr>
        <w:spacing w:after="60"/>
      </w:pPr>
      <w:r>
        <w:rPr>
          <w:rFonts w:ascii="Arial" w:cs="Arial" w:eastAsia="Arial" w:hAnsi="Arial"/>
          <w:color w:val="1A1A1A"/>
          <w:sz w:val="20"/>
          <w:szCs w:val="20"/>
        </w:rPr>
        <w:t xml:space="preserve">Led a team of 18 resources across Windows, Linux, Citrix, MSSQL, Oracle, and SharePoint platform towers.</w:t>
      </w:r>
    </w:p>
    <w:p>
      <w:pPr>
        <w:pStyle w:val="ListParagraph"/>
        <w:numPr>
          <w:ilvl w:val="0"/>
          <w:numId w:val="2"/>
        </w:numPr>
        <w:spacing w:after="60"/>
      </w:pPr>
      <w:r>
        <w:rPr>
          <w:rFonts w:ascii="Arial" w:cs="Arial" w:eastAsia="Arial" w:hAnsi="Arial"/>
          <w:color w:val="1A1A1A"/>
          <w:sz w:val="20"/>
          <w:szCs w:val="20"/>
        </w:rPr>
        <w:t xml:space="preserve">From Jan 2021 transitioned into the Automation Lead role, handing over team lead duties once a successor was onboarded by mid-2021.</w:t>
      </w:r>
    </w:p>
    <w:p>
      <w:pPr>
        <w:spacing w:after="40" w:before="200"/>
      </w:pPr>
      <w:r>
        <w:rPr>
          <w:rFonts w:ascii="Arial" w:cs="Arial" w:eastAsia="Arial" w:hAnsi="Arial"/>
          <w:b/>
          <w:bCs/>
          <w:color w:val="0F2940"/>
          <w:sz w:val="21"/>
          <w:szCs w:val="21"/>
        </w:rPr>
        <w:t xml:space="preserve">Regional Automation Lead — South Europe</w:t>
      </w:r>
      <w:r>
        <w:rPr>
          <w:rFonts w:ascii="Arial" w:cs="Arial" w:eastAsia="Arial" w:hAnsi="Arial"/>
          <w:i/>
          <w:iCs/>
          <w:color w:val="3C4A56"/>
          <w:sz w:val="19"/>
          <w:szCs w:val="19"/>
        </w:rPr>
        <w:t xml:space="preserve">   Sep 2018 – Jun 2020</w:t>
      </w:r>
    </w:p>
    <w:p>
      <w:pPr>
        <w:pStyle w:val="ListParagraph"/>
        <w:numPr>
          <w:ilvl w:val="0"/>
          <w:numId w:val="2"/>
        </w:numPr>
        <w:spacing w:after="60"/>
      </w:pPr>
      <w:r>
        <w:rPr>
          <w:rFonts w:ascii="Arial" w:cs="Arial" w:eastAsia="Arial" w:hAnsi="Arial"/>
          <w:color w:val="1A1A1A"/>
          <w:sz w:val="20"/>
          <w:szCs w:val="20"/>
        </w:rPr>
        <w:t xml:space="preserve">Reviewed tickets and identified automation use cases across South Europe delivery accounts, coordinating with the dedicated automation team to ensure use cases were properly scoped and delivered.</w:t>
      </w:r>
    </w:p>
    <w:p>
      <w:pPr>
        <w:pStyle w:val="ListParagraph"/>
        <w:numPr>
          <w:ilvl w:val="0"/>
          <w:numId w:val="2"/>
        </w:numPr>
        <w:spacing w:after="60"/>
      </w:pPr>
      <w:r>
        <w:rPr>
          <w:rFonts w:ascii="Arial" w:cs="Arial" w:eastAsia="Arial" w:hAnsi="Arial"/>
          <w:color w:val="1A1A1A"/>
          <w:sz w:val="20"/>
          <w:szCs w:val="20"/>
        </w:rPr>
        <w:t xml:space="preserve">Led a change management effort across resistant delivery teams — building the business case for automation, securing stakeholder buy-in, and carrying each use case through to live delivery.</w:t>
      </w:r>
    </w:p>
    <w:p>
      <w:pPr>
        <w:spacing w:after="40" w:before="200"/>
      </w:pPr>
      <w:r>
        <w:rPr>
          <w:rFonts w:ascii="Arial" w:cs="Arial" w:eastAsia="Arial" w:hAnsi="Arial"/>
          <w:b/>
          <w:bCs/>
          <w:color w:val="0F2940"/>
          <w:sz w:val="21"/>
          <w:szCs w:val="21"/>
        </w:rPr>
        <w:t xml:space="preserve">Onboarding Manager</w:t>
      </w:r>
      <w:r>
        <w:rPr>
          <w:rFonts w:ascii="Arial" w:cs="Arial" w:eastAsia="Arial" w:hAnsi="Arial"/>
          <w:i/>
          <w:iCs/>
          <w:color w:val="3C4A56"/>
          <w:sz w:val="19"/>
          <w:szCs w:val="19"/>
        </w:rPr>
        <w:t xml:space="preserve">   Jun 2017 – Aug 2018</w:t>
      </w:r>
    </w:p>
    <w:p>
      <w:pPr>
        <w:pStyle w:val="ListParagraph"/>
        <w:numPr>
          <w:ilvl w:val="0"/>
          <w:numId w:val="2"/>
        </w:numPr>
        <w:spacing w:after="60"/>
      </w:pPr>
      <w:r>
        <w:rPr>
          <w:rFonts w:ascii="Arial" w:cs="Arial" w:eastAsia="Arial" w:hAnsi="Arial"/>
          <w:color w:val="1A1A1A"/>
          <w:sz w:val="20"/>
          <w:szCs w:val="20"/>
        </w:rPr>
        <w:t xml:space="preserve">Onboarded 50+ clients onto Capgemini’s Tools and Automation platform — defining transition plans, timelines, risk assessments, and methodologies across banking, aviation, cruise/shipping, railway, chemical, and fashion industries, with individual deal values up to USD 149M.</w:t>
      </w:r>
    </w:p>
    <w:p>
      <w:pPr>
        <w:spacing w:after="40" w:before="200"/>
      </w:pPr>
      <w:r>
        <w:rPr>
          <w:rFonts w:ascii="Arial" w:cs="Arial" w:eastAsia="Arial" w:hAnsi="Arial"/>
          <w:b/>
          <w:bCs/>
          <w:color w:val="0F2940"/>
          <w:sz w:val="21"/>
          <w:szCs w:val="21"/>
        </w:rPr>
        <w:t xml:space="preserve">Solution Lead — Tech Mahindra Ltd. | Pune</w:t>
      </w:r>
      <w:r>
        <w:rPr>
          <w:rFonts w:ascii="Arial" w:cs="Arial" w:eastAsia="Arial" w:hAnsi="Arial"/>
          <w:i/>
          <w:iCs/>
          <w:color w:val="3C4A56"/>
          <w:sz w:val="19"/>
          <w:szCs w:val="19"/>
        </w:rPr>
        <w:t xml:space="preserve">   Sep 2014 – Mar 2017</w:t>
      </w:r>
    </w:p>
    <w:p>
      <w:pPr>
        <w:pStyle w:val="ListParagraph"/>
        <w:numPr>
          <w:ilvl w:val="0"/>
          <w:numId w:val="2"/>
        </w:numPr>
        <w:spacing w:after="60"/>
      </w:pPr>
      <w:r>
        <w:rPr>
          <w:rFonts w:ascii="Arial" w:cs="Arial" w:eastAsia="Arial" w:hAnsi="Arial"/>
          <w:color w:val="1A1A1A"/>
          <w:sz w:val="20"/>
          <w:szCs w:val="20"/>
        </w:rPr>
        <w:t xml:space="preserve">Led end-to-end resolution of a critical HP SIM platform issue — delivered a fully compliant environment from assessment to sign-off, managing scope, timelines, risk, and daily client communication.</w:t>
      </w:r>
    </w:p>
    <w:p>
      <w:pPr>
        <w:pStyle w:val="ListParagraph"/>
        <w:numPr>
          <w:ilvl w:val="0"/>
          <w:numId w:val="2"/>
        </w:numPr>
        <w:spacing w:after="60"/>
      </w:pPr>
      <w:r>
        <w:rPr>
          <w:rFonts w:ascii="Arial" w:cs="Arial" w:eastAsia="Arial" w:hAnsi="Arial"/>
          <w:color w:val="1A1A1A"/>
          <w:sz w:val="20"/>
          <w:szCs w:val="20"/>
        </w:rPr>
        <w:t xml:space="preserve">Supported monitoring and ITSM tooling across the engagement — HP SiteScope, HP NNMi, OMW, Asset Manager, and MS SCOM — preparing design documents and securing client sign-off.</w:t>
      </w:r>
    </w:p>
    <w:p>
      <w:pPr>
        <w:spacing w:after="40" w:before="200"/>
      </w:pPr>
      <w:r>
        <w:rPr>
          <w:rFonts w:ascii="Arial" w:cs="Arial" w:eastAsia="Arial" w:hAnsi="Arial"/>
          <w:b/>
          <w:bCs/>
          <w:color w:val="0F2940"/>
          <w:sz w:val="21"/>
          <w:szCs w:val="21"/>
        </w:rPr>
        <w:t xml:space="preserve">Technical Solution Consultant — Hewlett Packard Enterprise | Bengaluru</w:t>
      </w:r>
      <w:r>
        <w:rPr>
          <w:rFonts w:ascii="Arial" w:cs="Arial" w:eastAsia="Arial" w:hAnsi="Arial"/>
          <w:i/>
          <w:iCs/>
          <w:color w:val="3C4A56"/>
          <w:sz w:val="19"/>
          <w:szCs w:val="19"/>
        </w:rPr>
        <w:t xml:space="preserve">   Nov 2011 – Aug 2014</w:t>
      </w:r>
    </w:p>
    <w:p>
      <w:pPr>
        <w:pStyle w:val="ListParagraph"/>
        <w:numPr>
          <w:ilvl w:val="0"/>
          <w:numId w:val="2"/>
        </w:numPr>
        <w:spacing w:after="60"/>
      </w:pPr>
      <w:r>
        <w:rPr>
          <w:rFonts w:ascii="Arial" w:cs="Arial" w:eastAsia="Arial" w:hAnsi="Arial"/>
          <w:color w:val="1A1A1A"/>
          <w:sz w:val="20"/>
          <w:szCs w:val="20"/>
        </w:rPr>
        <w:t xml:space="preserve">Delivered HP SIM technical support including remote infrastructure builds from scratch; collaborated with the Tower Head and R&amp;D teams on recurring platform issues.</w:t>
      </w:r>
    </w:p>
    <w:p>
      <w:pPr>
        <w:pStyle w:val="ListParagraph"/>
        <w:numPr>
          <w:ilvl w:val="0"/>
          <w:numId w:val="2"/>
        </w:numPr>
        <w:spacing w:after="60"/>
      </w:pPr>
      <w:r>
        <w:rPr>
          <w:rFonts w:ascii="Arial" w:cs="Arial" w:eastAsia="Arial" w:hAnsi="Arial"/>
          <w:color w:val="1A1A1A"/>
          <w:sz w:val="20"/>
          <w:szCs w:val="20"/>
        </w:rPr>
        <w:t xml:space="preserve">Awarded Certificate of Excellence for two consecutive quarters (H2 2013).</w:t>
      </w:r>
    </w:p>
    <w:p>
      <w:pPr>
        <w:spacing w:after="40" w:before="200"/>
      </w:pPr>
      <w:r>
        <w:rPr>
          <w:rFonts w:ascii="Arial" w:cs="Arial" w:eastAsia="Arial" w:hAnsi="Arial"/>
          <w:b/>
          <w:bCs/>
          <w:color w:val="0F2940"/>
          <w:sz w:val="21"/>
          <w:szCs w:val="21"/>
        </w:rPr>
        <w:t xml:space="preserve">Earlier Roles — Data Centre &amp; Field Operations</w:t>
      </w:r>
      <w:r>
        <w:rPr>
          <w:rFonts w:ascii="Arial" w:cs="Arial" w:eastAsia="Arial" w:hAnsi="Arial"/>
          <w:i/>
          <w:iCs/>
          <w:color w:val="3C4A56"/>
          <w:sz w:val="19"/>
          <w:szCs w:val="19"/>
        </w:rPr>
        <w:t xml:space="preserve">   Operation Engineer · Renovision (2010–2011)  |  Technical Engineer · Wipro Infotech (2008–2010)  |  FMS Engineer · PCS Technology (2007–2008)</w:t>
      </w:r>
    </w:p>
    <w:p>
      <w:pPr>
        <w:pStyle w:val="ListParagraph"/>
        <w:numPr>
          <w:ilvl w:val="0"/>
          <w:numId w:val="2"/>
        </w:numPr>
        <w:spacing w:after="60"/>
      </w:pPr>
      <w:r>
        <w:rPr>
          <w:rFonts w:ascii="Arial" w:cs="Arial" w:eastAsia="Arial" w:hAnsi="Arial"/>
          <w:color w:val="1A1A1A"/>
          <w:sz w:val="20"/>
          <w:szCs w:val="20"/>
        </w:rPr>
        <w:t xml:space="preserve">Managed 30+ enterprise clients at Bharti Airtel Data Centre; server/network hardware support and IBM AIX (P-series) administration.</w:t>
      </w:r>
    </w:p>
    <w:p>
      <w:pPr>
        <w:pStyle w:val="Heading1"/>
        <w:pBdr>
          <w:bottom w:val="single" w:color="0F2940" w:sz="6" w:space="2"/>
        </w:pBdr>
        <w:spacing w:after="140" w:before="280"/>
      </w:pPr>
      <w:r>
        <w:rPr>
          <w:rFonts w:ascii="Arial" w:cs="Arial" w:eastAsia="Arial" w:hAnsi="Arial"/>
          <w:b/>
          <w:bCs/>
          <w:color w:val="0F2940"/>
          <w:sz w:val="24"/>
          <w:szCs w:val="24"/>
        </w:rPr>
        <w:t xml:space="preserve">Certifications &amp; Training</w:t>
      </w:r>
    </w:p>
    <w:p>
      <w:pPr>
        <w:spacing w:after="120"/>
      </w:pPr>
      <w:r>
        <w:rPr>
          <w:rFonts w:ascii="Arial" w:cs="Arial" w:eastAsia="Arial" w:hAnsi="Arial"/>
          <w:b w:val="false"/>
          <w:bCs w:val="false"/>
          <w:color w:val="1A1A1A"/>
          <w:sz w:val="20"/>
          <w:szCs w:val="20"/>
        </w:rPr>
        <w:t xml:space="preserve">Certification: ITIL V4 Foundation — Axelos</w:t>
      </w:r>
    </w:p>
    <w:p>
      <w:pPr>
        <w:spacing w:after="120"/>
      </w:pPr>
      <w:r>
        <w:rPr>
          <w:rFonts w:ascii="Arial" w:cs="Arial" w:eastAsia="Arial" w:hAnsi="Arial"/>
          <w:color w:val="1A1A1A"/>
          <w:sz w:val="20"/>
          <w:szCs w:val="20"/>
        </w:rPr>
        <w:t xml:space="preserve">Recent Training (Udemy): EU AI Act — Compliance and Practical Impact; Prompt Engineering for Business</w:t>
      </w:r>
    </w:p>
    <w:p>
      <w:pPr>
        <w:spacing w:after="120"/>
      </w:pPr>
      <w:r>
        <w:rPr>
          <w:rFonts w:ascii="Arial" w:cs="Arial" w:eastAsia="Arial" w:hAnsi="Arial"/>
          <w:color w:val="1A1A1A"/>
          <w:sz w:val="20"/>
          <w:szCs w:val="20"/>
        </w:rPr>
        <w:t xml:space="preserve">Personal Training (self-funded): PMP — PMI, VMware vSphere 5, RHEL 7</w:t>
      </w:r>
    </w:p>
    <w:p>
      <w:pPr>
        <w:spacing w:after="120"/>
      </w:pPr>
      <w:r>
        <w:rPr>
          <w:rFonts w:ascii="Arial" w:cs="Arial" w:eastAsia="Arial" w:hAnsi="Arial"/>
          <w:color w:val="1A1A1A"/>
          <w:sz w:val="20"/>
          <w:szCs w:val="20"/>
        </w:rPr>
        <w:t xml:space="preserve">Capgemini Internal Training: Automation Engineer Practitioner, Engagement Manager, Connected Manager</w:t>
      </w:r>
    </w:p>
    <w:p>
      <w:pPr>
        <w:spacing w:after="120"/>
      </w:pPr>
      <w:r>
        <w:rPr>
          <w:rFonts w:ascii="Arial" w:cs="Arial" w:eastAsia="Arial" w:hAnsi="Arial"/>
          <w:color w:val="1A1A1A"/>
          <w:sz w:val="20"/>
          <w:szCs w:val="20"/>
        </w:rPr>
        <w:t xml:space="preserve">Badges: Azure AI Engineer Associate (AI-102) — Microsoft; Six Sigma White Belt — Udemy; IT Security: Defense Against the Digital Dark Arts — Pluralsight/Coursera</w:t>
      </w:r>
    </w:p>
    <w:p>
      <w:pPr>
        <w:pStyle w:val="Heading1"/>
        <w:pBdr>
          <w:bottom w:val="single" w:color="0F2940" w:sz="6" w:space="2"/>
        </w:pBdr>
        <w:spacing w:after="140" w:before="280"/>
      </w:pPr>
      <w:r>
        <w:rPr>
          <w:rFonts w:ascii="Arial" w:cs="Arial" w:eastAsia="Arial" w:hAnsi="Arial"/>
          <w:b/>
          <w:bCs/>
          <w:color w:val="0F2940"/>
          <w:sz w:val="24"/>
          <w:szCs w:val="24"/>
        </w:rPr>
        <w:t xml:space="preserve">Education</w:t>
      </w:r>
    </w:p>
    <w:p>
      <w:pPr>
        <w:spacing w:after="120"/>
      </w:pPr>
      <w:r>
        <w:rPr>
          <w:rFonts w:ascii="Arial" w:cs="Arial" w:eastAsia="Arial" w:hAnsi="Arial"/>
          <w:color w:val="1A1A1A"/>
          <w:sz w:val="20"/>
          <w:szCs w:val="20"/>
        </w:rPr>
        <w:t xml:space="preserve">BCA — Kumaon University, Uttarakhand (2000–2003)</w:t>
      </w:r>
    </w:p>
    <w:p>
      <w:pPr>
        <w:pStyle w:val="Heading1"/>
        <w:pBdr>
          <w:bottom w:val="single" w:color="0F2940" w:sz="6" w:space="2"/>
        </w:pBdr>
        <w:spacing w:after="140" w:before="280"/>
      </w:pPr>
      <w:r>
        <w:rPr>
          <w:rFonts w:ascii="Arial" w:cs="Arial" w:eastAsia="Arial" w:hAnsi="Arial"/>
          <w:b/>
          <w:bCs/>
          <w:color w:val="0F2940"/>
          <w:sz w:val="24"/>
          <w:szCs w:val="24"/>
        </w:rPr>
        <w:t xml:space="preserve">Languages</w:t>
      </w:r>
    </w:p>
    <w:p>
      <w:pPr>
        <w:spacing w:after="120"/>
      </w:pPr>
      <w:r>
        <w:rPr>
          <w:rFonts w:ascii="Arial" w:cs="Arial" w:eastAsia="Arial" w:hAnsi="Arial"/>
          <w:color w:val="1A1A1A"/>
          <w:sz w:val="20"/>
          <w:szCs w:val="20"/>
        </w:rPr>
        <w:t xml:space="preserve">English — Fluent  ·  Hindi — Native  ·  French — A2 (developing)  ·  Kumaoni — Working proficiency</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2026-06-22T22:04:51.295Z</dcterms:created>
  <dcterms:modified xsi:type="dcterms:W3CDTF">2026-06-22T22:04:51.314Z</dcterms:modified>
</cp:coreProperties>
</file>

<file path=docProps/custom.xml><?xml version="1.0" encoding="utf-8"?>
<Properties xmlns="http://schemas.openxmlformats.org/officeDocument/2006/custom-properties" xmlns:vt="http://schemas.openxmlformats.org/officeDocument/2006/docPropsVTypes"/>
</file>