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D65C4" w14:textId="77777777" w:rsidR="008C1344" w:rsidRDefault="008C1344" w:rsidP="008C1344">
      <w:pPr>
        <w:pStyle w:val="Heading4"/>
        <w:jc w:val="center"/>
      </w:pPr>
      <w:r>
        <w:t>Forecast error variance decomposition</w:t>
      </w:r>
    </w:p>
    <w:p w14:paraId="4726101B" w14:textId="77777777" w:rsidR="008C1344" w:rsidRDefault="008C1344" w:rsidP="008C1344">
      <w:r w:rsidRPr="00656F00">
        <w:rPr>
          <w:noProof/>
        </w:rPr>
        <w:drawing>
          <wp:inline distT="0" distB="0" distL="0" distR="0" wp14:anchorId="235D5108" wp14:editId="4DFA64C4">
            <wp:extent cx="5857875" cy="2352675"/>
            <wp:effectExtent l="0" t="0" r="9525" b="9525"/>
            <wp:docPr id="47" name="Picture 47" descr="F:\FinalSemProject\VAR\S795\plots\fevd S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FinalSemProject\VAR\S795\plots\fevd S79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7875" cy="2352675"/>
                    </a:xfrm>
                    <a:prstGeom prst="rect">
                      <a:avLst/>
                    </a:prstGeom>
                    <a:noFill/>
                    <a:ln>
                      <a:noFill/>
                    </a:ln>
                  </pic:spPr>
                </pic:pic>
              </a:graphicData>
            </a:graphic>
          </wp:inline>
        </w:drawing>
      </w:r>
    </w:p>
    <w:p w14:paraId="1A44B80C" w14:textId="77777777" w:rsidR="008C1344" w:rsidRDefault="008C1344" w:rsidP="008C1344"/>
    <w:p w14:paraId="59556ED6" w14:textId="77777777" w:rsidR="008C1344" w:rsidRDefault="008C1344" w:rsidP="008C1344">
      <w:r>
        <w:rPr>
          <w:noProof/>
        </w:rPr>
        <mc:AlternateContent>
          <mc:Choice Requires="wps">
            <w:drawing>
              <wp:anchor distT="45720" distB="45720" distL="114300" distR="114300" simplePos="0" relativeHeight="251659264" behindDoc="0" locked="0" layoutInCell="1" allowOverlap="1" wp14:anchorId="19F88A46" wp14:editId="6EDD5573">
                <wp:simplePos x="0" y="0"/>
                <wp:positionH relativeFrom="margin">
                  <wp:posOffset>704850</wp:posOffset>
                </wp:positionH>
                <wp:positionV relativeFrom="paragraph">
                  <wp:posOffset>6985</wp:posOffset>
                </wp:positionV>
                <wp:extent cx="4086225" cy="314325"/>
                <wp:effectExtent l="0" t="0" r="28575" b="28575"/>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14325"/>
                        </a:xfrm>
                        <a:prstGeom prst="rect">
                          <a:avLst/>
                        </a:prstGeom>
                        <a:solidFill>
                          <a:srgbClr val="FFFFFF"/>
                        </a:solidFill>
                        <a:ln w="9525">
                          <a:solidFill>
                            <a:srgbClr val="000000"/>
                          </a:solidFill>
                          <a:miter lim="800000"/>
                          <a:headEnd/>
                          <a:tailEnd/>
                        </a:ln>
                      </wps:spPr>
                      <wps:txbx>
                        <w:txbxContent>
                          <w:p w14:paraId="056C10FB" w14:textId="77777777" w:rsidR="008C1344" w:rsidRDefault="008C1344" w:rsidP="008C1344">
                            <w:r>
                              <w:t xml:space="preserve">Fig- 3.14 – FEVD for rust incidence and severity for variety S795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F88A46" id="_x0000_t202" coordsize="21600,21600" o:spt="202" path="m,l,21600r21600,l21600,xe">
                <v:stroke joinstyle="miter"/>
                <v:path gradientshapeok="t" o:connecttype="rect"/>
              </v:shapetype>
              <v:shape id="Text Box 2" o:spid="_x0000_s1026" type="#_x0000_t202" style="position:absolute;margin-left:55.5pt;margin-top:.55pt;width:321.75pt;height:2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">
                <v:textbox>
                  <w:txbxContent>
                    <w:p w14:paraId="056C10FB" w14:textId="77777777" w:rsidR="008C1344" w:rsidRDefault="008C1344" w:rsidP="008C1344">
                      <w:r>
                        <w:t xml:space="preserve">Fig- 3.14 – FEVD for rust incidence and severity for variety S795 </w:t>
                      </w:r>
                    </w:p>
                  </w:txbxContent>
                </v:textbox>
                <w10:wrap type="square" anchorx="margin"/>
              </v:shape>
            </w:pict>
          </mc:Fallback>
        </mc:AlternateContent>
      </w:r>
    </w:p>
    <w:p w14:paraId="3D89F6B6" w14:textId="77777777" w:rsidR="008C1344" w:rsidRDefault="008C1344" w:rsidP="008C1344"/>
    <w:p w14:paraId="70CA7E54" w14:textId="77777777" w:rsidR="008C1344" w:rsidRPr="001D3F35" w:rsidRDefault="008C1344" w:rsidP="008C1344">
      <w:pPr>
        <w:jc w:val="both"/>
      </w:pPr>
      <w:r>
        <w:t>The FEVD plot for rust incidence shows that severity does not play any part in contributing to the forecast of rust incidence in the future while FEVD for severity shows that rust incidence does play a part in contributing to the forecast of severity in near future. A very small part of error variance is contributed by rust incidence in all ten lags in the future.</w:t>
      </w:r>
    </w:p>
    <w:p w14:paraId="4665A1A2" w14:textId="47643E1B" w:rsidR="00AA3090" w:rsidRDefault="00AA3090"/>
    <w:p w14:paraId="6BAF7011" w14:textId="446B2959" w:rsidR="008C1344" w:rsidRDefault="008C1344"/>
    <w:p w14:paraId="6582415D" w14:textId="77777777" w:rsidR="008C1344" w:rsidRDefault="008C1344" w:rsidP="008C1344">
      <w:r w:rsidRPr="00904A3E">
        <w:rPr>
          <w:noProof/>
        </w:rPr>
        <w:drawing>
          <wp:inline distT="0" distB="0" distL="0" distR="0" wp14:anchorId="52A2E21C" wp14:editId="4DC91BD2">
            <wp:extent cx="5343525" cy="2371725"/>
            <wp:effectExtent l="0" t="0" r="9525" b="9525"/>
            <wp:docPr id="57" name="Picture 57" descr="F:\FinalSemProject\VAR\Sln5B\plots\fe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FinalSemProject\VAR\Sln5B\plots\fev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2371725"/>
                    </a:xfrm>
                    <a:prstGeom prst="rect">
                      <a:avLst/>
                    </a:prstGeom>
                    <a:noFill/>
                    <a:ln>
                      <a:noFill/>
                    </a:ln>
                  </pic:spPr>
                </pic:pic>
              </a:graphicData>
            </a:graphic>
          </wp:inline>
        </w:drawing>
      </w:r>
    </w:p>
    <w:p w14:paraId="51128C16" w14:textId="77777777" w:rsidR="008C1344" w:rsidRDefault="008C1344" w:rsidP="008C1344">
      <w:r>
        <w:rPr>
          <w:noProof/>
        </w:rPr>
        <mc:AlternateContent>
          <mc:Choice Requires="wps">
            <w:drawing>
              <wp:anchor distT="45720" distB="45720" distL="114300" distR="114300" simplePos="0" relativeHeight="251661312" behindDoc="0" locked="0" layoutInCell="1" allowOverlap="1" wp14:anchorId="373D245A" wp14:editId="3FA85B19">
                <wp:simplePos x="0" y="0"/>
                <wp:positionH relativeFrom="margin">
                  <wp:posOffset>609600</wp:posOffset>
                </wp:positionH>
                <wp:positionV relativeFrom="paragraph">
                  <wp:posOffset>6985</wp:posOffset>
                </wp:positionV>
                <wp:extent cx="4238625" cy="314325"/>
                <wp:effectExtent l="0" t="0" r="28575" b="28575"/>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314325"/>
                        </a:xfrm>
                        <a:prstGeom prst="rect">
                          <a:avLst/>
                        </a:prstGeom>
                        <a:solidFill>
                          <a:srgbClr val="FFFFFF"/>
                        </a:solidFill>
                        <a:ln w="9525">
                          <a:solidFill>
                            <a:srgbClr val="000000"/>
                          </a:solidFill>
                          <a:miter lim="800000"/>
                          <a:headEnd/>
                          <a:tailEnd/>
                        </a:ln>
                      </wps:spPr>
                      <wps:txbx>
                        <w:txbxContent>
                          <w:p w14:paraId="411F61AD" w14:textId="77777777" w:rsidR="008C1344" w:rsidRDefault="008C1344" w:rsidP="008C1344">
                            <w:r>
                              <w:t>Fig- 3.23 – FEVD for rust incidence and severity for variety Sln5B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D245A" id="_x0000_s1027" type="#_x0000_t202" style="position:absolute;margin-left:48pt;margin-top:.55pt;width:333.75pt;height:24.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">
                <v:textbox>
                  <w:txbxContent>
                    <w:p w14:paraId="411F61AD" w14:textId="77777777" w:rsidR="008C1344" w:rsidRDefault="008C1344" w:rsidP="008C1344">
                      <w:r>
                        <w:t>Fig- 3.23 – FEVD for rust incidence and severity for variety Sln5B</w:t>
                      </w:r>
                    </w:p>
                  </w:txbxContent>
                </v:textbox>
                <w10:wrap type="square" anchorx="margin"/>
              </v:shape>
            </w:pict>
          </mc:Fallback>
        </mc:AlternateContent>
      </w:r>
    </w:p>
    <w:p w14:paraId="4F951922" w14:textId="77777777" w:rsidR="008C1344" w:rsidRDefault="008C1344" w:rsidP="008C1344"/>
    <w:p w14:paraId="25F211D5" w14:textId="77777777" w:rsidR="008C1344" w:rsidRPr="001D3F35" w:rsidRDefault="008C1344" w:rsidP="008C1344">
      <w:pPr>
        <w:jc w:val="both"/>
      </w:pPr>
      <w:r>
        <w:t>The FEVD plot for rust incidence shows that severity does not play any part in contributing to the forecast of rust incidence in the future while FEVD for severity shows that rust incidence does play a part in contributing to the forecast of severity in near future. A very small part of error variance is contributed by rust incidence in all ten lags in the future.</w:t>
      </w:r>
    </w:p>
    <w:p w14:paraId="1D1E7FA1" w14:textId="77777777" w:rsidR="008C1344" w:rsidRDefault="008C1344" w:rsidP="008C1344">
      <w:pPr>
        <w:jc w:val="both"/>
        <w:rPr>
          <w:b/>
        </w:rPr>
      </w:pPr>
      <w:r w:rsidRPr="0015793A">
        <w:rPr>
          <w:b/>
          <w:noProof/>
        </w:rPr>
        <w:lastRenderedPageBreak/>
        <w:drawing>
          <wp:inline distT="0" distB="0" distL="0" distR="0" wp14:anchorId="3F4773D2" wp14:editId="333318C1">
            <wp:extent cx="5743575" cy="2390775"/>
            <wp:effectExtent l="0" t="0" r="9525" b="9525"/>
            <wp:docPr id="197" name="Picture 197" descr="F:\FinalSemProject\VAR\CXR\plots\fevd cx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FinalSemProject\VAR\CXR\plots\fevd cx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75" cy="2390775"/>
                    </a:xfrm>
                    <a:prstGeom prst="rect">
                      <a:avLst/>
                    </a:prstGeom>
                    <a:noFill/>
                    <a:ln>
                      <a:noFill/>
                    </a:ln>
                  </pic:spPr>
                </pic:pic>
              </a:graphicData>
            </a:graphic>
          </wp:inline>
        </w:drawing>
      </w:r>
    </w:p>
    <w:p w14:paraId="3612F398" w14:textId="77777777" w:rsidR="008C1344" w:rsidRDefault="008C1344" w:rsidP="008C1344">
      <w:pPr>
        <w:jc w:val="both"/>
        <w:rPr>
          <w:b/>
        </w:rPr>
      </w:pPr>
      <w:r>
        <w:rPr>
          <w:noProof/>
        </w:rPr>
        <mc:AlternateContent>
          <mc:Choice Requires="wps">
            <w:drawing>
              <wp:anchor distT="45720" distB="45720" distL="114300" distR="114300" simplePos="0" relativeHeight="251663360" behindDoc="0" locked="0" layoutInCell="1" allowOverlap="1" wp14:anchorId="4A49794E" wp14:editId="7FBF9354">
                <wp:simplePos x="0" y="0"/>
                <wp:positionH relativeFrom="margin">
                  <wp:align>center</wp:align>
                </wp:positionH>
                <wp:positionV relativeFrom="paragraph">
                  <wp:posOffset>123190</wp:posOffset>
                </wp:positionV>
                <wp:extent cx="1990725" cy="304800"/>
                <wp:effectExtent l="0" t="0" r="28575" b="1905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04800"/>
                        </a:xfrm>
                        <a:prstGeom prst="rect">
                          <a:avLst/>
                        </a:prstGeom>
                        <a:solidFill>
                          <a:srgbClr val="FFFFFF"/>
                        </a:solidFill>
                        <a:ln w="9525">
                          <a:solidFill>
                            <a:srgbClr val="000000"/>
                          </a:solidFill>
                          <a:miter lim="800000"/>
                          <a:headEnd/>
                          <a:tailEnd/>
                        </a:ln>
                      </wps:spPr>
                      <wps:txbx>
                        <w:txbxContent>
                          <w:p w14:paraId="1C0B5459" w14:textId="77777777" w:rsidR="008C1344" w:rsidRDefault="008C1344" w:rsidP="008C1344">
                            <w:r>
                              <w:t>Fig- 3.31 FEVD for variety CXR</w:t>
                            </w:r>
                          </w:p>
                          <w:p w14:paraId="79AFA3AF" w14:textId="77777777" w:rsidR="008C1344" w:rsidRDefault="008C1344" w:rsidP="008C13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9794E" id="_x0000_s1028" type="#_x0000_t202" style="position:absolute;left:0;text-align:left;margin-left:0;margin-top:9.7pt;width:156.75pt;height:24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">
                <v:textbox>
                  <w:txbxContent>
                    <w:p w14:paraId="1C0B5459" w14:textId="77777777" w:rsidR="008C1344" w:rsidRDefault="008C1344" w:rsidP="008C1344">
                      <w:r>
                        <w:t>Fig- 3.31 FEVD for variety CXR</w:t>
                      </w:r>
                    </w:p>
                    <w:p w14:paraId="79AFA3AF" w14:textId="77777777" w:rsidR="008C1344" w:rsidRDefault="008C1344" w:rsidP="008C1344"/>
                  </w:txbxContent>
                </v:textbox>
                <w10:wrap type="square" anchorx="margin"/>
              </v:shape>
            </w:pict>
          </mc:Fallback>
        </mc:AlternateContent>
      </w:r>
    </w:p>
    <w:p w14:paraId="1017D93A" w14:textId="77777777" w:rsidR="008C1344" w:rsidRDefault="008C1344" w:rsidP="008C1344">
      <w:pPr>
        <w:jc w:val="both"/>
        <w:rPr>
          <w:b/>
        </w:rPr>
      </w:pPr>
    </w:p>
    <w:p w14:paraId="7DF532B9" w14:textId="77777777" w:rsidR="008C1344" w:rsidRPr="00340741" w:rsidRDefault="008C1344" w:rsidP="008C1344">
      <w:pPr>
        <w:jc w:val="both"/>
      </w:pPr>
      <w:r w:rsidRPr="00340741">
        <w:t>The FEVD plot for rust incidence shows that severity does not play any part in contributing to the forecast of rust incidence in future.</w:t>
      </w:r>
    </w:p>
    <w:p w14:paraId="42A7ED4D" w14:textId="77777777" w:rsidR="008C1344" w:rsidRPr="00340741" w:rsidRDefault="008C1344" w:rsidP="008C1344">
      <w:pPr>
        <w:jc w:val="both"/>
      </w:pPr>
      <w:r w:rsidRPr="00340741">
        <w:t xml:space="preserve">The FEVD plot for severity shows that rust incidence does play a part in forecasting severity in the future. A very small part of error variance is contributed rust incidence in all the ten lags in future.   </w:t>
      </w:r>
    </w:p>
    <w:p w14:paraId="5E1E07D5" w14:textId="77777777" w:rsidR="008C1344" w:rsidRDefault="008C1344"/>
    <w:sectPr w:rsidR="008C1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44"/>
    <w:rsid w:val="008C1344"/>
    <w:rsid w:val="00AA3090"/>
    <w:rsid w:val="00C64F57"/>
    <w:rsid w:val="00CB0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31EACD"/>
  <w15:chartTrackingRefBased/>
  <w15:docId w15:val="{6CDA72F5-E60F-4FD2-89E9-82919A6C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344"/>
  </w:style>
  <w:style w:type="paragraph" w:styleId="Heading4">
    <w:name w:val="heading 4"/>
    <w:basedOn w:val="Normal"/>
    <w:next w:val="Normal"/>
    <w:link w:val="Heading4Char"/>
    <w:uiPriority w:val="9"/>
    <w:unhideWhenUsed/>
    <w:qFormat/>
    <w:rsid w:val="008C13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13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2</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 Gunjan</dc:creator>
  <cp:keywords/>
  <dc:description/>
  <cp:lastModifiedBy>Amitabh Gunjan</cp:lastModifiedBy>
  <cp:revision>2</cp:revision>
  <dcterms:created xsi:type="dcterms:W3CDTF">2018-06-25T07:44:00Z</dcterms:created>
  <dcterms:modified xsi:type="dcterms:W3CDTF">2018-07-01T08:05:00Z</dcterms:modified>
</cp:coreProperties>
</file>