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Arial" w:hAnsi="Arial"/>
          <w:b/>
          <w:color w:val="002060"/>
          <w:sz w:val="40"/>
        </w:rPr>
        <w:t>E-CTNet: Enhanced Convolutional Transformer Networks with Euclidean Alignment and Segmentation-Reconstruction Augmentation for EEG Motor Imagery Decoding</w:t>
      </w:r>
    </w:p>
    <w:p>
      <w:pPr>
        <w:spacing w:after="360"/>
        <w:jc w:val="center"/>
      </w:pPr>
      <w:r>
        <w:rPr>
          <w:rFonts w:ascii="Arial" w:hAnsi="Arial"/>
          <w:i/>
          <w:color w:val="666666"/>
          <w:sz w:val="20"/>
        </w:rPr>
        <w:t>Advanced Brain-Computer Interface Laboratory &amp; AI Research Group</w:t>
        <w:br/>
        <w:t>Base Benchmark Architecture: CTNet (Nature Scientific Reports 2024)</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Pr>
          <w:p>
            <w:pPr>
              <w:spacing w:after="120"/>
              <w:jc w:val="both"/>
            </w:pPr>
            <w:r>
              <w:rPr>
                <w:rFonts w:ascii="Calibri" w:hAnsi="Calibri"/>
                <w:b/>
                <w:color w:val="002060"/>
                <w:sz w:val="20"/>
              </w:rPr>
              <w:t>Abstract—</w:t>
            </w:r>
            <w:r>
              <w:rPr>
                <w:rFonts w:ascii="Calibri" w:hAnsi="Calibri"/>
                <w:i/>
                <w:color w:val="333333"/>
                <w:sz w:val="20"/>
              </w:rPr>
              <w:t>Decoding motor imagery (MI) electroencephalogram (EEG) signals with high accuracy remains a pivotal challenge in Brain-Computer Interface (BCI) applications due to the low signal-to-noise ratio, spatial variability, and non-stationary nature of cortical dynamics. In this study, we propose E-CTNet, an Enhanced Convolutional Transformer Network that seamlessly integrates spatio-temporal convolutional feature extractors with a multi-head self-attention Transformer encoder, residual skip connections, Euclidean Alignment (EA) covariance centering, and Segmentation &amp; Reconstruction (S&amp;R) data augmentation. Evaluated on the gold-standard 4-class BCI Competition IV Dataset 2a test set (Session E, 9 subjects, 22 channels), the proposed E-CTNet framework achieves a state-of-the-art mean classification accuracy of 85.11% ± 8.85% and a mean Cohen's Kappa coefficient of κ = 0.8014 ± 0.1180, substantially outperforming the baseline CTNet architecture (57.33% ± 12.0%) and standard 5-Fold cross-validation models (79.57% ± 13.12%). Notably, peak individual performances reached 97.22% (κ = 0.9630) on Subject 7 and 95.83% (κ = 0.9444) on Subject 3. Empirical visual analysis via t-SNE latent bottleneck projections confirms superior cluster separability across Left Hand, Right Hand, Feet, and Tongue motor imagery classes. The results demonstrate that combining manifold alignment with self-attention residual architectures effectively resolves intra-subject variance and cross-session domain shifts, offering a robust paradigm for real-time neuroprosthetic control.</w:t>
            </w:r>
          </w:p>
          <w:p>
            <w:pPr>
              <w:jc w:val="left"/>
            </w:pPr>
            <w:r>
              <w:rPr>
                <w:rFonts w:ascii="Calibri" w:hAnsi="Calibri"/>
                <w:b/>
                <w:color w:val="002060"/>
                <w:sz w:val="19"/>
              </w:rPr>
              <w:t>Keywords—</w:t>
            </w:r>
            <w:r>
              <w:rPr>
                <w:rFonts w:ascii="Calibri" w:hAnsi="Calibri"/>
                <w:i/>
                <w:color w:val="333333"/>
                <w:sz w:val="19"/>
              </w:rPr>
              <w:t>Brain-Computer Interface (BCI), Motor Imagery, Electroencephalogram (EEG), Deep Learning, Transformer Network, CTNet, Euclidean Alignment, Data Augmentation.</w:t>
            </w:r>
          </w:p>
        </w:tc>
      </w:tr>
    </w:tbl>
    <w:p/>
    <w:p>
      <w:pPr>
        <w:keepNext/>
        <w:spacing w:before="320" w:after="120"/>
      </w:pPr>
      <w:r>
        <w:rPr>
          <w:rFonts w:ascii="Arial" w:hAnsi="Arial"/>
          <w:b/>
          <w:color w:val="002060"/>
          <w:sz w:val="26"/>
        </w:rPr>
        <w:t>I. INTRODUCTION</w:t>
      </w:r>
    </w:p>
    <w:p>
      <w:pPr>
        <w:spacing w:after="120" w:line="276" w:lineRule="auto"/>
        <w:jc w:val="both"/>
      </w:pPr>
      <w:r>
        <w:rPr>
          <w:rFonts w:ascii="Calibri" w:hAnsi="Calibri"/>
          <w:color w:val="333333"/>
          <w:sz w:val="22"/>
        </w:rPr>
        <w:t>Brain-Computer Interfaces (BCIs) establish a direct communication pathway between the human central nervous system and external devices, enabling individuals with severe motor disabilities to control neuroprosthetics, wheelchairs, and robotic limbs. Among various non-invasive BCI modalities, sensorimotor rhythm-based Motor Imagery (MI) Electroencephalography (EEG) has gained widespread interest due to its high temporal resolution, portability, safety, and non-invasiveness.</w:t>
      </w:r>
    </w:p>
    <w:p>
      <w:pPr>
        <w:spacing w:after="120" w:line="276" w:lineRule="auto"/>
        <w:jc w:val="both"/>
      </w:pPr>
      <w:r>
        <w:rPr>
          <w:rFonts w:ascii="Calibri" w:hAnsi="Calibri"/>
          <w:color w:val="333333"/>
          <w:sz w:val="22"/>
        </w:rPr>
        <w:t>When a subject visualizes performing a specific physical action (such as moving the left hand, right hand, feet, or tongue), synchronized neuronal activity in the sensorimotor cortex induces Event-Related Desynchronization (ERD) and Event-Related Synchronization (ERS) in specific mu (8-12 Hz) and beta (16-24 Hz) frequency bands. Decoded accurately, these cortical power fluctuations serve as high-dimensional command signals.</w:t>
      </w:r>
    </w:p>
    <w:p>
      <w:pPr>
        <w:spacing w:after="120" w:line="276" w:lineRule="auto"/>
        <w:jc w:val="both"/>
      </w:pPr>
      <w:r>
        <w:rPr>
          <w:rFonts w:ascii="Calibri" w:hAnsi="Calibri"/>
          <w:color w:val="333333"/>
          <w:sz w:val="22"/>
        </w:rPr>
        <w:t>However, reliable automated MI-EEG decoding faces major neurophysiological and mathematical hurdles: (1) low signal-to-noise ratio (SNR) caused by volume conduction and muscular artifacts; (2) substantial non-stationarity across different recording sessions; and (3) high inter-subject variability stemming from unique cortical anatomical structures. Traditional spatial filtering algorithms such as Common Spatial Patterns (CSP) and Filter Bank Common Spatial Patterns (FBCSP) rely heavily on handcrafted temporal bandpass filters and linear covariance estimations, making them prone to severe performance degradation when subject-specific optimal frequency bands shift.</w:t>
      </w:r>
    </w:p>
    <w:p>
      <w:pPr>
        <w:spacing w:after="120" w:line="276" w:lineRule="auto"/>
        <w:jc w:val="both"/>
      </w:pPr>
      <w:r>
        <w:rPr>
          <w:rFonts w:ascii="Calibri" w:hAnsi="Calibri"/>
          <w:color w:val="333333"/>
          <w:sz w:val="22"/>
        </w:rPr>
        <w:t>Recent advances in deep neural networks—such as EEGNet, ShallowFBCSPNet, and the Convolutional Transformer Network (CTNet, Nature Scientific Reports 2024)—have introduced end-to-end feature learning frameworks that extract spatial and temporal representations directly from raw multi-channel EEG signals. Although CTNet combines local spatial-temporal convolutions with global multi-head self-attention Transformer encoders, standard baseline implementations frequently suffer from over-fitting when trained on limited trial samples per subject, failing to generalize across test sessions.</w:t>
      </w:r>
    </w:p>
    <w:p>
      <w:pPr>
        <w:spacing w:after="120" w:line="276" w:lineRule="auto"/>
        <w:jc w:val="both"/>
      </w:pPr>
      <w:r>
        <w:rPr>
          <w:rFonts w:ascii="Calibri" w:hAnsi="Calibri"/>
          <w:color w:val="333333"/>
          <w:sz w:val="22"/>
        </w:rPr>
        <w:t>To overcome these fundamental limitations, this paper proposes E-CTNet (Enhanced Convolutional Transformer Network), a comprehensive deep learning framework incorporating Euclidean Alignment (EA) manifold normalization, Segmentation &amp; Reconstruction (S&amp;R) temporal data augmentation, depthwise spatial filtering with max-norm constraints, multi-head self-attention encoders, and residual skip connections. Evaluated on the gold-standard BCI Competition IV Dataset 2a, E-CTNet achieves a mean classification accuracy of 85.11% (κ = 0.8014), establishing a new benchmark for 4-class motor imagery decoding.</w:t>
      </w:r>
    </w:p>
    <w:p>
      <w:pPr>
        <w:spacing w:before="200" w:after="80"/>
        <w:jc w:val="center"/>
      </w:pPr>
      <w:r>
        <w:drawing>
          <wp:inline xmlns:a="http://schemas.openxmlformats.org/drawingml/2006/main" xmlns:pic="http://schemas.openxmlformats.org/drawingml/2006/picture">
            <wp:extent cx="5303520" cy="2184414"/>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303520" cy="2184414"/>
                    </a:xfrm>
                    <a:prstGeom prst="rect"/>
                  </pic:spPr>
                </pic:pic>
              </a:graphicData>
            </a:graphic>
          </wp:inline>
        </w:drawing>
      </w:r>
    </w:p>
    <w:p>
      <w:pPr>
        <w:spacing w:after="240"/>
        <w:jc w:val="center"/>
      </w:pPr>
      <w:r>
        <w:rPr>
          <w:rFonts w:ascii="Arial" w:hAnsi="Arial"/>
          <w:b/>
          <w:color w:val="666666"/>
          <w:sz w:val="19"/>
        </w:rPr>
        <w:t>Figure 1: End-to-end E-CTNet EEG motor imagery preprocessing, alignment, augmentation, and neural classification pipeline.</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150" w:type="dxa"/>
              <w:right w:w="150" w:type="dxa"/>
            </w:tcMar>
          </w:tcPr>
          <w:p>
            <w:pPr>
              <w:spacing w:after="80"/>
            </w:pPr>
            <w:r>
              <w:rPr>
                <w:rFonts w:ascii="Arial" w:hAnsi="Arial"/>
                <w:b/>
                <w:color w:val="002060"/>
                <w:sz w:val="21"/>
              </w:rPr>
              <w:t>Summary of Core Technical Contributions:</w:t>
            </w:r>
          </w:p>
          <w:p>
            <w:pPr>
              <w:spacing w:after="60"/>
              <w:ind w:left="288"/>
            </w:pPr>
            <w:r>
              <w:rPr>
                <w:b/>
                <w:color w:val="002060"/>
              </w:rPr>
              <w:t xml:space="preserve">• </w:t>
            </w:r>
            <w:r>
              <w:rPr>
                <w:rFonts w:ascii="Calibri" w:hAnsi="Calibri"/>
                <w:color w:val="333333"/>
                <w:sz w:val="20"/>
              </w:rPr>
              <w:t>Euclidean Alignment (EA) Integration: Formulated a Riemannian covariance centering alignment step that aligns multi-channel EEG covariance matrices to the identity matrix, mitigating cross-session and inter-subject domain shifts.</w:t>
            </w:r>
          </w:p>
          <w:p>
            <w:pPr>
              <w:spacing w:after="60"/>
              <w:ind w:left="288"/>
            </w:pPr>
            <w:r>
              <w:rPr>
                <w:b/>
                <w:color w:val="002060"/>
              </w:rPr>
              <w:t xml:space="preserve">• </w:t>
            </w:r>
            <w:r>
              <w:rPr>
                <w:rFonts w:ascii="Calibri" w:hAnsi="Calibri"/>
                <w:color w:val="333333"/>
                <w:sz w:val="20"/>
              </w:rPr>
              <w:t>Extended Segmentation &amp; Reconstruction (S&amp;R) Augmentation: Implemented a robust data augmentation strategy (expansion factor N_aug = 15) that splits trials into temporal sub-segments and recombines them across intra-class trials to prevent transformer overfitting.</w:t>
            </w:r>
          </w:p>
          <w:p>
            <w:pPr>
              <w:spacing w:after="60"/>
              <w:ind w:left="288"/>
            </w:pPr>
            <w:r>
              <w:rPr>
                <w:b/>
                <w:color w:val="002060"/>
              </w:rPr>
              <w:t xml:space="preserve">• </w:t>
            </w:r>
            <w:r>
              <w:rPr>
                <w:rFonts w:ascii="Calibri" w:hAnsi="Calibri"/>
                <w:color w:val="333333"/>
                <w:sz w:val="20"/>
              </w:rPr>
              <w:t>Enhanced CTNet Architecture with Residual Skip Connection: Redesigned the CTNet backbone to combine local convolutional patches with global multi-head self-attention features via residual addition (F_out = F_cnn + F_trans), ensuring stable gradient propagation.</w:t>
            </w:r>
          </w:p>
          <w:p>
            <w:pPr>
              <w:spacing w:after="60"/>
              <w:ind w:left="288"/>
            </w:pPr>
            <w:r>
              <w:rPr>
                <w:b/>
                <w:color w:val="002060"/>
              </w:rPr>
              <w:t xml:space="preserve">• </w:t>
            </w:r>
            <w:r>
              <w:rPr>
                <w:rFonts w:ascii="Calibri" w:hAnsi="Calibri"/>
                <w:color w:val="333333"/>
                <w:sz w:val="20"/>
              </w:rPr>
              <w:t>Benchmark State-of-the-Art Results: Demonstrated an 85.11% mean accuracy and κ = 0.8014 across 9 test subjects on BCI Competition IV 2a Session E, outperforming standard baseline CTNet (57.33%) by +27.78 percentage points.</w:t>
            </w:r>
          </w:p>
        </w:tc>
      </w:tr>
    </w:tbl>
    <w:p/>
    <w:p>
      <w:pPr>
        <w:keepNext/>
        <w:spacing w:before="320" w:after="120"/>
      </w:pPr>
      <w:r>
        <w:rPr>
          <w:rFonts w:ascii="Arial" w:hAnsi="Arial"/>
          <w:b/>
          <w:color w:val="002060"/>
          <w:sz w:val="26"/>
        </w:rPr>
        <w:t>II. RELATED WORK</w:t>
      </w:r>
    </w:p>
    <w:p>
      <w:pPr>
        <w:keepNext/>
        <w:spacing w:before="240" w:after="80"/>
      </w:pPr>
      <w:r>
        <w:rPr>
          <w:rFonts w:ascii="Arial" w:hAnsi="Arial"/>
          <w:b/>
          <w:color w:val="003366"/>
          <w:sz w:val="22"/>
        </w:rPr>
        <w:t>A. Conventional Feature Extraction and CSP Algorithms</w:t>
      </w:r>
    </w:p>
    <w:p>
      <w:pPr>
        <w:spacing w:after="120" w:line="276" w:lineRule="auto"/>
        <w:jc w:val="both"/>
      </w:pPr>
      <w:r>
        <w:rPr>
          <w:rFonts w:ascii="Calibri" w:hAnsi="Calibri"/>
          <w:color w:val="333333"/>
          <w:sz w:val="22"/>
        </w:rPr>
        <w:t>Early BCI systems relied heavily on spatial domain filtering techniques to maximize the variance ratio between two motor imagery conditions. Common Spatial Patterns (CSP) computes spatial filters by diagonalizing class-covariance matrices. Ang et al. extended CSP to Filter Bank Common Spatial Patterns (FBCSP), which applies multiple bandpass filters across standard frequency ranges (e.g., 4-8 Hz, 8-12 Hz, ..., 36-40 Hz) and selects discriminative features using Mutual Information. Although effective under controlled conditions, FBCSP requires handcrafted parameter tuning and lacks temporal pattern learning capabilities.</w:t>
      </w:r>
    </w:p>
    <w:p>
      <w:pPr>
        <w:keepNext/>
        <w:spacing w:before="240" w:after="80"/>
      </w:pPr>
      <w:r>
        <w:rPr>
          <w:rFonts w:ascii="Arial" w:hAnsi="Arial"/>
          <w:b/>
          <w:color w:val="003366"/>
          <w:sz w:val="22"/>
        </w:rPr>
        <w:t>B. Convolutional Neural Networks for EEG</w:t>
      </w:r>
    </w:p>
    <w:p>
      <w:pPr>
        <w:spacing w:after="120" w:line="276" w:lineRule="auto"/>
        <w:jc w:val="both"/>
      </w:pPr>
      <w:r>
        <w:rPr>
          <w:rFonts w:ascii="Calibri" w:hAnsi="Calibri"/>
          <w:color w:val="333333"/>
          <w:sz w:val="22"/>
        </w:rPr>
        <w:t>The introduction of deep learning to EEG decoding eliminated manual feature engineering. Lawhern et al. introduced EEGNet, a compact CNN architecture utilizing temporal convolutions followed by spatial depthwise and separable convolutions. Schirrmeister et al. proposed ShallowFBCSPNet, specifically designed to replicate FBCSP logic through squared activations and log-power pooling operations. While CNNs effectively capture localized receptive fields in EEG time-series, standard convolutional kernels struggle to model long-range global temporal dependencies occurring across multi-second motor imagery tasks.</w:t>
      </w:r>
    </w:p>
    <w:p>
      <w:pPr>
        <w:keepNext/>
        <w:spacing w:before="240" w:after="80"/>
      </w:pPr>
      <w:r>
        <w:rPr>
          <w:rFonts w:ascii="Arial" w:hAnsi="Arial"/>
          <w:b/>
          <w:color w:val="003366"/>
          <w:sz w:val="22"/>
        </w:rPr>
        <w:t>C. Transformers in EEG and the Baseline CTNet Model</w:t>
      </w:r>
    </w:p>
    <w:p>
      <w:pPr>
        <w:spacing w:after="120" w:line="276" w:lineRule="auto"/>
        <w:jc w:val="both"/>
      </w:pPr>
      <w:r>
        <w:rPr>
          <w:rFonts w:ascii="Calibri" w:hAnsi="Calibri"/>
          <w:color w:val="333333"/>
          <w:sz w:val="22"/>
        </w:rPr>
        <w:t>Transformers, driven by Multi-Head Self-Attention (MHSA) mechanisms, have revolutionized sequential modelling by capturing global temporal contextual relationships without distance constraints. Snailpt et al. (Nature Scientific Reports 2024) introduced CTNet, combining an EEGNet-inspired 2D spatial-temporal convolutional front-end with a Multi-Head Transformer Encoder. Despite its innovative hybrid structure, the baseline CTNet exhibits severe variance across subjects when trained on small sample sizes without manifold alignment or temporal data augmentation.</w:t>
      </w:r>
    </w:p>
    <w:p>
      <w:pPr>
        <w:keepNext/>
        <w:spacing w:before="320" w:after="120"/>
      </w:pPr>
      <w:r>
        <w:rPr>
          <w:rFonts w:ascii="Arial" w:hAnsi="Arial"/>
          <w:b/>
          <w:color w:val="002060"/>
          <w:sz w:val="26"/>
        </w:rPr>
        <w:t>III. METHODOLOGY &amp; PROPOSED E-CTNET FRAMEWORK</w:t>
      </w:r>
    </w:p>
    <w:p>
      <w:pPr>
        <w:spacing w:after="120" w:line="276" w:lineRule="auto"/>
        <w:jc w:val="both"/>
      </w:pPr>
      <w:r>
        <w:rPr>
          <w:rFonts w:ascii="Calibri" w:hAnsi="Calibri"/>
          <w:color w:val="333333"/>
          <w:sz w:val="22"/>
        </w:rPr>
        <w:t>The complete E-CTNet architecture consists of four sequential stages: (1) Signal Bandpass Preprocessing; (2) Euclidean Alignment (EA); (3) Segmentation &amp; Reconstruction (S&amp;R) Data Augmentation; and (4) the Enhanced Convolutional Transformer Network with Residual Skip Connections.</w:t>
      </w:r>
    </w:p>
    <w:p>
      <w:pPr>
        <w:keepNext/>
        <w:spacing w:before="240" w:after="80"/>
      </w:pPr>
      <w:r>
        <w:rPr>
          <w:rFonts w:ascii="Arial" w:hAnsi="Arial"/>
          <w:b/>
          <w:color w:val="003366"/>
          <w:sz w:val="22"/>
        </w:rPr>
        <w:t>A. EEG Preprocessing and Bandpass Filtering</w:t>
      </w:r>
    </w:p>
    <w:p>
      <w:pPr>
        <w:spacing w:after="120" w:line="276" w:lineRule="auto"/>
        <w:jc w:val="both"/>
      </w:pPr>
      <w:r>
        <w:rPr>
          <w:rFonts w:ascii="Calibri" w:hAnsi="Calibri"/>
          <w:color w:val="333333"/>
          <w:sz w:val="22"/>
        </w:rPr>
        <w:t>Raw 22-channel EEG signals recorded at a sampling rate of 250 Hz are subjected to a zero-phase 4.0 Hz to 38.0 Hz bandpass Butterworth filter to extract motor imagery mu and beta rhythms while suppressing low-frequency baseline drifts and high-frequency EMG artifacts. Trial epochs are extracted from t = 0.0 seconds to t = 4.0 seconds relative to the motor imagery cue onset, resulting in a temporal vector length of T = 1000 samples per trial.</w:t>
      </w:r>
    </w:p>
    <w:p>
      <w:pPr>
        <w:keepNext/>
        <w:spacing w:before="240" w:after="80"/>
      </w:pPr>
      <w:r>
        <w:rPr>
          <w:rFonts w:ascii="Arial" w:hAnsi="Arial"/>
          <w:b/>
          <w:color w:val="003366"/>
          <w:sz w:val="22"/>
        </w:rPr>
        <w:t>B. Euclidean Alignment (EA)</w:t>
      </w:r>
    </w:p>
    <w:p>
      <w:pPr>
        <w:spacing w:after="120" w:line="276" w:lineRule="auto"/>
        <w:jc w:val="both"/>
      </w:pPr>
      <w:r>
        <w:rPr>
          <w:rFonts w:ascii="Calibri" w:hAnsi="Calibri"/>
          <w:color w:val="333333"/>
          <w:sz w:val="22"/>
        </w:rPr>
        <w:t>To mitigate inter-subject and cross-session covariance shifts, Euclidean Alignment (EA) transforms trial matrices such that the mean covariance matrix across all training trials equals the identity matrix. For a set of N single-trial EEG matrices X_i in R^(C x T) (where C = 22 channels and T = 1000 time steps), the reference covariance matrix R is computed as:</w:t>
      </w:r>
    </w:p>
    <w:p>
      <w:pPr>
        <w:spacing w:before="120" w:after="120"/>
        <w:jc w:val="center"/>
      </w:pPr>
      <w:r>
        <w:rPr>
          <w:rFonts w:ascii="Cambria Math" w:hAnsi="Cambria Math"/>
          <w:i/>
          <w:color w:val="002060"/>
          <w:sz w:val="22"/>
        </w:rPr>
        <w:t xml:space="preserve">    R = \frac{1}{N} \sum_{i=1}^{N} X_i X_i^T                                    (1)</w:t>
      </w:r>
    </w:p>
    <w:p>
      <w:pPr>
        <w:spacing w:after="120" w:line="276" w:lineRule="auto"/>
        <w:jc w:val="both"/>
      </w:pPr>
      <w:r>
        <w:rPr>
          <w:rFonts w:ascii="Calibri" w:hAnsi="Calibri"/>
          <w:color w:val="333333"/>
          <w:sz w:val="22"/>
        </w:rPr>
        <w:t>Each single-trial matrix X_i is then aligned using the inverse square root of R:</w:t>
      </w:r>
    </w:p>
    <w:p>
      <w:pPr>
        <w:spacing w:before="120" w:after="120"/>
        <w:jc w:val="center"/>
      </w:pPr>
      <w:r>
        <w:rPr>
          <w:rFonts w:ascii="Cambria Math" w:hAnsi="Cambria Math"/>
          <w:i/>
          <w:color w:val="002060"/>
          <w:sz w:val="22"/>
        </w:rPr>
        <w:t xml:space="preserve">    \tilde{X}_i = R^{-1/2} X_i                                    (2)</w:t>
      </w:r>
    </w:p>
    <w:p>
      <w:pPr>
        <w:spacing w:after="120" w:line="276" w:lineRule="auto"/>
        <w:jc w:val="both"/>
      </w:pPr>
      <w:r>
        <w:rPr>
          <w:rFonts w:ascii="Calibri" w:hAnsi="Calibri"/>
          <w:color w:val="333333"/>
          <w:sz w:val="22"/>
        </w:rPr>
        <w:t>This Riemannian manifold normalization centers trial distributions in Euclidean space, allowing the downstream network to focus on motor imagery task-specific dynamics rather than session-specific noise.</w:t>
      </w:r>
    </w:p>
    <w:p>
      <w:pPr>
        <w:keepNext/>
        <w:spacing w:before="240" w:after="80"/>
      </w:pPr>
      <w:r>
        <w:rPr>
          <w:rFonts w:ascii="Arial" w:hAnsi="Arial"/>
          <w:b/>
          <w:color w:val="003366"/>
          <w:sz w:val="22"/>
        </w:rPr>
        <w:t>C. Segmentation &amp; Reconstruction (S&amp;R) Augmentation</w:t>
      </w:r>
    </w:p>
    <w:p>
      <w:pPr>
        <w:spacing w:after="120" w:line="276" w:lineRule="auto"/>
        <w:jc w:val="both"/>
      </w:pPr>
      <w:r>
        <w:rPr>
          <w:rFonts w:ascii="Calibri" w:hAnsi="Calibri"/>
          <w:color w:val="333333"/>
          <w:sz w:val="22"/>
        </w:rPr>
        <w:t>To prevent Transformer overfitting on limited EEG training samples, we employ Segmentation &amp; Reconstruction (S&amp;R) augmentation. Each 1000-sample trial matrix X_i is partitioned into K = 4 non-overlapping temporal segments along the time axis. Synthetic trials are generated by randomly selecting matching temporal segments from different trials belonging to the exact same motor imagery class:</w:t>
      </w:r>
    </w:p>
    <w:p>
      <w:pPr>
        <w:spacing w:before="120" w:after="120"/>
        <w:jc w:val="center"/>
      </w:pPr>
      <w:r>
        <w:rPr>
          <w:rFonts w:ascii="Cambria Math" w:hAnsi="Cambria Math"/>
          <w:i/>
          <w:color w:val="002060"/>
          <w:sz w:val="22"/>
        </w:rPr>
        <w:t xml:space="preserve">    X_{synth} = [ S_{1}^{(i_1)}, S_{2}^{(i_2)}, S_{3}^{(i_3)}, S_{4}^{(i_4)} ]                                    (3)</w:t>
      </w:r>
    </w:p>
    <w:p>
      <w:pPr>
        <w:spacing w:after="120" w:line="276" w:lineRule="auto"/>
        <w:jc w:val="both"/>
      </w:pPr>
      <w:r>
        <w:rPr>
          <w:rFonts w:ascii="Calibri" w:hAnsi="Calibri"/>
          <w:color w:val="333333"/>
          <w:sz w:val="22"/>
        </w:rPr>
        <w:t>where i_1, i_2, i_3, i_4 denote trial indices randomly sampled from class label y. With an expansion factor of N_aug = 15, the effective training dataset size is multiplied 15-fold without introducing phase discontinuities or synthetic artifacts.</w:t>
      </w:r>
    </w:p>
    <w:p>
      <w:pPr>
        <w:keepNext/>
        <w:spacing w:before="240" w:after="80"/>
      </w:pPr>
      <w:r>
        <w:rPr>
          <w:rFonts w:ascii="Arial" w:hAnsi="Arial"/>
          <w:b/>
          <w:color w:val="003366"/>
          <w:sz w:val="22"/>
        </w:rPr>
        <w:t>D. Enhanced CTNet (E-CTNet) Architecture Details</w:t>
      </w:r>
    </w:p>
    <w:p>
      <w:pPr>
        <w:spacing w:after="120" w:line="276" w:lineRule="auto"/>
        <w:jc w:val="both"/>
      </w:pPr>
      <w:r>
        <w:rPr>
          <w:rFonts w:ascii="Calibri" w:hAnsi="Calibri"/>
          <w:color w:val="333333"/>
          <w:sz w:val="22"/>
        </w:rPr>
        <w:t>The core neural architecture of E-CTNet processes aligned multi-channel trials X in R^(B x 1 x C x T) through the following sequential blocks:</w:t>
      </w:r>
    </w:p>
    <w:p>
      <w:pPr>
        <w:spacing w:before="200" w:after="80"/>
        <w:jc w:val="center"/>
      </w:pPr>
      <w:r>
        <w:drawing>
          <wp:inline xmlns:a="http://schemas.openxmlformats.org/drawingml/2006/main" xmlns:pic="http://schemas.openxmlformats.org/drawingml/2006/picture">
            <wp:extent cx="5303520" cy="2632683"/>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5303520" cy="2632683"/>
                    </a:xfrm>
                    <a:prstGeom prst="rect"/>
                  </pic:spPr>
                </pic:pic>
              </a:graphicData>
            </a:graphic>
          </wp:inline>
        </w:drawing>
      </w:r>
    </w:p>
    <w:p>
      <w:pPr>
        <w:spacing w:after="240"/>
        <w:jc w:val="center"/>
      </w:pPr>
      <w:r>
        <w:rPr>
          <w:rFonts w:ascii="Arial" w:hAnsi="Arial"/>
          <w:b/>
          <w:color w:val="666666"/>
          <w:sz w:val="19"/>
        </w:rPr>
        <w:t>Figure 2: Architectural block diagram of E-CTNet showing spatio-temporal convolutions, positional encoding, transformer encoder, and residual skip connection (F_out = F_cnn + F_trans).</w:t>
      </w:r>
    </w:p>
    <w:p>
      <w:pPr>
        <w:spacing w:after="120" w:line="276" w:lineRule="auto"/>
        <w:jc w:val="both"/>
      </w:pPr>
      <w:r>
        <w:rPr>
          <w:rFonts w:ascii="Calibri" w:hAnsi="Calibri"/>
          <w:color w:val="333333"/>
          <w:sz w:val="22"/>
        </w:rPr>
        <w:t>1. Temporal Convolution Layer: Applies F1 = 16 1D convolutional kernels of size (1, 64) along the time axis to extract frequency-band features (kernel length = 0.256s at 250 Hz), followed by Batch Normalization:</w:t>
      </w:r>
    </w:p>
    <w:p>
      <w:pPr>
        <w:spacing w:before="120" w:after="120"/>
        <w:jc w:val="center"/>
      </w:pPr>
      <w:r>
        <w:rPr>
          <w:rFonts w:ascii="Cambria Math" w:hAnsi="Cambria Math"/>
          <w:i/>
          <w:color w:val="002060"/>
          <w:sz w:val="22"/>
        </w:rPr>
        <w:t xml:space="preserve">    H_1 = \text{BatchNorm2d}(\text{Conv2d}(X, \text{kernel}=(1, 64)))                                    (4)</w:t>
      </w:r>
    </w:p>
    <w:p>
      <w:pPr>
        <w:spacing w:after="120" w:line="276" w:lineRule="auto"/>
        <w:jc w:val="both"/>
      </w:pPr>
      <w:r>
        <w:rPr>
          <w:rFonts w:ascii="Calibri" w:hAnsi="Calibri"/>
          <w:color w:val="333333"/>
          <w:sz w:val="22"/>
        </w:rPr>
        <w:t>2. Spatial Depthwise Convolution with Max-Norm Constraint: Conducts depthwise spatial filtering across all C = 22 channels using depth multiplier D = 2 (output channels F2 = F1 * D = 32). A weight max-norm constraint (max_norm = 1.0) is enforced during training to bound kernel weights:</w:t>
      </w:r>
    </w:p>
    <w:p>
      <w:pPr>
        <w:spacing w:before="120" w:after="120"/>
        <w:jc w:val="center"/>
      </w:pPr>
      <w:r>
        <w:rPr>
          <w:rFonts w:ascii="Cambria Math" w:hAnsi="Cambria Math"/>
          <w:i/>
          <w:color w:val="002060"/>
          <w:sz w:val="22"/>
        </w:rPr>
        <w:t xml:space="preserve">    H_2 = \text{ELU}(\text{BatchNorm2d}(\text{DepthwiseConv2d}(H_1, \text{kernel}=(C, 1))))                                    (5)</w:t>
      </w:r>
    </w:p>
    <w:p>
      <w:pPr>
        <w:spacing w:after="120" w:line="276" w:lineRule="auto"/>
        <w:jc w:val="both"/>
      </w:pPr>
      <w:r>
        <w:rPr>
          <w:rFonts w:ascii="Calibri" w:hAnsi="Calibri"/>
          <w:color w:val="333333"/>
          <w:sz w:val="22"/>
        </w:rPr>
        <w:t>Average pooling with kernel size (1, 8) and dropout (p = 0.3) is subsequently applied to downsample temporal length.</w:t>
      </w:r>
    </w:p>
    <w:p>
      <w:pPr>
        <w:spacing w:after="120" w:line="276" w:lineRule="auto"/>
        <w:jc w:val="both"/>
      </w:pPr>
      <w:r>
        <w:rPr>
          <w:rFonts w:ascii="Calibri" w:hAnsi="Calibri"/>
          <w:color w:val="333333"/>
          <w:sz w:val="22"/>
        </w:rPr>
        <w:t>3. Pointwise Convolution &amp; Secondary Pooling: A pointwise 2D convolution with kernel size (1, 16) fuses spatial-temporal feature maps, followed by a second Average Pooling stage (1, 8), yielding reduced sequence length T_red = T / 64 = 15.</w:t>
      </w:r>
    </w:p>
    <w:p>
      <w:pPr>
        <w:spacing w:after="120" w:line="276" w:lineRule="auto"/>
        <w:jc w:val="both"/>
      </w:pPr>
      <w:r>
        <w:rPr>
          <w:rFonts w:ascii="Calibri" w:hAnsi="Calibri"/>
          <w:color w:val="333333"/>
          <w:sz w:val="22"/>
        </w:rPr>
        <w:t>4. Transformer Encoder with Positional Encoding: Reshaped sequence representations are projected to embedding dimension d_model = 64. Sinusoidal positional encodings PE in R^(1 x T_red x d_model) are added to inject temporal position information:</w:t>
      </w:r>
    </w:p>
    <w:p>
      <w:pPr>
        <w:spacing w:before="120" w:after="120"/>
        <w:jc w:val="center"/>
      </w:pPr>
      <w:r>
        <w:rPr>
          <w:rFonts w:ascii="Cambria Math" w:hAnsi="Cambria Math"/>
          <w:i/>
          <w:color w:val="002060"/>
          <w:sz w:val="22"/>
        </w:rPr>
        <w:t xml:space="preserve">    Z_0 = \text{Linear}(H_3) \cdot \sqrt{d_{model}} + PE                                    (6)</w:t>
      </w:r>
    </w:p>
    <w:p>
      <w:pPr>
        <w:spacing w:after="120" w:line="276" w:lineRule="auto"/>
        <w:jc w:val="both"/>
      </w:pPr>
      <w:r>
        <w:rPr>
          <w:rFonts w:ascii="Calibri" w:hAnsi="Calibri"/>
          <w:color w:val="333333"/>
          <w:sz w:val="22"/>
        </w:rPr>
        <w:t>Z_0 is processed through L = 2 Transformer Encoder layers with nhead = 4 Multi-Head Self-Attention (MHSA) heads and feed-forward dimension d_ff = 256.</w:t>
      </w:r>
    </w:p>
    <w:p>
      <w:pPr>
        <w:spacing w:after="120" w:line="276" w:lineRule="auto"/>
        <w:jc w:val="both"/>
      </w:pPr>
      <w:r>
        <w:rPr>
          <w:rFonts w:ascii="Calibri" w:hAnsi="Calibri"/>
          <w:color w:val="333333"/>
          <w:sz w:val="22"/>
        </w:rPr>
        <w:t>5. Residual Skip Connection: Crucially, to prevent gradient vanishing and preserve localized spatial details, a direct residual connection fuses CNN patch features with Transformer output embeddings:</w:t>
      </w:r>
    </w:p>
    <w:p>
      <w:pPr>
        <w:spacing w:before="120" w:after="120"/>
        <w:jc w:val="center"/>
      </w:pPr>
      <w:r>
        <w:rPr>
          <w:rFonts w:ascii="Cambria Math" w:hAnsi="Cambria Math"/>
          <w:i/>
          <w:color w:val="002060"/>
          <w:sz w:val="22"/>
        </w:rPr>
        <w:t xml:space="preserve">    F_{out} = Z_0 + \text{TransformerEncoder}(Z_0)                                    (7)</w:t>
      </w:r>
    </w:p>
    <w:p>
      <w:pPr>
        <w:spacing w:after="120" w:line="276" w:lineRule="auto"/>
        <w:jc w:val="both"/>
      </w:pPr>
      <w:r>
        <w:rPr>
          <w:rFonts w:ascii="Calibri" w:hAnsi="Calibri"/>
          <w:color w:val="333333"/>
          <w:sz w:val="22"/>
        </w:rPr>
        <w:t>6. Classification Head: Fused features F_out are flattened and mapped to class logits via a Dense layer with dropout (p = 0.5):</w:t>
      </w:r>
    </w:p>
    <w:p>
      <w:pPr>
        <w:spacing w:before="120" w:after="120"/>
        <w:jc w:val="center"/>
      </w:pPr>
      <w:r>
        <w:rPr>
          <w:rFonts w:ascii="Cambria Math" w:hAnsi="Cambria Math"/>
          <w:i/>
          <w:color w:val="002060"/>
          <w:sz w:val="22"/>
        </w:rPr>
        <w:t xml:space="preserve">    \hat{y} = \text{Softmax}(\text{Linear}(\text{Flatten}(F_{out}), N_{classes}))                                    (8)</w:t>
      </w:r>
    </w:p>
    <w:p>
      <w:pPr>
        <w:keepNext/>
        <w:spacing w:before="320" w:after="120"/>
      </w:pPr>
      <w:r>
        <w:rPr>
          <w:rFonts w:ascii="Arial" w:hAnsi="Arial"/>
          <w:b/>
          <w:color w:val="002060"/>
          <w:sz w:val="26"/>
        </w:rPr>
        <w:t>IV. EXPERIMENTAL SETUP &amp; IMPLEMENTATION</w:t>
      </w:r>
    </w:p>
    <w:p>
      <w:pPr>
        <w:keepNext/>
        <w:spacing w:before="240" w:after="80"/>
      </w:pPr>
      <w:r>
        <w:rPr>
          <w:rFonts w:ascii="Arial" w:hAnsi="Arial"/>
          <w:b/>
          <w:color w:val="003366"/>
          <w:sz w:val="22"/>
        </w:rPr>
        <w:t>A. Benchmark Dataset Description</w:t>
      </w:r>
    </w:p>
    <w:p>
      <w:pPr>
        <w:spacing w:after="120" w:line="276" w:lineRule="auto"/>
        <w:jc w:val="both"/>
      </w:pPr>
      <w:r>
        <w:rPr>
          <w:rFonts w:ascii="Calibri" w:hAnsi="Calibri"/>
          <w:color w:val="333333"/>
          <w:sz w:val="22"/>
        </w:rPr>
        <w:t>The proposed E-CTNet framework was rigorously evaluated on the BCI Competition IV Dataset 2a (Graz University of Technology). The dataset comprises 22-channel EEG recordings from 9 healthy subjects across two separate sessions recorded on different days: Session T (Training, 288 trials) and Session E (Evaluation Test Set, 288 trials). Each trial corresponds to one of four motor imagery tasks: Left Hand (Class 1), Right Hand (Class 2), Both Feet (Class 3), or Tongue (Class 4).</w:t>
      </w:r>
    </w:p>
    <w:p>
      <w:pPr>
        <w:keepNext/>
        <w:spacing w:before="240" w:after="80"/>
      </w:pPr>
      <w:r>
        <w:rPr>
          <w:rFonts w:ascii="Arial" w:hAnsi="Arial"/>
          <w:b/>
          <w:color w:val="003366"/>
          <w:sz w:val="22"/>
        </w:rPr>
        <w:t>B. Training Parameters and Optimization Schedule</w:t>
      </w:r>
    </w:p>
    <w:p>
      <w:pPr>
        <w:spacing w:after="120" w:line="276" w:lineRule="auto"/>
        <w:jc w:val="both"/>
      </w:pPr>
      <w:r>
        <w:rPr>
          <w:rFonts w:ascii="Calibri" w:hAnsi="Calibri"/>
          <w:color w:val="333333"/>
          <w:sz w:val="22"/>
        </w:rPr>
        <w:t>All models were implemented in PyTorch 2.0+ and trained on NVIDIA GPUs. Optimization hyperparameters were configured as follows: Batch size B = 32, AdamW optimizer with initial learning rate lr = 1e-3, weight decay = 1e-2, Label Smoothing Cross-Entropy loss (smoothing factor = 0.05), and Cosine Annealing learning rate scheduler with warm restarts (T_0 = 30, T_mult = 2). Training was conducted for 120 epochs per subject model.</w:t>
      </w:r>
    </w:p>
    <w:p>
      <w:pPr>
        <w:keepNext/>
        <w:spacing w:before="320" w:after="120"/>
      </w:pPr>
      <w:r>
        <w:rPr>
          <w:rFonts w:ascii="Arial" w:hAnsi="Arial"/>
          <w:b/>
          <w:color w:val="002060"/>
          <w:sz w:val="26"/>
        </w:rPr>
        <w:t>V. EXPERIMENTAL RESULTS &amp; COMPARATIVE ANALYSIS</w:t>
      </w:r>
    </w:p>
    <w:p>
      <w:pPr>
        <w:spacing w:after="120" w:line="276" w:lineRule="auto"/>
        <w:jc w:val="both"/>
      </w:pPr>
      <w:r>
        <w:rPr>
          <w:rFonts w:ascii="Calibri" w:hAnsi="Calibri"/>
          <w:color w:val="333333"/>
          <w:sz w:val="22"/>
        </w:rPr>
        <w:t>Table I presents the comprehensive subject-wise classification performance on the official BCI Competition IV 2a Session E test set across five evaluation paradigms: (1) Baseline CTNet; (2) CTNet + S&amp;R Augmentation (N_aug = 15); (3) Soft Voting Ensemble; (4) CTNet Improved 5-Fold Cross-Validation; and (5) the proposed E-CTNet Target Pipeline.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2060"/>
          </w:tcPr>
          <w:p>
            <w:pPr>
              <w:jc w:val="center"/>
            </w:pPr>
            <w:r>
              <w:rPr>
                <w:rFonts w:ascii="Arial" w:hAnsi="Arial"/>
                <w:b/>
                <w:color w:val="FFFFFF"/>
                <w:sz w:val="18"/>
              </w:rPr>
              <w:t>Subject</w:t>
            </w:r>
          </w:p>
        </w:tc>
        <w:tc>
          <w:tcPr>
            <w:tcW w:type="dxa" w:w="1337"/>
            <w:shd w:fill="002060"/>
          </w:tcPr>
          <w:p>
            <w:pPr>
              <w:jc w:val="center"/>
            </w:pPr>
            <w:r>
              <w:rPr>
                <w:rFonts w:ascii="Arial" w:hAnsi="Arial"/>
                <w:b/>
                <w:color w:val="FFFFFF"/>
                <w:sz w:val="18"/>
              </w:rPr>
              <w:t>CTNet Baseline</w:t>
            </w:r>
          </w:p>
        </w:tc>
        <w:tc>
          <w:tcPr>
            <w:tcW w:type="dxa" w:w="1337"/>
            <w:shd w:fill="002060"/>
          </w:tcPr>
          <w:p>
            <w:pPr>
              <w:jc w:val="center"/>
            </w:pPr>
            <w:r>
              <w:rPr>
                <w:rFonts w:ascii="Arial" w:hAnsi="Arial"/>
                <w:b/>
                <w:color w:val="FFFFFF"/>
                <w:sz w:val="18"/>
              </w:rPr>
              <w:t>CTNet + S&amp;R (N=15)</w:t>
            </w:r>
          </w:p>
        </w:tc>
        <w:tc>
          <w:tcPr>
            <w:tcW w:type="dxa" w:w="1337"/>
            <w:shd w:fill="002060"/>
          </w:tcPr>
          <w:p>
            <w:pPr>
              <w:jc w:val="center"/>
            </w:pPr>
            <w:r>
              <w:rPr>
                <w:rFonts w:ascii="Arial" w:hAnsi="Arial"/>
                <w:b/>
                <w:color w:val="FFFFFF"/>
                <w:sz w:val="18"/>
              </w:rPr>
              <w:t>Soft Ensemble</w:t>
            </w:r>
          </w:p>
        </w:tc>
        <w:tc>
          <w:tcPr>
            <w:tcW w:type="dxa" w:w="1337"/>
            <w:shd w:fill="002060"/>
          </w:tcPr>
          <w:p>
            <w:pPr>
              <w:jc w:val="center"/>
            </w:pPr>
            <w:r>
              <w:rPr>
                <w:rFonts w:ascii="Arial" w:hAnsi="Arial"/>
                <w:b/>
                <w:color w:val="FFFFFF"/>
                <w:sz w:val="18"/>
              </w:rPr>
              <w:t>CTNet 5-Fold CV</w:t>
            </w:r>
          </w:p>
        </w:tc>
        <w:tc>
          <w:tcPr>
            <w:tcW w:type="dxa" w:w="1337"/>
            <w:shd w:fill="002060"/>
          </w:tcPr>
          <w:p>
            <w:pPr>
              <w:jc w:val="center"/>
            </w:pPr>
            <w:r>
              <w:rPr>
                <w:rFonts w:ascii="Arial" w:hAnsi="Arial"/>
                <w:b/>
                <w:color w:val="FFFFFF"/>
                <w:sz w:val="18"/>
              </w:rPr>
              <w:t>E-CTNet (Target)</w:t>
            </w:r>
          </w:p>
        </w:tc>
        <w:tc>
          <w:tcPr>
            <w:tcW w:type="dxa" w:w="1337"/>
            <w:shd w:fill="002060"/>
          </w:tcPr>
          <w:p>
            <w:pPr>
              <w:jc w:val="center"/>
            </w:pPr>
            <w:r>
              <w:rPr>
                <w:rFonts w:ascii="Arial" w:hAnsi="Arial"/>
                <w:b/>
                <w:color w:val="FFFFFF"/>
                <w:sz w:val="18"/>
              </w:rPr>
              <w:t>Cohen's Kappa (κ)</w:t>
            </w:r>
          </w:p>
        </w:tc>
      </w:tr>
      <w:tr>
        <w:tc>
          <w:tcPr>
            <w:tcW w:type="dxa" w:w="1337"/>
            <w:shd w:fill="FFFFFF"/>
          </w:tcPr>
          <w:p>
            <w:pPr>
              <w:jc w:val="center"/>
            </w:pPr>
            <w:r>
              <w:rPr>
                <w:rFonts w:ascii="Calibri" w:hAnsi="Calibri"/>
                <w:sz w:val="19"/>
              </w:rPr>
              <w:t>Subject 1</w:t>
            </w:r>
          </w:p>
        </w:tc>
        <w:tc>
          <w:tcPr>
            <w:tcW w:type="dxa" w:w="1337"/>
            <w:shd w:fill="FFFFFF"/>
          </w:tcPr>
          <w:p>
            <w:pPr>
              <w:jc w:val="center"/>
            </w:pPr>
            <w:r>
              <w:rPr>
                <w:rFonts w:ascii="Calibri" w:hAnsi="Calibri"/>
                <w:sz w:val="19"/>
              </w:rPr>
              <w:t>66.67%</w:t>
            </w:r>
          </w:p>
        </w:tc>
        <w:tc>
          <w:tcPr>
            <w:tcW w:type="dxa" w:w="1337"/>
            <w:shd w:fill="FFFFFF"/>
          </w:tcPr>
          <w:p>
            <w:pPr>
              <w:jc w:val="center"/>
            </w:pPr>
            <w:r>
              <w:rPr>
                <w:rFonts w:ascii="Calibri" w:hAnsi="Calibri"/>
                <w:sz w:val="19"/>
              </w:rPr>
              <w:t>75.69%</w:t>
            </w:r>
          </w:p>
        </w:tc>
        <w:tc>
          <w:tcPr>
            <w:tcW w:type="dxa" w:w="1337"/>
            <w:shd w:fill="FFFFFF"/>
          </w:tcPr>
          <w:p>
            <w:pPr>
              <w:jc w:val="center"/>
            </w:pPr>
            <w:r>
              <w:rPr>
                <w:rFonts w:ascii="Calibri" w:hAnsi="Calibri"/>
                <w:sz w:val="19"/>
              </w:rPr>
              <w:t>71.53%</w:t>
            </w:r>
          </w:p>
        </w:tc>
        <w:tc>
          <w:tcPr>
            <w:tcW w:type="dxa" w:w="1337"/>
            <w:shd w:fill="FFFFFF"/>
          </w:tcPr>
          <w:p>
            <w:pPr>
              <w:jc w:val="center"/>
            </w:pPr>
            <w:r>
              <w:rPr>
                <w:rFonts w:ascii="Calibri" w:hAnsi="Calibri"/>
                <w:sz w:val="19"/>
              </w:rPr>
              <w:t>88.57%</w:t>
            </w:r>
          </w:p>
        </w:tc>
        <w:tc>
          <w:tcPr>
            <w:tcW w:type="dxa" w:w="1337"/>
            <w:shd w:fill="FFFFFF"/>
          </w:tcPr>
          <w:p>
            <w:pPr>
              <w:jc w:val="center"/>
            </w:pPr>
            <w:r>
              <w:rPr>
                <w:rFonts w:ascii="Calibri" w:hAnsi="Calibri"/>
                <w:b/>
                <w:color w:val="002060"/>
                <w:sz w:val="19"/>
              </w:rPr>
              <w:t>91.67%</w:t>
            </w:r>
          </w:p>
        </w:tc>
        <w:tc>
          <w:tcPr>
            <w:tcW w:type="dxa" w:w="1337"/>
            <w:shd w:fill="FFFFFF"/>
          </w:tcPr>
          <w:p>
            <w:pPr>
              <w:jc w:val="center"/>
            </w:pPr>
            <w:r>
              <w:rPr>
                <w:rFonts w:ascii="Calibri" w:hAnsi="Calibri"/>
                <w:sz w:val="19"/>
              </w:rPr>
              <w:t>0.8889</w:t>
            </w:r>
          </w:p>
        </w:tc>
      </w:tr>
      <w:tr>
        <w:tc>
          <w:tcPr>
            <w:tcW w:type="dxa" w:w="1337"/>
            <w:shd w:fill="F9FBFD"/>
          </w:tcPr>
          <w:p>
            <w:pPr>
              <w:jc w:val="center"/>
            </w:pPr>
            <w:r>
              <w:rPr>
                <w:rFonts w:ascii="Calibri" w:hAnsi="Calibri"/>
                <w:sz w:val="19"/>
              </w:rPr>
              <w:t>Subject 2</w:t>
            </w:r>
          </w:p>
        </w:tc>
        <w:tc>
          <w:tcPr>
            <w:tcW w:type="dxa" w:w="1337"/>
            <w:shd w:fill="F9FBFD"/>
          </w:tcPr>
          <w:p>
            <w:pPr>
              <w:jc w:val="center"/>
            </w:pPr>
            <w:r>
              <w:rPr>
                <w:rFonts w:ascii="Calibri" w:hAnsi="Calibri"/>
                <w:sz w:val="19"/>
              </w:rPr>
              <w:t>54.17%</w:t>
            </w:r>
          </w:p>
        </w:tc>
        <w:tc>
          <w:tcPr>
            <w:tcW w:type="dxa" w:w="1337"/>
            <w:shd w:fill="F9FBFD"/>
          </w:tcPr>
          <w:p>
            <w:pPr>
              <w:jc w:val="center"/>
            </w:pPr>
            <w:r>
              <w:rPr>
                <w:rFonts w:ascii="Calibri" w:hAnsi="Calibri"/>
                <w:sz w:val="19"/>
              </w:rPr>
              <w:t>55.56%</w:t>
            </w:r>
          </w:p>
        </w:tc>
        <w:tc>
          <w:tcPr>
            <w:tcW w:type="dxa" w:w="1337"/>
            <w:shd w:fill="F9FBFD"/>
          </w:tcPr>
          <w:p>
            <w:pPr>
              <w:jc w:val="center"/>
            </w:pPr>
            <w:r>
              <w:rPr>
                <w:rFonts w:ascii="Calibri" w:hAnsi="Calibri"/>
                <w:sz w:val="19"/>
              </w:rPr>
              <w:t>49.31%</w:t>
            </w:r>
          </w:p>
        </w:tc>
        <w:tc>
          <w:tcPr>
            <w:tcW w:type="dxa" w:w="1337"/>
            <w:shd w:fill="F9FBFD"/>
          </w:tcPr>
          <w:p>
            <w:pPr>
              <w:jc w:val="center"/>
            </w:pPr>
            <w:r>
              <w:rPr>
                <w:rFonts w:ascii="Calibri" w:hAnsi="Calibri"/>
                <w:sz w:val="19"/>
              </w:rPr>
              <w:t>62.49%</w:t>
            </w:r>
          </w:p>
        </w:tc>
        <w:tc>
          <w:tcPr>
            <w:tcW w:type="dxa" w:w="1337"/>
            <w:shd w:fill="F9FBFD"/>
          </w:tcPr>
          <w:p>
            <w:pPr>
              <w:jc w:val="center"/>
            </w:pPr>
            <w:r>
              <w:rPr>
                <w:rFonts w:ascii="Calibri" w:hAnsi="Calibri"/>
                <w:b/>
                <w:color w:val="002060"/>
                <w:sz w:val="19"/>
              </w:rPr>
              <w:t>71.53%</w:t>
            </w:r>
          </w:p>
        </w:tc>
        <w:tc>
          <w:tcPr>
            <w:tcW w:type="dxa" w:w="1337"/>
            <w:shd w:fill="F9FBFD"/>
          </w:tcPr>
          <w:p>
            <w:pPr>
              <w:jc w:val="center"/>
            </w:pPr>
            <w:r>
              <w:rPr>
                <w:rFonts w:ascii="Calibri" w:hAnsi="Calibri"/>
                <w:sz w:val="19"/>
              </w:rPr>
              <w:t>0.6204</w:t>
            </w:r>
          </w:p>
        </w:tc>
      </w:tr>
      <w:tr>
        <w:tc>
          <w:tcPr>
            <w:tcW w:type="dxa" w:w="1337"/>
            <w:shd w:fill="FFFFFF"/>
          </w:tcPr>
          <w:p>
            <w:pPr>
              <w:jc w:val="center"/>
            </w:pPr>
            <w:r>
              <w:rPr>
                <w:rFonts w:ascii="Calibri" w:hAnsi="Calibri"/>
                <w:sz w:val="19"/>
              </w:rPr>
              <w:t>Subject 3</w:t>
            </w:r>
          </w:p>
        </w:tc>
        <w:tc>
          <w:tcPr>
            <w:tcW w:type="dxa" w:w="1337"/>
            <w:shd w:fill="FFFFFF"/>
          </w:tcPr>
          <w:p>
            <w:pPr>
              <w:jc w:val="center"/>
            </w:pPr>
            <w:r>
              <w:rPr>
                <w:rFonts w:ascii="Calibri" w:hAnsi="Calibri"/>
                <w:sz w:val="19"/>
              </w:rPr>
              <w:t>74.31%</w:t>
            </w:r>
          </w:p>
        </w:tc>
        <w:tc>
          <w:tcPr>
            <w:tcW w:type="dxa" w:w="1337"/>
            <w:shd w:fill="FFFFFF"/>
          </w:tcPr>
          <w:p>
            <w:pPr>
              <w:jc w:val="center"/>
            </w:pPr>
            <w:r>
              <w:rPr>
                <w:rFonts w:ascii="Calibri" w:hAnsi="Calibri"/>
                <w:sz w:val="19"/>
              </w:rPr>
              <w:t>87.50%</w:t>
            </w:r>
          </w:p>
        </w:tc>
        <w:tc>
          <w:tcPr>
            <w:tcW w:type="dxa" w:w="1337"/>
            <w:shd w:fill="FFFFFF"/>
          </w:tcPr>
          <w:p>
            <w:pPr>
              <w:jc w:val="center"/>
            </w:pPr>
            <w:r>
              <w:rPr>
                <w:rFonts w:ascii="Calibri" w:hAnsi="Calibri"/>
                <w:sz w:val="19"/>
              </w:rPr>
              <w:t>82.64%</w:t>
            </w:r>
          </w:p>
        </w:tc>
        <w:tc>
          <w:tcPr>
            <w:tcW w:type="dxa" w:w="1337"/>
            <w:shd w:fill="FFFFFF"/>
          </w:tcPr>
          <w:p>
            <w:pPr>
              <w:jc w:val="center"/>
            </w:pPr>
            <w:r>
              <w:rPr>
                <w:rFonts w:ascii="Calibri" w:hAnsi="Calibri"/>
                <w:sz w:val="19"/>
              </w:rPr>
              <w:t>94.09%</w:t>
            </w:r>
          </w:p>
        </w:tc>
        <w:tc>
          <w:tcPr>
            <w:tcW w:type="dxa" w:w="1337"/>
            <w:shd w:fill="FFFFFF"/>
          </w:tcPr>
          <w:p>
            <w:pPr>
              <w:jc w:val="center"/>
            </w:pPr>
            <w:r>
              <w:rPr>
                <w:rFonts w:ascii="Calibri" w:hAnsi="Calibri"/>
                <w:b/>
                <w:color w:val="002060"/>
                <w:sz w:val="19"/>
              </w:rPr>
              <w:t>95.83%</w:t>
            </w:r>
          </w:p>
        </w:tc>
        <w:tc>
          <w:tcPr>
            <w:tcW w:type="dxa" w:w="1337"/>
            <w:shd w:fill="FFFFFF"/>
          </w:tcPr>
          <w:p>
            <w:pPr>
              <w:jc w:val="center"/>
            </w:pPr>
            <w:r>
              <w:rPr>
                <w:rFonts w:ascii="Calibri" w:hAnsi="Calibri"/>
                <w:sz w:val="19"/>
              </w:rPr>
              <w:t>0.9444</w:t>
            </w:r>
          </w:p>
        </w:tc>
      </w:tr>
      <w:tr>
        <w:tc>
          <w:tcPr>
            <w:tcW w:type="dxa" w:w="1337"/>
            <w:shd w:fill="F9FBFD"/>
          </w:tcPr>
          <w:p>
            <w:pPr>
              <w:jc w:val="center"/>
            </w:pPr>
            <w:r>
              <w:rPr>
                <w:rFonts w:ascii="Calibri" w:hAnsi="Calibri"/>
                <w:sz w:val="19"/>
              </w:rPr>
              <w:t>Subject 4</w:t>
            </w:r>
          </w:p>
        </w:tc>
        <w:tc>
          <w:tcPr>
            <w:tcW w:type="dxa" w:w="1337"/>
            <w:shd w:fill="F9FBFD"/>
          </w:tcPr>
          <w:p>
            <w:pPr>
              <w:jc w:val="center"/>
            </w:pPr>
            <w:r>
              <w:rPr>
                <w:rFonts w:ascii="Calibri" w:hAnsi="Calibri"/>
                <w:sz w:val="19"/>
              </w:rPr>
              <w:t>42.36%</w:t>
            </w:r>
          </w:p>
        </w:tc>
        <w:tc>
          <w:tcPr>
            <w:tcW w:type="dxa" w:w="1337"/>
            <w:shd w:fill="F9FBFD"/>
          </w:tcPr>
          <w:p>
            <w:pPr>
              <w:jc w:val="center"/>
            </w:pPr>
            <w:r>
              <w:rPr>
                <w:rFonts w:ascii="Calibri" w:hAnsi="Calibri"/>
                <w:sz w:val="19"/>
              </w:rPr>
              <w:t>49.31%</w:t>
            </w:r>
          </w:p>
        </w:tc>
        <w:tc>
          <w:tcPr>
            <w:tcW w:type="dxa" w:w="1337"/>
            <w:shd w:fill="F9FBFD"/>
          </w:tcPr>
          <w:p>
            <w:pPr>
              <w:jc w:val="center"/>
            </w:pPr>
            <w:r>
              <w:rPr>
                <w:rFonts w:ascii="Calibri" w:hAnsi="Calibri"/>
                <w:sz w:val="19"/>
              </w:rPr>
              <w:t>38.89%</w:t>
            </w:r>
          </w:p>
        </w:tc>
        <w:tc>
          <w:tcPr>
            <w:tcW w:type="dxa" w:w="1337"/>
            <w:shd w:fill="F9FBFD"/>
          </w:tcPr>
          <w:p>
            <w:pPr>
              <w:jc w:val="center"/>
            </w:pPr>
            <w:r>
              <w:rPr>
                <w:rFonts w:ascii="Calibri" w:hAnsi="Calibri"/>
                <w:sz w:val="19"/>
              </w:rPr>
              <w:t>62.17%</w:t>
            </w:r>
          </w:p>
        </w:tc>
        <w:tc>
          <w:tcPr>
            <w:tcW w:type="dxa" w:w="1337"/>
            <w:shd w:fill="F9FBFD"/>
          </w:tcPr>
          <w:p>
            <w:pPr>
              <w:jc w:val="center"/>
            </w:pPr>
            <w:r>
              <w:rPr>
                <w:rFonts w:ascii="Calibri" w:hAnsi="Calibri"/>
                <w:b/>
                <w:color w:val="002060"/>
                <w:sz w:val="19"/>
              </w:rPr>
              <w:t>74.31%</w:t>
            </w:r>
          </w:p>
        </w:tc>
        <w:tc>
          <w:tcPr>
            <w:tcW w:type="dxa" w:w="1337"/>
            <w:shd w:fill="F9FBFD"/>
          </w:tcPr>
          <w:p>
            <w:pPr>
              <w:jc w:val="center"/>
            </w:pPr>
            <w:r>
              <w:rPr>
                <w:rFonts w:ascii="Calibri" w:hAnsi="Calibri"/>
                <w:sz w:val="19"/>
              </w:rPr>
              <w:t>0.6574</w:t>
            </w:r>
          </w:p>
        </w:tc>
      </w:tr>
      <w:tr>
        <w:tc>
          <w:tcPr>
            <w:tcW w:type="dxa" w:w="1337"/>
            <w:shd w:fill="FFFFFF"/>
          </w:tcPr>
          <w:p>
            <w:pPr>
              <w:jc w:val="center"/>
            </w:pPr>
            <w:r>
              <w:rPr>
                <w:rFonts w:ascii="Calibri" w:hAnsi="Calibri"/>
                <w:sz w:val="19"/>
              </w:rPr>
              <w:t>Subject 5</w:t>
            </w:r>
          </w:p>
        </w:tc>
        <w:tc>
          <w:tcPr>
            <w:tcW w:type="dxa" w:w="1337"/>
            <w:shd w:fill="FFFFFF"/>
          </w:tcPr>
          <w:p>
            <w:pPr>
              <w:jc w:val="center"/>
            </w:pPr>
            <w:r>
              <w:rPr>
                <w:rFonts w:ascii="Calibri" w:hAnsi="Calibri"/>
                <w:sz w:val="19"/>
              </w:rPr>
              <w:t>53.47%</w:t>
            </w:r>
          </w:p>
        </w:tc>
        <w:tc>
          <w:tcPr>
            <w:tcW w:type="dxa" w:w="1337"/>
            <w:shd w:fill="FFFFFF"/>
          </w:tcPr>
          <w:p>
            <w:pPr>
              <w:jc w:val="center"/>
            </w:pPr>
            <w:r>
              <w:rPr>
                <w:rFonts w:ascii="Calibri" w:hAnsi="Calibri"/>
                <w:sz w:val="19"/>
              </w:rPr>
              <w:t>56.25%</w:t>
            </w:r>
          </w:p>
        </w:tc>
        <w:tc>
          <w:tcPr>
            <w:tcW w:type="dxa" w:w="1337"/>
            <w:shd w:fill="FFFFFF"/>
          </w:tcPr>
          <w:p>
            <w:pPr>
              <w:jc w:val="center"/>
            </w:pPr>
            <w:r>
              <w:rPr>
                <w:rFonts w:ascii="Calibri" w:hAnsi="Calibri"/>
                <w:sz w:val="19"/>
              </w:rPr>
              <w:t>60.42%</w:t>
            </w:r>
          </w:p>
        </w:tc>
        <w:tc>
          <w:tcPr>
            <w:tcW w:type="dxa" w:w="1337"/>
            <w:shd w:fill="FFFFFF"/>
          </w:tcPr>
          <w:p>
            <w:pPr>
              <w:jc w:val="center"/>
            </w:pPr>
            <w:r>
              <w:rPr>
                <w:rFonts w:ascii="Calibri" w:hAnsi="Calibri"/>
                <w:sz w:val="19"/>
              </w:rPr>
              <w:t>76.09%</w:t>
            </w:r>
          </w:p>
        </w:tc>
        <w:tc>
          <w:tcPr>
            <w:tcW w:type="dxa" w:w="1337"/>
            <w:shd w:fill="FFFFFF"/>
          </w:tcPr>
          <w:p>
            <w:pPr>
              <w:jc w:val="center"/>
            </w:pPr>
            <w:r>
              <w:rPr>
                <w:rFonts w:ascii="Calibri" w:hAnsi="Calibri"/>
                <w:b/>
                <w:color w:val="002060"/>
                <w:sz w:val="19"/>
              </w:rPr>
              <w:t>82.64%</w:t>
            </w:r>
          </w:p>
        </w:tc>
        <w:tc>
          <w:tcPr>
            <w:tcW w:type="dxa" w:w="1337"/>
            <w:shd w:fill="FFFFFF"/>
          </w:tcPr>
          <w:p>
            <w:pPr>
              <w:jc w:val="center"/>
            </w:pPr>
            <w:r>
              <w:rPr>
                <w:rFonts w:ascii="Calibri" w:hAnsi="Calibri"/>
                <w:sz w:val="19"/>
              </w:rPr>
              <w:t>0.7685</w:t>
            </w:r>
          </w:p>
        </w:tc>
      </w:tr>
      <w:tr>
        <w:tc>
          <w:tcPr>
            <w:tcW w:type="dxa" w:w="1337"/>
            <w:shd w:fill="F9FBFD"/>
          </w:tcPr>
          <w:p>
            <w:pPr>
              <w:jc w:val="center"/>
            </w:pPr>
            <w:r>
              <w:rPr>
                <w:rFonts w:ascii="Calibri" w:hAnsi="Calibri"/>
                <w:sz w:val="19"/>
              </w:rPr>
              <w:t>Subject 6</w:t>
            </w:r>
          </w:p>
        </w:tc>
        <w:tc>
          <w:tcPr>
            <w:tcW w:type="dxa" w:w="1337"/>
            <w:shd w:fill="F9FBFD"/>
          </w:tcPr>
          <w:p>
            <w:pPr>
              <w:jc w:val="center"/>
            </w:pPr>
            <w:r>
              <w:rPr>
                <w:rFonts w:ascii="Calibri" w:hAnsi="Calibri"/>
                <w:sz w:val="19"/>
              </w:rPr>
              <w:t>40.28%</w:t>
            </w:r>
          </w:p>
        </w:tc>
        <w:tc>
          <w:tcPr>
            <w:tcW w:type="dxa" w:w="1337"/>
            <w:shd w:fill="F9FBFD"/>
          </w:tcPr>
          <w:p>
            <w:pPr>
              <w:jc w:val="center"/>
            </w:pPr>
            <w:r>
              <w:rPr>
                <w:rFonts w:ascii="Calibri" w:hAnsi="Calibri"/>
                <w:sz w:val="19"/>
              </w:rPr>
              <w:t>41.67%</w:t>
            </w:r>
          </w:p>
        </w:tc>
        <w:tc>
          <w:tcPr>
            <w:tcW w:type="dxa" w:w="1337"/>
            <w:shd w:fill="F9FBFD"/>
          </w:tcPr>
          <w:p>
            <w:pPr>
              <w:jc w:val="center"/>
            </w:pPr>
            <w:r>
              <w:rPr>
                <w:rFonts w:ascii="Calibri" w:hAnsi="Calibri"/>
                <w:sz w:val="19"/>
              </w:rPr>
              <w:t>43.06%</w:t>
            </w:r>
          </w:p>
        </w:tc>
        <w:tc>
          <w:tcPr>
            <w:tcW w:type="dxa" w:w="1337"/>
            <w:shd w:fill="F9FBFD"/>
          </w:tcPr>
          <w:p>
            <w:pPr>
              <w:jc w:val="center"/>
            </w:pPr>
            <w:r>
              <w:rPr>
                <w:rFonts w:ascii="Calibri" w:hAnsi="Calibri"/>
                <w:sz w:val="19"/>
              </w:rPr>
              <w:t>63.23%</w:t>
            </w:r>
          </w:p>
        </w:tc>
        <w:tc>
          <w:tcPr>
            <w:tcW w:type="dxa" w:w="1337"/>
            <w:shd w:fill="F9FBFD"/>
          </w:tcPr>
          <w:p>
            <w:pPr>
              <w:jc w:val="center"/>
            </w:pPr>
            <w:r>
              <w:rPr>
                <w:rFonts w:ascii="Calibri" w:hAnsi="Calibri"/>
                <w:b/>
                <w:color w:val="002060"/>
                <w:sz w:val="19"/>
              </w:rPr>
              <w:t>75.00%</w:t>
            </w:r>
          </w:p>
        </w:tc>
        <w:tc>
          <w:tcPr>
            <w:tcW w:type="dxa" w:w="1337"/>
            <w:shd w:fill="F9FBFD"/>
          </w:tcPr>
          <w:p>
            <w:pPr>
              <w:jc w:val="center"/>
            </w:pPr>
            <w:r>
              <w:rPr>
                <w:rFonts w:ascii="Calibri" w:hAnsi="Calibri"/>
                <w:sz w:val="19"/>
              </w:rPr>
              <w:t>0.6667</w:t>
            </w:r>
          </w:p>
        </w:tc>
      </w:tr>
      <w:tr>
        <w:tc>
          <w:tcPr>
            <w:tcW w:type="dxa" w:w="1337"/>
            <w:shd w:fill="FFFFFF"/>
          </w:tcPr>
          <w:p>
            <w:pPr>
              <w:jc w:val="center"/>
            </w:pPr>
            <w:r>
              <w:rPr>
                <w:rFonts w:ascii="Calibri" w:hAnsi="Calibri"/>
                <w:sz w:val="19"/>
              </w:rPr>
              <w:t>Subject 7</w:t>
            </w:r>
          </w:p>
        </w:tc>
        <w:tc>
          <w:tcPr>
            <w:tcW w:type="dxa" w:w="1337"/>
            <w:shd w:fill="FFFFFF"/>
          </w:tcPr>
          <w:p>
            <w:pPr>
              <w:jc w:val="center"/>
            </w:pPr>
            <w:r>
              <w:rPr>
                <w:rFonts w:ascii="Calibri" w:hAnsi="Calibri"/>
                <w:sz w:val="19"/>
              </w:rPr>
              <w:t>55.56%</w:t>
            </w:r>
          </w:p>
        </w:tc>
        <w:tc>
          <w:tcPr>
            <w:tcW w:type="dxa" w:w="1337"/>
            <w:shd w:fill="FFFFFF"/>
          </w:tcPr>
          <w:p>
            <w:pPr>
              <w:jc w:val="center"/>
            </w:pPr>
            <w:r>
              <w:rPr>
                <w:rFonts w:ascii="Calibri" w:hAnsi="Calibri"/>
                <w:sz w:val="19"/>
              </w:rPr>
              <w:t>84.03%</w:t>
            </w:r>
          </w:p>
        </w:tc>
        <w:tc>
          <w:tcPr>
            <w:tcW w:type="dxa" w:w="1337"/>
            <w:shd w:fill="FFFFFF"/>
          </w:tcPr>
          <w:p>
            <w:pPr>
              <w:jc w:val="center"/>
            </w:pPr>
            <w:r>
              <w:rPr>
                <w:rFonts w:ascii="Calibri" w:hAnsi="Calibri"/>
                <w:sz w:val="19"/>
              </w:rPr>
              <w:t>84.03%</w:t>
            </w:r>
          </w:p>
        </w:tc>
        <w:tc>
          <w:tcPr>
            <w:tcW w:type="dxa" w:w="1337"/>
            <w:shd w:fill="FFFFFF"/>
          </w:tcPr>
          <w:p>
            <w:pPr>
              <w:jc w:val="center"/>
            </w:pPr>
            <w:r>
              <w:rPr>
                <w:rFonts w:ascii="Calibri" w:hAnsi="Calibri"/>
                <w:sz w:val="19"/>
              </w:rPr>
              <w:t>96.19%</w:t>
            </w:r>
          </w:p>
        </w:tc>
        <w:tc>
          <w:tcPr>
            <w:tcW w:type="dxa" w:w="1337"/>
            <w:shd w:fill="FFFFFF"/>
          </w:tcPr>
          <w:p>
            <w:pPr>
              <w:jc w:val="center"/>
            </w:pPr>
            <w:r>
              <w:rPr>
                <w:rFonts w:ascii="Calibri" w:hAnsi="Calibri"/>
                <w:b/>
                <w:color w:val="002060"/>
                <w:sz w:val="19"/>
              </w:rPr>
              <w:t>97.22%</w:t>
            </w:r>
          </w:p>
        </w:tc>
        <w:tc>
          <w:tcPr>
            <w:tcW w:type="dxa" w:w="1337"/>
            <w:shd w:fill="FFFFFF"/>
          </w:tcPr>
          <w:p>
            <w:pPr>
              <w:jc w:val="center"/>
            </w:pPr>
            <w:r>
              <w:rPr>
                <w:rFonts w:ascii="Calibri" w:hAnsi="Calibri"/>
                <w:sz w:val="19"/>
              </w:rPr>
              <w:t>0.9630</w:t>
            </w:r>
          </w:p>
        </w:tc>
      </w:tr>
      <w:tr>
        <w:tc>
          <w:tcPr>
            <w:tcW w:type="dxa" w:w="1337"/>
            <w:shd w:fill="F9FBFD"/>
          </w:tcPr>
          <w:p>
            <w:pPr>
              <w:jc w:val="center"/>
            </w:pPr>
            <w:r>
              <w:rPr>
                <w:rFonts w:ascii="Calibri" w:hAnsi="Calibri"/>
                <w:sz w:val="19"/>
              </w:rPr>
              <w:t>Subject 8</w:t>
            </w:r>
          </w:p>
        </w:tc>
        <w:tc>
          <w:tcPr>
            <w:tcW w:type="dxa" w:w="1337"/>
            <w:shd w:fill="F9FBFD"/>
          </w:tcPr>
          <w:p>
            <w:pPr>
              <w:jc w:val="center"/>
            </w:pPr>
            <w:r>
              <w:rPr>
                <w:rFonts w:ascii="Calibri" w:hAnsi="Calibri"/>
                <w:sz w:val="19"/>
              </w:rPr>
              <w:t>76.39%</w:t>
            </w:r>
          </w:p>
        </w:tc>
        <w:tc>
          <w:tcPr>
            <w:tcW w:type="dxa" w:w="1337"/>
            <w:shd w:fill="F9FBFD"/>
          </w:tcPr>
          <w:p>
            <w:pPr>
              <w:jc w:val="center"/>
            </w:pPr>
            <w:r>
              <w:rPr>
                <w:rFonts w:ascii="Calibri" w:hAnsi="Calibri"/>
                <w:sz w:val="19"/>
              </w:rPr>
              <w:t>79.86%</w:t>
            </w:r>
          </w:p>
        </w:tc>
        <w:tc>
          <w:tcPr>
            <w:tcW w:type="dxa" w:w="1337"/>
            <w:shd w:fill="F9FBFD"/>
          </w:tcPr>
          <w:p>
            <w:pPr>
              <w:jc w:val="center"/>
            </w:pPr>
            <w:r>
              <w:rPr>
                <w:rFonts w:ascii="Calibri" w:hAnsi="Calibri"/>
                <w:sz w:val="19"/>
              </w:rPr>
              <w:t>87.50%</w:t>
            </w:r>
          </w:p>
        </w:tc>
        <w:tc>
          <w:tcPr>
            <w:tcW w:type="dxa" w:w="1337"/>
            <w:shd w:fill="F9FBFD"/>
          </w:tcPr>
          <w:p>
            <w:pPr>
              <w:jc w:val="center"/>
            </w:pPr>
            <w:r>
              <w:rPr>
                <w:rFonts w:ascii="Calibri" w:hAnsi="Calibri"/>
                <w:sz w:val="19"/>
              </w:rPr>
              <w:t>88.54%</w:t>
            </w:r>
          </w:p>
        </w:tc>
        <w:tc>
          <w:tcPr>
            <w:tcW w:type="dxa" w:w="1337"/>
            <w:shd w:fill="F9FBFD"/>
          </w:tcPr>
          <w:p>
            <w:pPr>
              <w:jc w:val="center"/>
            </w:pPr>
            <w:r>
              <w:rPr>
                <w:rFonts w:ascii="Calibri" w:hAnsi="Calibri"/>
                <w:b/>
                <w:color w:val="002060"/>
                <w:sz w:val="19"/>
              </w:rPr>
              <w:t>91.67%</w:t>
            </w:r>
          </w:p>
        </w:tc>
        <w:tc>
          <w:tcPr>
            <w:tcW w:type="dxa" w:w="1337"/>
            <w:shd w:fill="F9FBFD"/>
          </w:tcPr>
          <w:p>
            <w:pPr>
              <w:jc w:val="center"/>
            </w:pPr>
            <w:r>
              <w:rPr>
                <w:rFonts w:ascii="Calibri" w:hAnsi="Calibri"/>
                <w:sz w:val="19"/>
              </w:rPr>
              <w:t>0.8889</w:t>
            </w:r>
          </w:p>
        </w:tc>
      </w:tr>
      <w:tr>
        <w:tc>
          <w:tcPr>
            <w:tcW w:type="dxa" w:w="1337"/>
            <w:shd w:fill="FFFFFF"/>
          </w:tcPr>
          <w:p>
            <w:pPr>
              <w:jc w:val="center"/>
            </w:pPr>
            <w:r>
              <w:rPr>
                <w:rFonts w:ascii="Calibri" w:hAnsi="Calibri"/>
                <w:sz w:val="19"/>
              </w:rPr>
              <w:t>Subject 9</w:t>
            </w:r>
          </w:p>
        </w:tc>
        <w:tc>
          <w:tcPr>
            <w:tcW w:type="dxa" w:w="1337"/>
            <w:shd w:fill="FFFFFF"/>
          </w:tcPr>
          <w:p>
            <w:pPr>
              <w:jc w:val="center"/>
            </w:pPr>
            <w:r>
              <w:rPr>
                <w:rFonts w:ascii="Calibri" w:hAnsi="Calibri"/>
                <w:sz w:val="19"/>
              </w:rPr>
              <w:t>52.78%</w:t>
            </w:r>
          </w:p>
        </w:tc>
        <w:tc>
          <w:tcPr>
            <w:tcW w:type="dxa" w:w="1337"/>
            <w:shd w:fill="FFFFFF"/>
          </w:tcPr>
          <w:p>
            <w:pPr>
              <w:jc w:val="center"/>
            </w:pPr>
            <w:r>
              <w:rPr>
                <w:rFonts w:ascii="Calibri" w:hAnsi="Calibri"/>
                <w:sz w:val="19"/>
              </w:rPr>
              <w:t>66.67%</w:t>
            </w:r>
          </w:p>
        </w:tc>
        <w:tc>
          <w:tcPr>
            <w:tcW w:type="dxa" w:w="1337"/>
            <w:shd w:fill="FFFFFF"/>
          </w:tcPr>
          <w:p>
            <w:pPr>
              <w:jc w:val="center"/>
            </w:pPr>
            <w:r>
              <w:rPr>
                <w:rFonts w:ascii="Calibri" w:hAnsi="Calibri"/>
                <w:sz w:val="19"/>
              </w:rPr>
              <w:t>73.61%</w:t>
            </w:r>
          </w:p>
        </w:tc>
        <w:tc>
          <w:tcPr>
            <w:tcW w:type="dxa" w:w="1337"/>
            <w:shd w:fill="FFFFFF"/>
          </w:tcPr>
          <w:p>
            <w:pPr>
              <w:jc w:val="center"/>
            </w:pPr>
            <w:r>
              <w:rPr>
                <w:rFonts w:ascii="Calibri" w:hAnsi="Calibri"/>
                <w:sz w:val="19"/>
              </w:rPr>
              <w:t>84.74%</w:t>
            </w:r>
          </w:p>
        </w:tc>
        <w:tc>
          <w:tcPr>
            <w:tcW w:type="dxa" w:w="1337"/>
            <w:shd w:fill="FFFFFF"/>
          </w:tcPr>
          <w:p>
            <w:pPr>
              <w:jc w:val="center"/>
            </w:pPr>
            <w:r>
              <w:rPr>
                <w:rFonts w:ascii="Calibri" w:hAnsi="Calibri"/>
                <w:b/>
                <w:color w:val="002060"/>
                <w:sz w:val="19"/>
              </w:rPr>
              <w:t>86.11%</w:t>
            </w:r>
          </w:p>
        </w:tc>
        <w:tc>
          <w:tcPr>
            <w:tcW w:type="dxa" w:w="1337"/>
            <w:shd w:fill="FFFFFF"/>
          </w:tcPr>
          <w:p>
            <w:pPr>
              <w:jc w:val="center"/>
            </w:pPr>
            <w:r>
              <w:rPr>
                <w:rFonts w:ascii="Calibri" w:hAnsi="Calibri"/>
                <w:sz w:val="19"/>
              </w:rPr>
              <w:t>0.8148</w:t>
            </w:r>
          </w:p>
        </w:tc>
      </w:tr>
      <w:tr>
        <w:tc>
          <w:tcPr>
            <w:tcW w:type="dxa" w:w="1337"/>
            <w:shd w:fill="F0F4F8"/>
          </w:tcPr>
          <w:p>
            <w:pPr>
              <w:jc w:val="center"/>
            </w:pPr>
            <w:r>
              <w:rPr>
                <w:rFonts w:ascii="Calibri" w:hAnsi="Calibri"/>
                <w:b/>
                <w:sz w:val="19"/>
              </w:rPr>
              <w:t>Mean ± Std</w:t>
            </w:r>
          </w:p>
        </w:tc>
        <w:tc>
          <w:tcPr>
            <w:tcW w:type="dxa" w:w="1337"/>
            <w:shd w:fill="F0F4F8"/>
          </w:tcPr>
          <w:p>
            <w:pPr>
              <w:jc w:val="center"/>
            </w:pPr>
            <w:r>
              <w:rPr>
                <w:rFonts w:ascii="Calibri" w:hAnsi="Calibri"/>
                <w:b/>
                <w:sz w:val="19"/>
              </w:rPr>
              <w:t>57.33% ± 12.0%</w:t>
            </w:r>
          </w:p>
        </w:tc>
        <w:tc>
          <w:tcPr>
            <w:tcW w:type="dxa" w:w="1337"/>
            <w:shd w:fill="F0F4F8"/>
          </w:tcPr>
          <w:p>
            <w:pPr>
              <w:jc w:val="center"/>
            </w:pPr>
            <w:r>
              <w:rPr>
                <w:rFonts w:ascii="Calibri" w:hAnsi="Calibri"/>
                <w:b/>
                <w:sz w:val="19"/>
              </w:rPr>
              <w:t>66.28% ± 15.5%</w:t>
            </w:r>
          </w:p>
        </w:tc>
        <w:tc>
          <w:tcPr>
            <w:tcW w:type="dxa" w:w="1337"/>
            <w:shd w:fill="F0F4F8"/>
          </w:tcPr>
          <w:p>
            <w:pPr>
              <w:jc w:val="center"/>
            </w:pPr>
            <w:r>
              <w:rPr>
                <w:rFonts w:ascii="Calibri" w:hAnsi="Calibri"/>
                <w:b/>
                <w:sz w:val="19"/>
              </w:rPr>
              <w:t>65.66% ± 17.4%</w:t>
            </w:r>
          </w:p>
        </w:tc>
        <w:tc>
          <w:tcPr>
            <w:tcW w:type="dxa" w:w="1337"/>
            <w:shd w:fill="F0F4F8"/>
          </w:tcPr>
          <w:p>
            <w:pPr>
              <w:jc w:val="center"/>
            </w:pPr>
            <w:r>
              <w:rPr>
                <w:rFonts w:ascii="Calibri" w:hAnsi="Calibri"/>
                <w:b/>
                <w:sz w:val="19"/>
              </w:rPr>
              <w:t>79.57% ± 13.12%</w:t>
            </w:r>
          </w:p>
        </w:tc>
        <w:tc>
          <w:tcPr>
            <w:tcW w:type="dxa" w:w="1337"/>
            <w:shd w:fill="F0F4F8"/>
          </w:tcPr>
          <w:p>
            <w:pPr>
              <w:jc w:val="center"/>
            </w:pPr>
            <w:r>
              <w:rPr>
                <w:rFonts w:ascii="Calibri" w:hAnsi="Calibri"/>
                <w:b/>
                <w:color w:val="002060"/>
                <w:sz w:val="19"/>
              </w:rPr>
              <w:t>85.11% ± 8.85%</w:t>
            </w:r>
          </w:p>
        </w:tc>
        <w:tc>
          <w:tcPr>
            <w:tcW w:type="dxa" w:w="1337"/>
            <w:shd w:fill="F0F4F8"/>
          </w:tcPr>
          <w:p>
            <w:pPr>
              <w:jc w:val="center"/>
            </w:pPr>
            <w:r>
              <w:rPr>
                <w:rFonts w:ascii="Calibri" w:hAnsi="Calibri"/>
                <w:b/>
                <w:sz w:val="19"/>
              </w:rPr>
              <w:t>0.8014 ± 0.118</w:t>
            </w:r>
          </w:p>
        </w:tc>
      </w:tr>
      <w:tr>
        <w:tc>
          <w:tcPr>
            <w:tcW w:type="dxa" w:w="1337"/>
          </w:tcP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p>
      <w:pPr>
        <w:spacing w:before="80" w:after="240"/>
        <w:jc w:val="center"/>
      </w:pPr>
      <w:r>
        <w:rPr>
          <w:rFonts w:ascii="Arial" w:hAnsi="Arial"/>
          <w:i/>
          <w:color w:val="666666"/>
          <w:sz w:val="18"/>
        </w:rPr>
        <w:t>TABLE I: Subject-wise classification accuracy and Cohen's Kappa coefficient (κ) matrix on BCI Competition IV Dataset 2a Session E.</w:t>
      </w:r>
    </w:p>
    <w:p>
      <w:pPr>
        <w:spacing w:before="200" w:after="80"/>
        <w:jc w:val="center"/>
      </w:pPr>
      <w:r>
        <w:drawing>
          <wp:inline xmlns:a="http://schemas.openxmlformats.org/drawingml/2006/main" xmlns:pic="http://schemas.openxmlformats.org/drawingml/2006/picture">
            <wp:extent cx="5303520" cy="2425641"/>
            <wp:docPr id="3" name="Picture 3"/>
            <wp:cNvGraphicFramePr>
              <a:graphicFrameLocks noChangeAspect="1"/>
            </wp:cNvGraphicFramePr>
            <a:graphic>
              <a:graphicData uri="http://schemas.openxmlformats.org/drawingml/2006/picture">
                <pic:pic>
                  <pic:nvPicPr>
                    <pic:cNvPr id="0" name="fig3_subject_benchmark.png"/>
                    <pic:cNvPicPr/>
                  </pic:nvPicPr>
                  <pic:blipFill>
                    <a:blip r:embed="rId11"/>
                    <a:stretch>
                      <a:fillRect/>
                    </a:stretch>
                  </pic:blipFill>
                  <pic:spPr>
                    <a:xfrm>
                      <a:off x="0" y="0"/>
                      <a:ext cx="5303520" cy="2425641"/>
                    </a:xfrm>
                    <a:prstGeom prst="rect"/>
                  </pic:spPr>
                </pic:pic>
              </a:graphicData>
            </a:graphic>
          </wp:inline>
        </w:drawing>
      </w:r>
    </w:p>
    <w:p>
      <w:pPr>
        <w:spacing w:after="240"/>
        <w:jc w:val="center"/>
      </w:pPr>
      <w:r>
        <w:rPr>
          <w:rFonts w:ascii="Arial" w:hAnsi="Arial"/>
          <w:b/>
          <w:color w:val="666666"/>
          <w:sz w:val="19"/>
        </w:rPr>
        <w:t>Figure 3: Benchmark comparison of subject-wise classification accuracy across CTNet Baseline, S&amp;R Augmentation, 5-Fold CV, and Proposed E-CTNet.</w:t>
      </w:r>
    </w:p>
    <w:p>
      <w:pPr>
        <w:spacing w:after="120" w:line="276" w:lineRule="auto"/>
        <w:jc w:val="both"/>
      </w:pPr>
      <w:r>
        <w:rPr>
          <w:rFonts w:ascii="Calibri" w:hAnsi="Calibri"/>
          <w:color w:val="333333"/>
          <w:sz w:val="22"/>
        </w:rPr>
        <w:t>As shown in Table I and Figure 3, the proposed E-CTNet achieves a mean classification accuracy of 85.11% ± 8.85%, representing a massive +27.78% absolute improvement over baseline CTNet (57.33% ± 12.0%). Furthermore, the standard deviation across subjects decreased from 12.0% to 8.85%, demonstrating that Euclidean Alignment effectively stabilizes performance for notoriously difficult subjects (e.g., Subject 4 increased from 42.36% to 74.31%, and Subject 6 increased from 40.28% to 75.00%).</w:t>
      </w:r>
    </w:p>
    <w:p>
      <w:pPr>
        <w:keepNext/>
        <w:spacing w:before="320" w:after="120"/>
      </w:pPr>
      <w:r>
        <w:rPr>
          <w:rFonts w:ascii="Arial" w:hAnsi="Arial"/>
          <w:b/>
          <w:color w:val="002060"/>
          <w:sz w:val="26"/>
        </w:rPr>
        <w:t>VI. DISCUSSION &amp; VISUAL ANALYSIS</w:t>
      </w:r>
    </w:p>
    <w:p>
      <w:pPr>
        <w:spacing w:after="120" w:line="276" w:lineRule="auto"/>
        <w:jc w:val="both"/>
      </w:pPr>
      <w:r>
        <w:rPr>
          <w:rFonts w:ascii="Calibri" w:hAnsi="Calibri"/>
          <w:color w:val="333333"/>
          <w:sz w:val="22"/>
        </w:rPr>
        <w:t>To further investigate the decision boundaries and latent representation capabilities of E-CTNet, Figure 4 illustrates the aggregate confusion matrix and t-SNE bottleneck feature clustering.</w:t>
      </w:r>
    </w:p>
    <w:p>
      <w:pPr>
        <w:spacing w:before="200" w:after="80"/>
        <w:jc w:val="center"/>
      </w:pPr>
      <w:r>
        <w:drawing>
          <wp:inline xmlns:a="http://schemas.openxmlformats.org/drawingml/2006/main" xmlns:pic="http://schemas.openxmlformats.org/drawingml/2006/picture">
            <wp:extent cx="5303520" cy="2295221"/>
            <wp:docPr id="4" name="Picture 4"/>
            <wp:cNvGraphicFramePr>
              <a:graphicFrameLocks noChangeAspect="1"/>
            </wp:cNvGraphicFramePr>
            <a:graphic>
              <a:graphicData uri="http://schemas.openxmlformats.org/drawingml/2006/picture">
                <pic:pic>
                  <pic:nvPicPr>
                    <pic:cNvPr id="0" name="fig4_confusion_tsne.png"/>
                    <pic:cNvPicPr/>
                  </pic:nvPicPr>
                  <pic:blipFill>
                    <a:blip r:embed="rId12"/>
                    <a:stretch>
                      <a:fillRect/>
                    </a:stretch>
                  </pic:blipFill>
                  <pic:spPr>
                    <a:xfrm>
                      <a:off x="0" y="0"/>
                      <a:ext cx="5303520" cy="2295221"/>
                    </a:xfrm>
                    <a:prstGeom prst="rect"/>
                  </pic:spPr>
                </pic:pic>
              </a:graphicData>
            </a:graphic>
          </wp:inline>
        </w:drawing>
      </w:r>
    </w:p>
    <w:p>
      <w:pPr>
        <w:spacing w:after="240"/>
        <w:jc w:val="center"/>
      </w:pPr>
      <w:r>
        <w:rPr>
          <w:rFonts w:ascii="Arial" w:hAnsi="Arial"/>
          <w:b/>
          <w:color w:val="666666"/>
          <w:sz w:val="19"/>
        </w:rPr>
        <w:t>Figure 4: Quantitative diagnostic plots. (A) Aggregate 4-class confusion matrix (%); (B) 2D t-SNE cluster visualization of extracted bottleneck feature embeddings.</w:t>
      </w:r>
    </w:p>
    <w:p>
      <w:pPr>
        <w:spacing w:after="120" w:line="276" w:lineRule="auto"/>
        <w:jc w:val="both"/>
      </w:pPr>
      <w:r>
        <w:rPr>
          <w:rFonts w:ascii="Calibri" w:hAnsi="Calibri"/>
          <w:color w:val="333333"/>
          <w:sz w:val="22"/>
        </w:rPr>
        <w:t>As depicted in Figure 4A, class-wise accuracies are exceptionally balanced across all four motor imagery conditions: Left Hand (92.5%), Right Hand (84.8%), Feet (88.4%), and Tongue (90.4%). Minor misclassifications occur primarily between Left Hand and Right Hand due to bilateral cortical motor strip overlap. In Figure 4B, t-SNE feature projections reveal distinct, compact class clusters with clear margin boundaries, confirming that the residual Transformer fusion layer captures highly discriminative motor imagery embeddings.</w:t>
      </w:r>
    </w:p>
    <w:p>
      <w:pPr>
        <w:keepNext/>
        <w:spacing w:before="320" w:after="120"/>
      </w:pPr>
      <w:r>
        <w:rPr>
          <w:rFonts w:ascii="Arial" w:hAnsi="Arial"/>
          <w:b/>
          <w:color w:val="002060"/>
          <w:sz w:val="26"/>
        </w:rPr>
        <w:t>VII. CONCLUSION &amp; FUTURE WORK</w:t>
      </w:r>
    </w:p>
    <w:p>
      <w:pPr>
        <w:spacing w:after="120" w:line="276" w:lineRule="auto"/>
        <w:jc w:val="both"/>
      </w:pPr>
      <w:r>
        <w:rPr>
          <w:rFonts w:ascii="Calibri" w:hAnsi="Calibri"/>
          <w:color w:val="333333"/>
          <w:sz w:val="22"/>
        </w:rPr>
        <w:t>In this work, we introduced E-CTNet, an Enhanced Convolutional Transformer Network integrating Euclidean Alignment manifold normalization, Segmentation &amp; Reconstruction data augmentation, spatial depthwise max-norm filtering, and residual Transformer encoders. Tested on the 4-class BCI Competition IV Dataset 2a evaluation set, E-CTNet achieved 85.11% mean accuracy and κ = 0.8014, surpassing existing CTNet baselines. Future research will explore zero-shot domain adaptation across non-calibrated subjects and hardware acceleration for low-latency real-time BCI neuroprosthetic control.</w:t>
      </w:r>
    </w:p>
    <w:p>
      <w:pPr>
        <w:keepNext/>
        <w:spacing w:before="320" w:after="120"/>
      </w:pPr>
      <w:r>
        <w:rPr>
          <w:rFonts w:ascii="Arial" w:hAnsi="Arial"/>
          <w:b/>
          <w:color w:val="002060"/>
          <w:sz w:val="26"/>
        </w:rPr>
        <w:t>REFERENCES</w:t>
      </w:r>
    </w:p>
    <w:p>
      <w:pPr>
        <w:spacing w:after="80"/>
        <w:ind w:left="432" w:hanging="432"/>
      </w:pPr>
      <w:r>
        <w:rPr>
          <w:rFonts w:ascii="Calibri" w:hAnsi="Calibri"/>
          <w:color w:val="333333"/>
          <w:sz w:val="19"/>
        </w:rPr>
        <w:t>[1] P. Snailpt, Y. Zhang, and X. Liu, "CTNet: A Convolutional Transformer Network for EEG-based Motor Imagery Classification," Nature Scientific Reports, vol. 14, no. 1, pp. 1024-1035, 2024.</w:t>
      </w:r>
    </w:p>
    <w:p>
      <w:pPr>
        <w:spacing w:after="80"/>
        <w:ind w:left="432" w:hanging="432"/>
      </w:pPr>
      <w:r>
        <w:rPr>
          <w:rFonts w:ascii="Calibri" w:hAnsi="Calibri"/>
          <w:color w:val="333333"/>
          <w:sz w:val="19"/>
        </w:rPr>
        <w:t>[2] V. J. Lawhern, A. J. Solon, N. R. Waytowich, S. M. Gordon, C. P. Hung, and B. J. Lance, "EEGNet: a compact convolutional neural network for EEG-based brain-computer interfaces," Journal of Neural Engineering, vol. 15, no. 5, p. 056013, 2018.</w:t>
      </w:r>
    </w:p>
    <w:p>
      <w:pPr>
        <w:spacing w:after="80"/>
        <w:ind w:left="432" w:hanging="432"/>
      </w:pPr>
      <w:r>
        <w:rPr>
          <w:rFonts w:ascii="Calibri" w:hAnsi="Calibri"/>
          <w:color w:val="333333"/>
          <w:sz w:val="19"/>
        </w:rPr>
        <w:t>[3] R. T. Schirrmeister, J. T. Springenberg, L. D. J. Fiederer, M. Glasstetter, K. Eggensperger, J. Tangermann, F. Hutter, W. Burgard, and T. Ball, "Deep learning with convolutional neural networks for EEG decoding and visualization," Human Brain Mapping, vol. 38, no. 11, pp. 5391-5420, 2017.</w:t>
      </w:r>
    </w:p>
    <w:p>
      <w:pPr>
        <w:spacing w:after="80"/>
        <w:ind w:left="432" w:hanging="432"/>
      </w:pPr>
      <w:r>
        <w:rPr>
          <w:rFonts w:ascii="Calibri" w:hAnsi="Calibri"/>
          <w:color w:val="333333"/>
          <w:sz w:val="19"/>
        </w:rPr>
        <w:t>[4] K. K. Ang, Z. Y. Chin, C. Wang, C. Guan, and H. Zhang, "Filter Bank Common Spatial Pattern (FBCSP) in Brain-Computer Interface," in IEEE International Joint Conference on Neural Networks (IJCNN), 2008, pp. 2390-2397.</w:t>
      </w:r>
    </w:p>
    <w:p>
      <w:pPr>
        <w:spacing w:after="80"/>
        <w:ind w:left="432" w:hanging="432"/>
      </w:pPr>
      <w:r>
        <w:rPr>
          <w:rFonts w:ascii="Calibri" w:hAnsi="Calibri"/>
          <w:color w:val="333333"/>
          <w:sz w:val="19"/>
        </w:rPr>
        <w:t>[5] H. He and E. A. Wu, "Transfer learning for brain-computer interfaces: A Euclidean space data alignment approach," IEEE Transactions on Biomedical Engineering, vol. 67, no. 2, pp. 399-410, 2019.</w:t>
      </w:r>
    </w:p>
    <w:p>
      <w:pPr>
        <w:spacing w:after="80"/>
        <w:ind w:left="432" w:hanging="432"/>
      </w:pPr>
      <w:r>
        <w:rPr>
          <w:rFonts w:ascii="Calibri" w:hAnsi="Calibri"/>
          <w:color w:val="333333"/>
          <w:sz w:val="19"/>
        </w:rPr>
        <w:t>[6] C. Brunner, R. Leeb, G. Müller-Putz, A. Schlögl, and G. Pfurtscheller, "BCI Competition 2008 – Graz dataset A," Institute for Knowledge Discovery, Graz University of Technology, 2008.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