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0F172A"/>
          <w:sz w:val="40"/>
        </w:rPr>
        <w:t>MANUSCRIPT 2: IMMUNOGENETICS, EPLET DYNAMICS &amp; HISTOPATHOLOGY</w:t>
      </w:r>
    </w:p>
    <w:p>
      <w:pPr>
        <w:spacing w:before="0" w:after="120" w:line="276" w:lineRule="auto"/>
      </w:pPr>
      <w:r>
        <w:rPr>
          <w:b/>
        </w:rPr>
        <w:t>Title:</w:t>
      </w:r>
      <w:r>
        <w:t xml:space="preserve"> Non-HLA Immune Checkpoint Polymorphisms (</w:t>
      </w:r>
      <w:r>
        <w:rPr>
          <w:i/>
        </w:rPr>
        <w:t>PD-L1</w:t>
      </w:r>
      <w:r>
        <w:t xml:space="preserve"> rs4143815), Epitope Specificity, and Histopathological Outcomes in Renal Allograft Rejection: An Audited Cohort Study from North India</w:t>
      </w:r>
    </w:p>
    <w:p>
      <w:pPr>
        <w:spacing w:before="0" w:after="120" w:line="276" w:lineRule="auto"/>
      </w:pPr>
      <w:r>
        <w:rPr>
          <w:b/>
        </w:rPr>
        <w:t>Authors:</w:t>
      </w:r>
      <w:r>
        <w:t xml:space="preserve"> Heera Singh, MSc^1; Prof. Ranjana Walker Minz, MD^1*</w:t>
      </w:r>
    </w:p>
    <w:p>
      <w:pPr>
        <w:spacing w:before="0" w:after="120" w:line="276" w:lineRule="auto"/>
      </w:pPr>
      <w:r>
        <w:rPr>
          <w:b/>
        </w:rPr>
        <w:t>Affiliations:</w:t>
      </w:r>
    </w:p>
    <w:p>
      <w:pPr>
        <w:spacing w:before="0" w:after="120" w:line="276" w:lineRule="auto"/>
      </w:pPr>
      <w:r>
        <w:t>^1 Department of Immunopathology, Postgraduate Institute of Medical Education and Research (PGIMER), Chandigarh, India.</w:t>
      </w:r>
    </w:p>
    <w:p>
      <w:pPr>
        <w:spacing w:before="0" w:after="120" w:line="276" w:lineRule="auto"/>
      </w:pPr>
      <w:r>
        <w:rPr>
          <w:i/>
        </w:rPr>
        <w:t>\</w:t>
      </w:r>
      <w:r>
        <w:t>Correspondence:* Prof. Ranjana Walker Minz, Department of Immunopathology, PGIMER, Chandigarh, India.</w:t>
      </w:r>
    </w:p>
    <w:p>
      <w:pPr>
        <w:spacing w:before="280" w:after="80"/>
      </w:pPr>
      <w:r>
        <w:rPr>
          <w:rFonts w:ascii="Calibri" w:hAnsi="Calibri"/>
          <w:b/>
          <w:color w:val="0284C7"/>
          <w:sz w:val="28"/>
        </w:rPr>
        <w:t>ABSTRACT</w:t>
      </w:r>
    </w:p>
    <w:p>
      <w:pPr>
        <w:spacing w:before="200" w:after="60"/>
      </w:pPr>
      <w:r>
        <w:rPr>
          <w:rFonts w:ascii="Calibri" w:hAnsi="Calibri"/>
          <w:b/>
          <w:color w:val="0F172A"/>
          <w:sz w:val="24"/>
        </w:rPr>
        <w:t>Background:</w:t>
      </w:r>
    </w:p>
    <w:p>
      <w:pPr>
        <w:spacing w:before="0" w:after="120" w:line="276" w:lineRule="auto"/>
      </w:pPr>
      <w:r>
        <w:t>Immune regulatory checkpoint molecules and human leukocyte antigen (HLA) eplets govern peripheral alloimmune tolerance and antibody-mediated rejection (ABMR) in renal transplantation. We evaluated the clinical impact of non-HLA immune regulatory gene polymorphisms, structural eplet repertoires, and biopsy-verified rejection phenotypes in a large North Indian cohort.</w:t>
      </w:r>
    </w:p>
    <w:p>
      <w:pPr>
        <w:spacing w:before="200" w:after="60"/>
      </w:pPr>
      <w:r>
        <w:rPr>
          <w:rFonts w:ascii="Calibri" w:hAnsi="Calibri"/>
          <w:b/>
          <w:color w:val="0F172A"/>
          <w:sz w:val="24"/>
        </w:rPr>
        <w:t>Methods:</w:t>
      </w:r>
    </w:p>
    <w:p>
      <w:pPr>
        <w:spacing w:before="0" w:after="120" w:line="276" w:lineRule="auto"/>
      </w:pPr>
      <w:r>
        <w:t>In an audited single-center cohort of 2,220 renal allograft recipients (2014–2023) at PGIMER Chandigarh, we investigated: (1) eight candidate single nucleotide polymorphisms (SNPs) across five immune regulatory checkpoint genes (</w:t>
      </w:r>
      <w:r>
        <w:rPr>
          <w:i/>
        </w:rPr>
        <w:t>PD-L1</w:t>
      </w:r>
      <w:r>
        <w:t xml:space="preserve">, </w:t>
      </w:r>
      <w:r>
        <w:rPr>
          <w:i/>
        </w:rPr>
        <w:t>PD-1</w:t>
      </w:r>
      <w:r>
        <w:t xml:space="preserve">, </w:t>
      </w:r>
      <w:r>
        <w:rPr>
          <w:i/>
        </w:rPr>
        <w:t>CTLA-4</w:t>
      </w:r>
      <w:r>
        <w:t xml:space="preserve">, </w:t>
      </w:r>
      <w:r>
        <w:rPr>
          <w:i/>
        </w:rPr>
        <w:t>TIM-3</w:t>
      </w:r>
      <w:r>
        <w:t xml:space="preserve">, </w:t>
      </w:r>
      <w:r>
        <w:rPr>
          <w:i/>
        </w:rPr>
        <w:t>MMP-7</w:t>
      </w:r>
      <w:r>
        <w:t>) in N = 1,586 screened and N = 215 multivariably followed patients; (2) HLA Matchmaker immunogenic eplet repertoires across 1,435 virtual crossmatch evaluations and N = 112 clinically linked recipients; and (3) histopathological recovery trajectories across N = 118 verified biopsy cases (80 TCMR, 29 ABMR, 9 Borderline). Control Hardy-Weinberg Equilibrium (HWE) was enforced as a primary analytical filter.</w:t>
      </w:r>
    </w:p>
    <w:p>
      <w:pPr>
        <w:spacing w:before="200" w:after="60"/>
      </w:pPr>
      <w:r>
        <w:rPr>
          <w:rFonts w:ascii="Calibri" w:hAnsi="Calibri"/>
          <w:b/>
          <w:color w:val="0F172A"/>
          <w:sz w:val="24"/>
        </w:rPr>
        <w:t>Results:</w:t>
      </w:r>
    </w:p>
    <w:p>
      <w:pPr>
        <w:spacing w:before="0" w:after="120" w:line="276" w:lineRule="auto"/>
      </w:pPr>
      <w:r>
        <w:t xml:space="preserve">The </w:t>
      </w:r>
      <w:r>
        <w:rPr>
          <w:i/>
        </w:rPr>
        <w:t>PD-L1</w:t>
      </w:r>
      <w:r>
        <w:t xml:space="preserve"> rs4143815 (G&gt;A) polymorphism was </w:t>
      </w:r>
      <w:r>
        <w:rPr>
          <w:b/>
        </w:rPr>
        <w:t>confirmed</w:t>
      </w:r>
      <w:r>
        <w:t xml:space="preserve"> as an independent risk factor for allograft rejection across multiple genetic models (Allelic OR = 1.38, 95\% CI:  1.10--1.73, p = 0.0061; Recessive OR = 2.49, 95\% CI:  1.49--4.18, p = 0.00037; controls in HWE p = 0.0259, cases p = 0.114). Conversely, </w:t>
      </w:r>
      <w:r>
        <w:rPr>
          <w:i/>
        </w:rPr>
        <w:t>CTLA4</w:t>
      </w:r>
      <w:r>
        <w:t xml:space="preserve"> rs231775 (+49A/G) was rigorously </w:t>
      </w:r>
      <w:r>
        <w:rPr>
          <w:b/>
        </w:rPr>
        <w:t>null</w:t>
      </w:r>
      <w:r>
        <w:t xml:space="preserve"> across all five genetic models (Allelic OR = 1.21, p = 0.1466; Dominant OR = 1.32, p = 0.1090; control HWE p = 0.2886). Candidate assays for </w:t>
      </w:r>
      <w:r>
        <w:rPr>
          <w:i/>
        </w:rPr>
        <w:t>MMP7</w:t>
      </w:r>
      <w:r>
        <w:t xml:space="preserve"> rs11568818, </w:t>
      </w:r>
      <w:r>
        <w:rPr>
          <w:i/>
        </w:rPr>
        <w:t>TIM3</w:t>
      </w:r>
      <w:r>
        <w:t xml:space="preserve"> rs1036199, and </w:t>
      </w:r>
      <w:r>
        <w:rPr>
          <w:i/>
        </w:rPr>
        <w:t>CTLA4</w:t>
      </w:r>
      <w:r>
        <w:t xml:space="preserve"> rs4553808 demonstrated catastrophic control HWE departures (p &lt; 10^{-13}) with near-zero heterozygotes, and were classified as inconclusive technical artifacts pending re-genotyping. In N = 49 triply linked patients, gold-standard biopsy adjudication attenuated an apparent registry-stage epistatic interaction to null (OR = 3.03, p = 0.1343; interaction term \beta = -0.632, p = 0.2438). A reference catalog of 71 Class I and 76 Class II immunogenic eplets was established, with clinical sensitization rising from 16.8\% (2017) to 66.5\% (2023), led by targets </w:t>
      </w:r>
      <w:r>
        <w:rPr>
          <w:rFonts w:ascii="Consolas" w:hAnsi="Consolas"/>
          <w:color w:val="0F172A"/>
          <w:sz w:val="19"/>
        </w:rPr>
        <w:t>163LG</w:t>
      </w:r>
      <w:r>
        <w:t xml:space="preserve"> (n = 54) and </w:t>
      </w:r>
      <w:r>
        <w:rPr>
          <w:rFonts w:ascii="Consolas" w:hAnsi="Consolas"/>
          <w:color w:val="0F172A"/>
          <w:sz w:val="19"/>
        </w:rPr>
        <w:t>130Q</w:t>
      </w:r>
      <w:r>
        <w:t xml:space="preserve"> (n = 92). However, unweighted numerical eplet burden failed to discriminate rejection (N = 112, median 2.0 vs 3.0, AUC = 0.501, p = 0.9937). Longitudinal histopathology demonstrated persistent graft impairment in ABMR (baseline 1.43 \rightarrow peak 3.33 \rightarrow latest 3.05 mg/dL, +113\%) compared to reversible TCMR (1.44 \rightarrow 2.14 \rightarrow 1.71 mg/dL).</w:t>
      </w:r>
    </w:p>
    <w:p>
      <w:pPr>
        <w:spacing w:before="200" w:after="60"/>
      </w:pPr>
      <w:r>
        <w:rPr>
          <w:rFonts w:ascii="Calibri" w:hAnsi="Calibri"/>
          <w:b/>
          <w:color w:val="0F172A"/>
          <w:sz w:val="24"/>
        </w:rPr>
        <w:t>Conclusions:</w:t>
      </w:r>
    </w:p>
    <w:p>
      <w:pPr>
        <w:spacing w:before="0" w:after="120" w:line="276" w:lineRule="auto"/>
      </w:pPr>
      <w:r>
        <w:rPr>
          <w:i/>
        </w:rPr>
        <w:t>PD-L1</w:t>
      </w:r>
      <w:r>
        <w:t xml:space="preserve"> rs4143815 represents an authentic non-HLA genetic susceptibility locus for renal allograft rejection, whereas </w:t>
      </w:r>
      <w:r>
        <w:rPr>
          <w:i/>
        </w:rPr>
        <w:t>CTLA4</w:t>
      </w:r>
      <w:r>
        <w:t xml:space="preserve"> rs231775 and unweighted eplet counts do not predict outcome. Molecular eplets provide qualitative antibody specificity rather than additive allocation metrics, and ABMR drives irreversible microvascular damage.</w:t>
      </w:r>
    </w:p>
    <w:p>
      <w:pPr>
        <w:spacing w:before="0" w:after="120" w:line="276" w:lineRule="auto"/>
      </w:pPr>
      <w:r>
        <w:rPr>
          <w:b/>
        </w:rPr>
        <w:t>Keywords:</w:t>
      </w:r>
      <w:r>
        <w:t xml:space="preserve"> Renal Transplantation; Checkpoint Polymorphisms; </w:t>
      </w:r>
      <w:r>
        <w:rPr>
          <w:i/>
        </w:rPr>
        <w:t>PD-L1</w:t>
      </w:r>
      <w:r>
        <w:t xml:space="preserve"> rs4143815; </w:t>
      </w:r>
      <w:r>
        <w:rPr>
          <w:i/>
        </w:rPr>
        <w:t>CTLA-4</w:t>
      </w:r>
      <w:r>
        <w:t>; HLA Eplets; Histopathology; ABMR; TCMR.</w:t>
      </w:r>
    </w:p>
    <w:p>
      <w:pPr>
        <w:spacing w:before="280" w:after="80"/>
      </w:pPr>
      <w:r>
        <w:rPr>
          <w:rFonts w:ascii="Calibri" w:hAnsi="Calibri"/>
          <w:b/>
          <w:color w:val="0284C7"/>
          <w:sz w:val="28"/>
        </w:rPr>
        <w:t>1. INTRODUCTION</w:t>
      </w:r>
    </w:p>
    <w:p>
      <w:pPr>
        <w:spacing w:before="0" w:after="120" w:line="276" w:lineRule="auto"/>
      </w:pPr>
      <w:r>
        <w:t xml:space="preserve">Kidney allograft rejection is orchestrated by a complex interplay between cell-mediated cytotoxicity and humoral antibody-mediated graft damage. The classical model of alloimmunity focuses on T-cell receptor (TCR) allorecognition of intact or processed donor human leukocyte antigens (HLA). However, T-cell activation, clonal proliferation, and long-term immunological tolerance are strictly modulated by secondary co-stimulatory and co-inhibitory signals delivered by immune checkpoint pathways, including Programmed Cell Death 1 (PD-1, </w:t>
      </w:r>
      <w:r>
        <w:rPr>
          <w:i/>
        </w:rPr>
        <w:t>PDCD1</w:t>
      </w:r>
      <w:r>
        <w:t>) and its ligand PD-L1 (</w:t>
      </w:r>
      <w:r>
        <w:rPr>
          <w:i/>
        </w:rPr>
        <w:t>CD274</w:t>
      </w:r>
      <w:r>
        <w:t>), Cytotoxic T-Lymphocyte Associated Protein 4 (</w:t>
      </w:r>
      <w:r>
        <w:rPr>
          <w:i/>
        </w:rPr>
        <w:t>CTLA-4</w:t>
      </w:r>
      <w:r>
        <w:t>), and T-cell Immunoglobulin and Mucin Domain-containing Protein 3 (</w:t>
      </w:r>
      <w:r>
        <w:rPr>
          <w:i/>
        </w:rPr>
        <w:t>TIM-3</w:t>
      </w:r>
      <w:r>
        <w:t>) (1, 2). Genetic polymorphisms within the promoter or regulatory untranslated regions of these co-inhibitory genes can alter transcriptional efficiency or mRNA stability, tilting the host immune balance toward allograft rejection.</w:t>
      </w:r>
    </w:p>
    <w:p>
      <w:pPr>
        <w:spacing w:before="0" w:after="120" w:line="276" w:lineRule="auto"/>
      </w:pPr>
      <w:r>
        <w:t>Concurrently, the humoral branch of alloreactivity has been fundamentally redefined by the concept of structural HLA eplets. Classical serological or low-resolution DNA typing identifies broad antigen mismatches, but alloantibodies bind to discrete, three-dimensional patches of polymorphic amino acids on the surface of the HLA glycoprotein termed "eplets" (3). While the international HLA Matchmaker algorithm has cataloged hundreds of theoretical eplets, the clinical frequency, dominant immunogenic targets, and independent prognostic validity of numerical eplet mismatch loads remain largely uncharacterized in the North Indian population (4).</w:t>
      </w:r>
    </w:p>
    <w:p>
      <w:pPr>
        <w:spacing w:before="0" w:after="120" w:line="276" w:lineRule="auto"/>
      </w:pPr>
      <w:r>
        <w:t>Furthermore, the post-transplant histopathological manifestation of these immune pathways—differentiating cellular tubulointerstitial infiltration (TCMR) from microvascular endothelial injury (ABMR)—determines functional recovery and long-term graft survival (5). In this study, we conducted a systematic, audited investigation of: (1) non-HLA immune regulatory gene polymorphisms; (2) structural eplet repertoire frequencies and numerical burden; and (3) longitudinal histopathological trajectories across a single-center cohort of 2,220 kidney transplant recipients at PGIMER Chandigarh.</w:t>
      </w:r>
    </w:p>
    <w:p>
      <w:pPr>
        <w:spacing w:before="280" w:after="80"/>
      </w:pPr>
      <w:r>
        <w:rPr>
          <w:rFonts w:ascii="Calibri" w:hAnsi="Calibri"/>
          <w:b/>
          <w:color w:val="0284C7"/>
          <w:sz w:val="28"/>
        </w:rPr>
        <w:t>2. MATERIALS AND METHODS</w:t>
      </w:r>
    </w:p>
    <w:p>
      <w:pPr>
        <w:spacing w:before="200" w:after="60"/>
      </w:pPr>
      <w:r>
        <w:rPr>
          <w:rFonts w:ascii="Calibri" w:hAnsi="Calibri"/>
          <w:b/>
          <w:color w:val="0F172A"/>
          <w:sz w:val="24"/>
        </w:rPr>
        <w:t>2.1 Cohort Selection &amp; Biopsy Adjudication</w:t>
      </w:r>
    </w:p>
    <w:p>
      <w:pPr>
        <w:spacing w:before="0" w:after="120" w:line="276" w:lineRule="auto"/>
      </w:pPr>
      <w:r>
        <w:t>The master repository encompasses N = 2,220 kidney transplant recipients transplanted between 2014 and 2023 at PGIMER Chandigarh. All allograft biopsies were graded according to the revised Banff criteria. Rejection episodes were verified through centralized pathology reports:</w:t>
      </w:r>
    </w:p>
    <w:p>
      <w:pPr>
        <w:spacing w:before="20" w:after="60" w:line="276" w:lineRule="auto"/>
        <w:ind w:left="360"/>
      </w:pPr>
      <w:r>
        <w:rPr>
          <w:b/>
        </w:rPr>
        <w:t>T-Cell Mediated Rejection (TCMR):</w:t>
      </w:r>
      <w:r>
        <w:t xml:space="preserve"> Characterized by significant interstitial mononuclear infiltration (i ≥ 1) and tubulitis (t ≥ 1).</w:t>
      </w:r>
    </w:p>
    <w:p>
      <w:pPr>
        <w:spacing w:before="20" w:after="60" w:line="276" w:lineRule="auto"/>
        <w:ind w:left="360"/>
      </w:pPr>
      <w:r>
        <w:rPr>
          <w:b/>
        </w:rPr>
        <w:t>Antibody-Mediated Rejection (ABMR):</w:t>
      </w:r>
      <w:r>
        <w:t xml:space="preserve"> Characterized by microvascular inflammation (g+ptc ≥ 2), circulating donor-specific antibodies (DSA), and complement C4d split product deposition in peritubular capillaries.</w:t>
      </w:r>
    </w:p>
    <w:p>
      <w:pPr>
        <w:spacing w:before="20" w:after="60" w:line="276" w:lineRule="auto"/>
        <w:ind w:left="360"/>
      </w:pPr>
      <w:r>
        <w:rPr>
          <w:b/>
        </w:rPr>
        <w:t>Borderline Acute Rejection:</w:t>
      </w:r>
      <w:r>
        <w:t xml:space="preserve"> Interstitial inflammation (i1) with mild tubulitis (t1).</w:t>
      </w:r>
    </w:p>
    <w:p>
      <w:pPr>
        <w:spacing w:before="200" w:after="60"/>
      </w:pPr>
      <w:r>
        <w:rPr>
          <w:rFonts w:ascii="Calibri" w:hAnsi="Calibri"/>
          <w:b/>
          <w:color w:val="0F172A"/>
          <w:sz w:val="24"/>
        </w:rPr>
        <w:t>2.2 Non-HLA Checkpoint Genotyping &amp; Quality Control</w:t>
      </w:r>
    </w:p>
    <w:p>
      <w:pPr>
        <w:spacing w:before="0" w:after="120" w:line="276" w:lineRule="auto"/>
      </w:pPr>
      <w:r>
        <w:t>DNA was extracted from pre-transplant peripheral blood samples. Genotyping across eight candidate loci in five immune regulatory genes (</w:t>
      </w:r>
      <w:r>
        <w:rPr>
          <w:i/>
        </w:rPr>
        <w:t>PD-L1</w:t>
      </w:r>
      <w:r>
        <w:t xml:space="preserve"> rs4143815, </w:t>
      </w:r>
      <w:r>
        <w:rPr>
          <w:i/>
        </w:rPr>
        <w:t>PD-L1</w:t>
      </w:r>
      <w:r>
        <w:t xml:space="preserve"> rs2297136, </w:t>
      </w:r>
      <w:r>
        <w:rPr>
          <w:i/>
        </w:rPr>
        <w:t>PD-1</w:t>
      </w:r>
      <w:r>
        <w:t xml:space="preserve"> rs227981, </w:t>
      </w:r>
      <w:r>
        <w:rPr>
          <w:i/>
        </w:rPr>
        <w:t>CTLA-4</w:t>
      </w:r>
      <w:r>
        <w:t xml:space="preserve"> rs231775, </w:t>
      </w:r>
      <w:r>
        <w:rPr>
          <w:i/>
        </w:rPr>
        <w:t>CTLA-4</w:t>
      </w:r>
      <w:r>
        <w:t xml:space="preserve"> rs4553808, </w:t>
      </w:r>
      <w:r>
        <w:rPr>
          <w:i/>
        </w:rPr>
        <w:t>TIM-3</w:t>
      </w:r>
      <w:r>
        <w:t xml:space="preserve"> rs1036199, </w:t>
      </w:r>
      <w:r>
        <w:rPr>
          <w:i/>
        </w:rPr>
        <w:t>MMP-7</w:t>
      </w:r>
      <w:r>
        <w:t xml:space="preserve"> rs11568818, and </w:t>
      </w:r>
      <w:r>
        <w:rPr>
          <w:i/>
        </w:rPr>
        <w:t>LAG-3</w:t>
      </w:r>
      <w:r>
        <w:t xml:space="preserve"> rs870849) was performed using the fluorescent Kompetitive Allele Specific PCR (KASP) platform (LGC Biosearch Technologies).</w:t>
      </w:r>
    </w:p>
    <w:p>
      <w:pPr>
        <w:spacing w:before="160" w:after="40"/>
      </w:pPr>
      <w:r>
        <w:rPr>
          <w:rFonts w:ascii="Calibri" w:hAnsi="Calibri"/>
          <w:b/>
          <w:color w:val="334155"/>
          <w:sz w:val="22"/>
        </w:rPr>
        <w:t>Hardy-Weinberg Equilibrium Quality Filter:</w:t>
      </w:r>
    </w:p>
    <w:p>
      <w:pPr>
        <w:spacing w:before="0" w:after="120" w:line="276" w:lineRule="auto"/>
      </w:pPr>
      <w:r>
        <w:t>To ensure technical validity and guard against allelic dropout or non-specific fluorescent clustering artifacts, goodness-of-fit χ² tests for Hardy-Weinberg Equilibrium (HWE) were enforced in the healthy control (non-rejector) cohort (N = 779). Loci displaying severe deviation from HWE (p &lt; 10^{-6}) with near-zero heterozygous calls were flagged as potential genotyping artifacts and separated from confirmed associations.</w:t>
      </w:r>
    </w:p>
    <w:p>
      <w:pPr>
        <w:spacing w:before="200" w:after="60"/>
      </w:pPr>
      <w:r>
        <w:rPr>
          <w:rFonts w:ascii="Calibri" w:hAnsi="Calibri"/>
          <w:b/>
          <w:color w:val="0F172A"/>
          <w:sz w:val="24"/>
        </w:rPr>
        <w:t>2.3 Epitope and Eplet Repertoire Analysis</w:t>
      </w:r>
    </w:p>
    <w:p>
      <w:pPr>
        <w:spacing w:before="0" w:after="120" w:line="276" w:lineRule="auto"/>
      </w:pPr>
      <w:r>
        <w:t>Solid-phase virtual crossmatch (VXM) evaluations (N = 1,435) performed between 2017 and 2023 utilizing the Luminex single-antigen bead (SAB) assay (One Lambda, Inc.) were analyzed. Serum samples were treated with dithiothreitol (DTT) or EDTA to eliminate prozone artifacts. Raw bead reactivity profiles and antibody specificities were analyzed using HLA Matchmaker (v3.1) to identify verified Class I (HLA-A, -B, -C) and Class II (HLA-DRB1, -DQB1) eplet repertoires. In N = 112 recipients with simultaneous high-resolution recipient/donor typing, pre-transplant DSA data, and protocol biopsies, total unweighted eplet mismatch loads were calculated.</w:t>
      </w:r>
    </w:p>
    <w:p>
      <w:pPr>
        <w:spacing w:before="280" w:after="80"/>
      </w:pPr>
      <w:r>
        <w:rPr>
          <w:rFonts w:ascii="Calibri" w:hAnsi="Calibri"/>
          <w:b/>
          <w:color w:val="0284C7"/>
          <w:sz w:val="28"/>
        </w:rPr>
        <w:t>3. RESULTS</w:t>
      </w:r>
    </w:p>
    <w:p>
      <w:pPr>
        <w:spacing w:before="200" w:after="60"/>
      </w:pPr>
      <w:r>
        <w:rPr>
          <w:rFonts w:ascii="Calibri" w:hAnsi="Calibri"/>
          <w:b/>
          <w:color w:val="0F172A"/>
          <w:sz w:val="24"/>
        </w:rPr>
        <w:t>3.1 Non-HLA Checkpoint Polymorphisms (Objective 2)</w:t>
      </w:r>
    </w:p>
    <w:p>
      <w:pPr>
        <w:spacing w:before="0" w:after="120" w:line="276" w:lineRule="auto"/>
      </w:pPr>
      <w:r>
        <w:t xml:space="preserve">Genotyping was evaluated across N = 1,586 screened runs and N = 215 core multivariable cases. Association analysis across five formal genetic models (allelic, dominant, recessive, overdominant, and additive) and control HWE testing are detailed in </w:t>
      </w:r>
      <w:r>
        <w:rPr>
          <w:b/>
        </w:rPr>
        <w:t>Table 1</w:t>
      </w:r>
      <w:r>
        <w:t>.</w:t>
      </w:r>
    </w:p>
    <w:p>
      <w:pPr>
        <w:spacing w:before="0" w:after="120" w:line="276" w:lineRule="auto"/>
      </w:pPr>
      <w:r>
        <w:rPr>
          <w:b/>
        </w:rPr>
        <w:t>Table 1. Association Between Candidate Immune Checkpoint Polymorphisms and Allograft Rejection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
        <w:gridCol w:w="936"/>
        <w:gridCol w:w="936"/>
        <w:gridCol w:w="936"/>
        <w:gridCol w:w="936"/>
        <w:gridCol w:w="936"/>
        <w:gridCol w:w="936"/>
        <w:gridCol w:w="936"/>
        <w:gridCol w:w="936"/>
        <w:gridCol w:w="936"/>
      </w:tblGrid>
      <w:tr>
        <w:trPr>
          <w:cantSplit/>
          <w:tblHeader/>
        </w:trPr>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Gene &amp; SNP</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Alleles (Ref/Risk)</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Total N</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Rejectors / Controls</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Allelic OR [95% CI]</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Allelic p</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Recessive OR [95% CI]</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Recessive p</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Control HWE χ² (p-value)</w:t>
            </w:r>
          </w:p>
        </w:tc>
        <w:tc>
          <w:tcPr>
            <w:tcW w:type="dxa" w:w="936"/>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Final Finding</w:t>
            </w:r>
          </w:p>
        </w:tc>
      </w:tr>
      <w:tr>
        <w:trPr>
          <w:cantSplit/>
        </w:trPr>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`PD-L1 rs4143815`</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G &gt; A</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926</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555 / 371</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color w:val="1E293B"/>
                <w:sz w:val="18"/>
              </w:rPr>
              <w:t>1.38 [1.10–1.73]</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0.0061</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color w:val="1E293B"/>
                <w:sz w:val="18"/>
              </w:rPr>
              <w:t>2.49 [1.49–4.18]</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0.00037</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4.961 (p = 0.0259)</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Confirmed Risk Locus</w:t>
            </w:r>
          </w:p>
        </w:tc>
      </w:tr>
      <w:tr>
        <w:trPr>
          <w:cantSplit/>
        </w:trPr>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`CTLA4 rs231775`</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A &gt; G</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684</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492 / 192</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1.21 [0.94–1.55]</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0.1466</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1.22 [0.66–2.24]</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0.5262</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1.126 (p = 0.2886)</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Tested / Null Finding</w:t>
            </w:r>
          </w:p>
        </w:tc>
      </w:tr>
      <w:tr>
        <w:trPr>
          <w:cantSplit/>
        </w:trPr>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`PDL1 rs2297136`</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T &gt; C</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1,181</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549 / 632</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0.98 [0.83–1.16]</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0.8330</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0.96 [0.68–1.36]</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0.8348</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0.086 (p = 0.7699)</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Tested / Null Finding</w:t>
            </w:r>
          </w:p>
        </w:tc>
      </w:tr>
      <w:tr>
        <w:trPr>
          <w:cantSplit/>
        </w:trPr>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`LAG3 rs870849`</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T &gt; C</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696</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492 / 204</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0.91 [0.72–1.16]</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0.4612</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0.95 [0.68–1.33]</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0.7809</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5.661 (p = 0.0173)</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Tested / Null Finding</w:t>
            </w:r>
          </w:p>
        </w:tc>
      </w:tr>
      <w:tr>
        <w:trPr>
          <w:cantSplit/>
        </w:trPr>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`PD1 rs227981`</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G &gt; A</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192</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96 / 96</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1.47 [0.93–2.34]</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0.1013</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1.11 [0.45–2.76]</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0.8171</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10.424 (p = 0.0012)</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Inconclusive (Small N)</w:t>
            </w:r>
          </w:p>
        </w:tc>
      </w:tr>
      <w:tr>
        <w:trPr>
          <w:cantSplit/>
        </w:trPr>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`MMP7 rs11568818`</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T &gt; G</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598</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394 / 204</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7.88 [2.84–21.86]</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0.000003</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5.97 [1.39–25.66]</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0.0065</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204.0 (p &lt; 10^{-15})</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Genotyping Artifact</w:t>
            </w:r>
          </w:p>
        </w:tc>
      </w:tr>
      <w:tr>
        <w:trPr>
          <w:cantSplit/>
        </w:trPr>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`TIM3 rs1036199`</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A &gt; C</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588</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396 / 192</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1.43 [0.74–2.79]</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0.2880</w:t>
            </w:r>
          </w:p>
        </w:tc>
        <w:tc>
          <w:tcPr>
            <w:tcW w:type="dxa" w:w="936"/>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0.67 [0.21–2.15]</w:t>
            </w:r>
          </w:p>
        </w:tc>
        <w:tc>
          <w:tcPr>
            <w:tcW w:type="dxa" w:w="936"/>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0.5011</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131.6 (p &lt; 10^{-15})</w:t>
            </w:r>
          </w:p>
        </w:tc>
        <w:tc>
          <w:tcPr>
            <w:tcW w:type="dxa" w:w="936"/>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Genotyping Artifact</w:t>
            </w:r>
          </w:p>
        </w:tc>
      </w:tr>
      <w:tr>
        <w:trPr>
          <w:cantSplit/>
        </w:trPr>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`CTLA4 rs4553808`</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G &gt; A</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780</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492 / 288</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0.72 [0.53–0.99]</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0.0394</w:t>
            </w:r>
          </w:p>
        </w:tc>
        <w:tc>
          <w:tcPr>
            <w:tcW w:type="dxa" w:w="936"/>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0.35 [0.17–0.70]</w:t>
            </w:r>
          </w:p>
        </w:tc>
        <w:tc>
          <w:tcPr>
            <w:tcW w:type="dxa" w:w="936"/>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0.0021</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55.7 (p = 8.5 × 10^{-14})</w:t>
            </w:r>
          </w:p>
        </w:tc>
        <w:tc>
          <w:tcPr>
            <w:tcW w:type="dxa" w:w="936"/>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Genotyping Artifact</w:t>
            </w:r>
          </w:p>
        </w:tc>
      </w:tr>
    </w:tbl>
    <w:p>
      <w:pPr>
        <w:spacing w:before="0" w:after="120"/>
      </w:pPr>
    </w:p>
    <w:p>
      <w:pPr>
        <w:spacing w:before="160" w:after="40"/>
      </w:pPr>
      <w:r>
        <w:rPr>
          <w:rFonts w:ascii="Calibri" w:hAnsi="Calibri"/>
          <w:b/>
          <w:color w:val="334155"/>
          <w:sz w:val="22"/>
        </w:rPr>
        <w:t>Confirmation of *PD-L1* rs4143815:</w:t>
      </w:r>
    </w:p>
    <w:p>
      <w:pPr>
        <w:spacing w:before="0" w:after="120" w:line="276" w:lineRule="auto"/>
      </w:pPr>
      <w:r>
        <w:t xml:space="preserve">The </w:t>
      </w:r>
      <w:r>
        <w:rPr>
          <w:i/>
        </w:rPr>
        <w:t>PD-L1</w:t>
      </w:r>
      <w:r>
        <w:t xml:space="preserve"> rs4143815 minor A-allele was significantly enriched in rejectors (22.2\%) compared to non-rejectors (19.0\%). Under the recessive model, homozygous AA individuals had a </w:t>
      </w:r>
      <w:r>
        <w:rPr>
          <w:b/>
        </w:rPr>
        <w:t>2.5-fold increased risk of allograft rejection</w:t>
      </w:r>
      <w:r>
        <w:t xml:space="preserve"> (OR = 2.49, p = 0.00037). Controls exhibited mild nominal equilibrium (χ² = 4.961, p = 0.0259), while rejector cases were fully in HWE (χ² = 2.50, p = 0.114).</w:t>
      </w:r>
    </w:p>
    <w:p>
      <w:pPr>
        <w:spacing w:before="160" w:after="40"/>
      </w:pPr>
      <w:r>
        <w:rPr>
          <w:rFonts w:ascii="Calibri" w:hAnsi="Calibri"/>
          <w:b/>
          <w:color w:val="334155"/>
          <w:sz w:val="22"/>
        </w:rPr>
        <w:t>The Null Finding for *CTLA4* rs231775:</w:t>
      </w:r>
    </w:p>
    <w:p>
      <w:pPr>
        <w:spacing w:before="0" w:after="120" w:line="276" w:lineRule="auto"/>
      </w:pPr>
      <w:r>
        <w:t xml:space="preserve">In N = 684 individuals, </w:t>
      </w:r>
      <w:r>
        <w:rPr>
          <w:i/>
        </w:rPr>
        <w:t>CTLA4</w:t>
      </w:r>
      <w:r>
        <w:t xml:space="preserve"> rs231775 was completely non-significant across allelic (p = 0.1466), dominant (p = 0.1090), recessive (p = 0.5262), and additive (p = 0.1246) models. Controls conformed perfectly to HWE (χ² = 1.126, p = 0.2886$).</w:t>
      </w:r>
    </w:p>
    <w:p>
      <w:pPr>
        <w:spacing w:before="160" w:after="40"/>
      </w:pPr>
      <w:r>
        <w:rPr>
          <w:rFonts w:ascii="Calibri" w:hAnsi="Calibri"/>
          <w:b/>
          <w:color w:val="334155"/>
          <w:sz w:val="22"/>
        </w:rPr>
        <w:t>Identification of Technical Genotyping Artifacts:</w:t>
      </w:r>
    </w:p>
    <w:p>
      <w:pPr>
        <w:spacing w:before="0" w:after="120" w:line="276" w:lineRule="auto"/>
      </w:pPr>
      <w:r>
        <w:t xml:space="preserve">In </w:t>
      </w:r>
      <w:r>
        <w:rPr>
          <w:i/>
        </w:rPr>
        <w:t>MMP7</w:t>
      </w:r>
      <w:r>
        <w:t xml:space="preserve"> rs11568818, </w:t>
      </w:r>
      <w:r>
        <w:rPr>
          <w:i/>
        </w:rPr>
        <w:t>TIM3</w:t>
      </w:r>
      <w:r>
        <w:t xml:space="preserve"> rs1036199, and </w:t>
      </w:r>
      <w:r>
        <w:rPr>
          <w:i/>
        </w:rPr>
        <w:t>CTLA4</w:t>
      </w:r>
      <w:r>
        <w:t xml:space="preserve"> rs4553808, severe HWE failures (p &lt; 10^{-13}) were driven by a near-complete lack of heterozygous calls in control samples (0 in MMP7, 2 in TIM3). These were flagged as dye-quenching or allelic dropout artifacts, precluding genuine biological inference.</w:t>
      </w:r>
    </w:p>
    <w:p>
      <w:pPr>
        <w:spacing w:before="200" w:after="60"/>
      </w:pPr>
      <w:r>
        <w:rPr>
          <w:rFonts w:ascii="Calibri" w:hAnsi="Calibri"/>
          <w:b/>
          <w:color w:val="0F172A"/>
          <w:sz w:val="24"/>
        </w:rPr>
        <w:t>3.2 Epistatic Gene–HLA Synergy Under Biopsy Gold Standards ($N = 49$)</w:t>
      </w:r>
    </w:p>
    <w:p>
      <w:pPr>
        <w:spacing w:before="0" w:after="120" w:line="276" w:lineRule="auto"/>
      </w:pPr>
      <w:r>
        <w:t xml:space="preserve">In N = 49 triply linked patients possessing complete HLA typing, </w:t>
      </w:r>
      <w:r>
        <w:rPr>
          <w:i/>
        </w:rPr>
        <w:t>PD-L1</w:t>
      </w:r>
      <w:r>
        <w:t xml:space="preserve"> rs2297136 genotypes, and clinical follow-up, earlier registry-stage analysis suggested a significant interaction (OR = 7.02, p = 0.0197). Detailed audit revealed that 12 KASP-labeled "rejectors" were clinically adjudicated non-rejectors in the institutional HLA database.</w:t>
      </w:r>
    </w:p>
    <w:p>
      <w:pPr>
        <w:spacing w:before="0" w:after="120" w:line="276" w:lineRule="auto"/>
      </w:pPr>
      <w:r>
        <w:t>Under gold-standard biopsy adjudication (25 Rejectors vs. 24 Non-rejectors):</w:t>
      </w:r>
    </w:p>
    <w:p>
      <w:pPr>
        <w:spacing w:before="20" w:after="60" w:line="276" w:lineRule="auto"/>
        <w:ind w:left="360"/>
      </w:pPr>
      <w:r>
        <w:rPr>
          <w:i/>
        </w:rPr>
        <w:t>PD-L1</w:t>
      </w:r>
      <w:r>
        <w:t xml:space="preserve"> rs2297136 Main Effect: OR = 3.03   [95\% CI:  0.71 to  12.94],   p = 0.1343</w:t>
      </w:r>
    </w:p>
    <w:p>
      <w:pPr>
        <w:spacing w:before="20" w:after="60" w:line="276" w:lineRule="auto"/>
        <w:ind w:left="360"/>
      </w:pPr>
      <w:r>
        <w:t>Genetics × HLA Interaction Term: \beta = -0.632   (OR = 0.53),   p = 0.2438</w:t>
      </w:r>
    </w:p>
    <w:p>
      <w:pPr>
        <w:spacing w:before="0" w:after="120" w:line="276" w:lineRule="auto"/>
      </w:pPr>
      <w:r>
        <w:t xml:space="preserve">Under definitive clinical outcome adjudication, the interaction </w:t>
      </w:r>
      <w:r>
        <w:rPr>
          <w:b/>
        </w:rPr>
        <w:t>attenuates to null</w:t>
      </w:r>
      <w:r>
        <w:t>, demonstrating that the apparent signal was an artifact of accession-stage misclassification.</w:t>
      </w:r>
    </w:p>
    <w:p>
      <w:pPr>
        <w:spacing w:before="200" w:after="60"/>
      </w:pPr>
      <w:r>
        <w:rPr>
          <w:rFonts w:ascii="Calibri" w:hAnsi="Calibri"/>
          <w:b/>
          <w:color w:val="0F172A"/>
          <w:sz w:val="24"/>
        </w:rPr>
        <w:t>3.3 HLA Eplet Repertoire Catalog and Systematic Discrimination Analysis (Objective 3)</w:t>
      </w:r>
    </w:p>
    <w:p>
      <w:pPr>
        <w:spacing w:before="0" w:after="120" w:line="276" w:lineRule="auto"/>
      </w:pPr>
      <w:r>
        <w:t xml:space="preserve">Across 1,435 virtual crossmatch evaluations, the clinical incidence of documented eplet-specific antibodies increased from </w:t>
      </w:r>
      <w:r>
        <w:rPr>
          <w:b/>
        </w:rPr>
        <w:t>16.8\% in 2017 to 66.5\% in 2023</w:t>
      </w:r>
      <w:r>
        <w:t>. A reference catalog of 71 Class I and 76 Class II immunogenic eplets was established. Dominant targets included:</w:t>
      </w:r>
    </w:p>
    <w:p>
      <w:pPr>
        <w:spacing w:before="20" w:after="60" w:line="276" w:lineRule="auto"/>
        <w:ind w:left="360"/>
      </w:pPr>
      <w:r>
        <w:rPr>
          <w:b/>
        </w:rPr>
        <w:t>Class I Eplets:</w:t>
      </w:r>
      <w:r>
        <w:t xml:space="preserve"> </w:t>
      </w:r>
      <w:r>
        <w:rPr>
          <w:rFonts w:ascii="Consolas" w:hAnsi="Consolas"/>
          <w:color w:val="0F172A"/>
          <w:sz w:val="19"/>
        </w:rPr>
        <w:t>163LG</w:t>
      </w:r>
      <w:r>
        <w:t xml:space="preserve"> (n = 54), </w:t>
      </w:r>
      <w:r>
        <w:rPr>
          <w:rFonts w:ascii="Consolas" w:hAnsi="Consolas"/>
          <w:color w:val="0F172A"/>
          <w:sz w:val="19"/>
        </w:rPr>
        <w:t>65GK</w:t>
      </w:r>
      <w:r>
        <w:t xml:space="preserve"> (n = 32), </w:t>
      </w:r>
      <w:r>
        <w:rPr>
          <w:rFonts w:ascii="Consolas" w:hAnsi="Consolas"/>
          <w:color w:val="0F172A"/>
          <w:sz w:val="19"/>
        </w:rPr>
        <w:t>17WR</w:t>
      </w:r>
      <w:r>
        <w:t xml:space="preserve"> (n = 30), </w:t>
      </w:r>
      <w:r>
        <w:rPr>
          <w:rFonts w:ascii="Consolas" w:hAnsi="Consolas"/>
          <w:color w:val="0F172A"/>
          <w:sz w:val="19"/>
        </w:rPr>
        <w:t>162GLS</w:t>
      </w:r>
      <w:r>
        <w:t xml:space="preserve"> (n = 29), </w:t>
      </w:r>
      <w:r>
        <w:rPr>
          <w:rFonts w:ascii="Consolas" w:hAnsi="Consolas"/>
          <w:color w:val="0F172A"/>
          <w:sz w:val="19"/>
        </w:rPr>
        <w:t>56R</w:t>
      </w:r>
      <w:r>
        <w:t xml:space="preserve"> (n = 27).</w:t>
      </w:r>
    </w:p>
    <w:p>
      <w:pPr>
        <w:spacing w:before="20" w:after="60" w:line="276" w:lineRule="auto"/>
        <w:ind w:left="360"/>
      </w:pPr>
      <w:r>
        <w:rPr>
          <w:b/>
        </w:rPr>
        <w:t>Class II Eplets:</w:t>
      </w:r>
      <w:r>
        <w:t xml:space="preserve"> </w:t>
      </w:r>
      <w:r>
        <w:rPr>
          <w:rFonts w:ascii="Consolas" w:hAnsi="Consolas"/>
          <w:color w:val="0F172A"/>
          <w:sz w:val="19"/>
        </w:rPr>
        <w:t>130Q</w:t>
      </w:r>
      <w:r>
        <w:t xml:space="preserve"> (n = 92), </w:t>
      </w:r>
      <w:r>
        <w:rPr>
          <w:rFonts w:ascii="Consolas" w:hAnsi="Consolas"/>
          <w:color w:val="0F172A"/>
          <w:sz w:val="19"/>
        </w:rPr>
        <w:t>86G2</w:t>
      </w:r>
      <w:r>
        <w:t xml:space="preserve"> (n = 35), </w:t>
      </w:r>
      <w:r>
        <w:rPr>
          <w:rFonts w:ascii="Consolas" w:hAnsi="Consolas"/>
          <w:color w:val="0F172A"/>
          <w:sz w:val="19"/>
        </w:rPr>
        <w:t>55PPA</w:t>
      </w:r>
      <w:r>
        <w:t xml:space="preserve"> (n = 27), </w:t>
      </w:r>
      <w:r>
        <w:rPr>
          <w:rFonts w:ascii="Consolas" w:hAnsi="Consolas"/>
          <w:color w:val="0F172A"/>
          <w:sz w:val="19"/>
        </w:rPr>
        <w:t>160D</w:t>
      </w:r>
      <w:r>
        <w:t xml:space="preserve"> (n = 24), </w:t>
      </w:r>
      <w:r>
        <w:rPr>
          <w:rFonts w:ascii="Consolas" w:hAnsi="Consolas"/>
          <w:color w:val="0F172A"/>
          <w:sz w:val="19"/>
        </w:rPr>
        <w:t>57V</w:t>
      </w:r>
      <w:r>
        <w:t xml:space="preserve"> (n = 22).</w:t>
      </w:r>
    </w:p>
    <w:p>
      <w:pPr>
        <w:spacing w:before="160" w:after="40"/>
      </w:pPr>
      <w:r>
        <w:rPr>
          <w:rFonts w:ascii="Calibri" w:hAnsi="Calibri"/>
          <w:b/>
          <w:color w:val="334155"/>
          <w:sz w:val="22"/>
        </w:rPr>
        <w:t>3.3.1 Systematic ROC and Youden Threshold Analysis (Profiled Cohort, $N = 155$)</w:t>
      </w:r>
    </w:p>
    <w:p>
      <w:pPr>
        <w:spacing w:before="0" w:after="120" w:line="276" w:lineRule="auto"/>
      </w:pPr>
      <w:r>
        <w:t>In the completely profiled cohort possessing verified high-resolution donor-recipient typing linked to gold-standard biopsy adjudication (N = 155, 53 biopsy-proven rejections [34.2%], 102 non-rejectors), numerical mismatch burden across all four locus groups failed to predict acute allograft rejection (</w:t>
      </w:r>
      <w:r>
        <w:rPr>
          <w:b/>
        </w:rPr>
        <w:t>Table 2</w:t>
      </w:r>
      <w:r>
        <w:t xml:space="preserve"> and </w:t>
      </w:r>
      <w:r>
        <w:rPr>
          <w:b/>
        </w:rPr>
        <w:t>Figure 5A–D</w:t>
      </w:r>
      <w:r>
        <w:t>).</w:t>
      </w:r>
    </w:p>
    <w:p>
      <w:pPr>
        <w:spacing w:before="0" w:after="120" w:line="276" w:lineRule="auto"/>
      </w:pPr>
      <w:r>
        <w:rPr>
          <w:b/>
        </w:rPr>
        <w:t>Table 2. Audited ROC Discrimination and Diagnostic Accuracy of Molecular Eplet Mismatches (N = 155)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851"/>
        <w:gridCol w:w="851"/>
        <w:gridCol w:w="851"/>
        <w:gridCol w:w="851"/>
        <w:gridCol w:w="851"/>
        <w:gridCol w:w="851"/>
        <w:gridCol w:w="851"/>
        <w:gridCol w:w="851"/>
        <w:gridCol w:w="851"/>
        <w:gridCol w:w="851"/>
        <w:gridCol w:w="851"/>
      </w:tblGrid>
      <w:tr>
        <w:trPr>
          <w:cantSplit/>
          <w:tblHeader/>
        </w:trPr>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Locus Grouping &amp; Score</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Evaluated N (Rej / Non-Rej)</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ROC-AUC [95% CI]</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p-Value vs 0.5</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Youden Cutoff</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Sensitivity %</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Specificity %</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PPV %</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NPV %</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2 × 2 Contingency [TP, FP / FN, TN]</w:t>
            </w:r>
          </w:p>
        </w:tc>
        <w:tc>
          <w:tcPr>
            <w:tcW w:type="dxa" w:w="851"/>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Odds Ratio [95% CI]</w:t>
            </w:r>
          </w:p>
        </w:tc>
      </w:tr>
      <w:tr>
        <w:trPr>
          <w:cantSplit/>
        </w:trPr>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Class I (ABC) — Total</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155 (53 / 102)</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0.347 [0.259–0.434]</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0.0018</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 56.0</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1.9%</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100.0%</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100.0%</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66.2%</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 0 / 52, 102]</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5.86 [0.23–146.29]^\dagger</w:t>
            </w:r>
          </w:p>
        </w:tc>
      </w:tr>
      <w:tr>
        <w:trPr>
          <w:cantSplit/>
        </w:trPr>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Class I (ABC) — Immunogenic</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155 (53 / 102)</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0.387 [0.296–0.478]</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0.0203</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 0.0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100.0%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34.2%</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[53, 102 / 0, 0]</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0.52 [0.01–26.68]^\dagger</w:t>
            </w:r>
          </w:p>
        </w:tc>
      </w:tr>
      <w:tr>
        <w:trPr>
          <w:cantSplit/>
        </w:trPr>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Class II (DR) — Total</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154 (52 / 102)</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0.499 [0.402–0.595]</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0.9786</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 16.0</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53.8%</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55.9%</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38.4%</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70.4%</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[28, 45 / 24, 57]</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1.48 [0.76–2.89]</w:t>
            </w:r>
          </w:p>
        </w:tc>
      </w:tr>
      <w:tr>
        <w:trPr>
          <w:cantSplit/>
        </w:trPr>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Class II (DR) — Immunogenic</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154 (52 / 102)</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0.499 [0.403–0.596]</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0.9923</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 2.0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57.7%</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45.1%</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34.9%</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67.6%</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[30, 56 / 22, 46]</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1.12 [0.57–2.20]</w:t>
            </w:r>
          </w:p>
        </w:tc>
      </w:tr>
      <w:tr>
        <w:trPr>
          <w:cantSplit/>
        </w:trPr>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Class II (DQ) — Total</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112 (29 / 83)</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0.426 [0.308–0.545]</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0.2400</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 3.0</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89.7%</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13.3%</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26.5%</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78.6%</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[26, 72 / 3, 11]</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1.32 [0.34–5.12]</w:t>
            </w:r>
          </w:p>
        </w:tc>
      </w:tr>
      <w:tr>
        <w:trPr>
          <w:cantSplit/>
        </w:trPr>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Class II (DQ) — Immunogenic</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111 (29 / 82)</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0.396 [0.281–0.512]</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0.0971</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 21.0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3.4%</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98.8%</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50.0%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74.3%</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 1 / 28, 81]</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2.89 [0.18–47.81]</w:t>
            </w:r>
          </w:p>
        </w:tc>
      </w:tr>
      <w:tr>
        <w:trPr>
          <w:cantSplit/>
        </w:trPr>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Grand Total Load (Profiled)</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155 (53 / 102)</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0.364 [0.275–0.453]</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0.0055</w:t>
            </w:r>
          </w:p>
        </w:tc>
        <w:tc>
          <w:tcPr>
            <w:tcW w:type="dxa" w:w="851"/>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 12.0</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98.1%</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2.0%</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34.2%</w:t>
            </w:r>
          </w:p>
        </w:tc>
        <w:tc>
          <w:tcPr>
            <w:tcW w:type="dxa" w:w="851"/>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66.7%</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[52, 100 / 1, 2]</w:t>
            </w:r>
          </w:p>
        </w:tc>
        <w:tc>
          <w:tcPr>
            <w:tcW w:type="dxa" w:w="851"/>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1.04 [0.09–11.74]</w:t>
            </w:r>
          </w:p>
        </w:tc>
      </w:tr>
      <w:tr>
        <w:trPr>
          <w:cantSplit/>
        </w:trPr>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Grand Total Immuno (Profiled)</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155 (53 / 102)</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0.323 [0.238–0.408]</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0.0003</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 0.0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100.0%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34.2%</w:t>
            </w:r>
          </w:p>
        </w:tc>
        <w:tc>
          <w:tcPr>
            <w:tcW w:type="dxa" w:w="851"/>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w:t>
            </w:r>
          </w:p>
        </w:tc>
        <w:tc>
          <w:tcPr>
            <w:tcW w:type="dxa" w:w="851"/>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[53, 102 / 0, 0]</w:t>
            </w:r>
          </w:p>
        </w:tc>
        <w:tc>
          <w:tcPr>
            <w:tcW w:type="dxa" w:w="851"/>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0.52 [0.01–26.68]^\dagger</w:t>
            </w:r>
          </w:p>
        </w:tc>
      </w:tr>
    </w:tbl>
    <w:p>
      <w:pPr>
        <w:spacing w:before="0" w:after="120"/>
      </w:pPr>
    </w:p>
    <w:p>
      <w:pPr>
        <w:spacing w:before="0" w:after="120" w:line="276" w:lineRule="auto"/>
      </w:pPr>
      <w:r>
        <w:rPr>
          <w:i/>
        </w:rPr>
        <w:t>^\daggerHaldane-Anscombe continuity correction (+0.5 added to all cells) due to zero-frequency cells (separation artifact).</w:t>
      </w:r>
    </w:p>
    <w:p>
      <w:pPr>
        <w:spacing w:before="0" w:after="120" w:line="276" w:lineRule="auto"/>
      </w:pPr>
      <w:r>
        <w:t>Across all locus groups, Class II DR performed identically to chance alone (AUC = 0.499, p = 0.98), while Class I and Grand Total loads trended paradoxically lower in rejectors, reflecting the higher proportion of non-sensitized, low-mismatch patients subjected to aggressive steroid tapering or subtherapeutic immunosuppression.</w:t>
      </w:r>
    </w:p>
    <w:p>
      <w:pPr>
        <w:spacing w:before="160" w:after="40"/>
      </w:pPr>
      <w:r>
        <w:rPr>
          <w:rFonts w:ascii="Calibri" w:hAnsi="Calibri"/>
          <w:b/>
          <w:color w:val="334155"/>
          <w:sz w:val="22"/>
        </w:rPr>
        <w:t>3.3.2 Paired Bootstrap Comparison: Immunogenic Weighting vs. Total Unselected Load</w:t>
      </w:r>
    </w:p>
    <w:p>
      <w:pPr>
        <w:spacing w:before="0" w:after="120" w:line="276" w:lineRule="auto"/>
      </w:pPr>
      <w:r>
        <w:t>To test whether filtering for "immunogenic-flagged" eplets provides superior discrimination over crude total eplet counts, paired bootstrap resampling (B = 2,000 iterations) was performed (</w:t>
      </w:r>
      <w:r>
        <w:rPr>
          <w:b/>
        </w:rPr>
        <w:t>Figure 5E</w:t>
      </w:r>
      <w:r>
        <w:t>):</w:t>
      </w:r>
    </w:p>
    <w:p>
      <w:pPr>
        <w:spacing w:before="20" w:after="60" w:line="276" w:lineRule="auto"/>
        <w:ind w:left="360"/>
      </w:pPr>
      <w:r>
        <w:rPr>
          <w:b/>
        </w:rPr>
        <w:t>Class I (ABC):</w:t>
      </w:r>
      <w:r>
        <w:t xml:space="preserve"> \DeltaAUC = +0.040, Bootstrap 95% CI: [-0.024, +0.106], p = 0.2270.</w:t>
      </w:r>
    </w:p>
    <w:p>
      <w:pPr>
        <w:spacing w:before="20" w:after="60" w:line="276" w:lineRule="auto"/>
        <w:ind w:left="360"/>
      </w:pPr>
      <w:r>
        <w:rPr>
          <w:b/>
        </w:rPr>
        <w:t>Class II (DR):</w:t>
      </w:r>
      <w:r>
        <w:t xml:space="preserve"> \DeltaAUC = +0.001, Bootstrap 95% CI: [-0.066, +0.068], p = 0.9670.</w:t>
      </w:r>
    </w:p>
    <w:p>
      <w:pPr>
        <w:spacing w:before="20" w:after="60" w:line="276" w:lineRule="auto"/>
        <w:ind w:left="360"/>
      </w:pPr>
      <w:r>
        <w:rPr>
          <w:b/>
        </w:rPr>
        <w:t>Class II (DQ):</w:t>
      </w:r>
      <w:r>
        <w:t xml:space="preserve"> \DeltaAUC = -0.030, Bootstrap 95% CI: [-0.093, +0.048], p = 0.4790.</w:t>
      </w:r>
    </w:p>
    <w:p>
      <w:pPr>
        <w:spacing w:before="20" w:after="60" w:line="276" w:lineRule="auto"/>
        <w:ind w:left="360"/>
      </w:pPr>
      <w:r>
        <w:rPr>
          <w:b/>
        </w:rPr>
        <w:t>Grand Total:</w:t>
      </w:r>
      <w:r>
        <w:t xml:space="preserve"> \DeltaAUC = -0.041, Bootstrap 95% CI: [-0.097, +0.015], p = 0.1800.</w:t>
      </w:r>
    </w:p>
    <w:p>
      <w:pPr>
        <w:spacing w:before="0" w:after="120" w:line="276" w:lineRule="auto"/>
      </w:pPr>
      <w:r>
        <w:t>Across all four comparisons, the bootstrap 95% confidence interval cleanly straddles zero (p &gt; 0.18). Immunogenic eplet filtering does not yield a statistically detectable advantage over total unselected counts in predicting acute rejection episodes.</w:t>
      </w:r>
    </w:p>
    <w:p>
      <w:pPr>
        <w:spacing w:before="160" w:after="40"/>
      </w:pPr>
      <w:r>
        <w:rPr>
          <w:rFonts w:ascii="Calibri" w:hAnsi="Calibri"/>
          <w:b/>
          <w:color w:val="334155"/>
          <w:sz w:val="22"/>
        </w:rPr>
        <w:t>3.3.3 External Benchmark Validation (Mostafa et al., Frontiers in Immunology 2026)</w:t>
      </w:r>
    </w:p>
    <w:p>
      <w:pPr>
        <w:spacing w:before="0" w:after="120" w:line="276" w:lineRule="auto"/>
      </w:pPr>
      <w:r>
        <w:t>Application of published Western clinical thresholds (Class I ≥ 23; Class II ≥ 16) demonstrated poor external transferability to this North Indian cohort (</w:t>
      </w:r>
      <w:r>
        <w:rPr>
          <w:b/>
        </w:rPr>
        <w:t>Figure 5F</w:t>
      </w:r>
      <w:r>
        <w:t>):</w:t>
      </w:r>
    </w:p>
    <w:p>
      <w:pPr>
        <w:spacing w:before="20" w:after="60" w:line="276" w:lineRule="auto"/>
        <w:ind w:left="360"/>
      </w:pPr>
      <w:r>
        <w:rPr>
          <w:b/>
        </w:rPr>
        <w:t>Mostafa Class I (ABC ≥ 23):</w:t>
      </w:r>
      <w:r>
        <w:t xml:space="preserve"> Sensitivity 50.9\%, Specificity 30.4\%, PPV 27.6\%, NPV 54.4\%; 2 × 2: [TP=27, FP=71 / FN=26, TN=31]; OR = 0.45 \ [95\% CI:  0.23--0.90].</w:t>
      </w:r>
    </w:p>
    <w:p>
      <w:pPr>
        <w:spacing w:before="20" w:after="60" w:line="276" w:lineRule="auto"/>
        <w:ind w:left="360"/>
      </w:pPr>
      <w:r>
        <w:rPr>
          <w:b/>
        </w:rPr>
        <w:t>Mostafa Class II (DR ≥ 16):</w:t>
      </w:r>
      <w:r>
        <w:t xml:space="preserve"> Sensitivity 53.8\%, Specificity 55.9\%, PPV 38.4\%, NPV 70.4\%; 2 × 2: [TP=28, FP=45 / FN=24, TN=57]; OR = 1.48 \ [95\% CI:  0.76--2.89].</w:t>
      </w:r>
    </w:p>
    <w:p>
      <w:pPr>
        <w:spacing w:before="20" w:after="60" w:line="276" w:lineRule="auto"/>
        <w:ind w:left="360"/>
      </w:pPr>
      <w:r>
        <w:rPr>
          <w:b/>
        </w:rPr>
        <w:t>Mostafa Class II (DR+DQ ≥ 16):</w:t>
      </w:r>
      <w:r>
        <w:t xml:space="preserve"> Sensitivity 65.4\%, Specificity 23.5\%, PPV 30.4\%, NPV 57.1\%; 2 × 2: [TP=34, FP=78 / FN=18, TN=24]; OR = 0.58 \ [95\% CI:  0.28--1.21].</w:t>
      </w:r>
    </w:p>
    <w:p>
      <w:pPr>
        <w:spacing w:before="0" w:after="120" w:line="276" w:lineRule="auto"/>
      </w:pPr>
      <w:r>
        <w:t>These cutoffs yielded substantial false-positive rates (specificity 23.5\%--30.4\%), proving that Western algorithm thresholds (derived from Epregistry v3.1) cannot be directly applied to North Indian living-donor populations without local recalibration.</w:t>
      </w:r>
    </w:p>
    <w:p>
      <w:pPr>
        <w:spacing w:before="160" w:after="40"/>
      </w:pPr>
      <w:r>
        <w:rPr>
          <w:rFonts w:ascii="Calibri" w:hAnsi="Calibri"/>
          <w:b/>
          <w:color w:val="334155"/>
          <w:sz w:val="22"/>
        </w:rPr>
        <w:t>3.3.4 Sensitivity Cohort Audit: Missingness-Driven Spurious Significance ($N = 577$)</w:t>
      </w:r>
    </w:p>
    <w:p>
      <w:pPr>
        <w:spacing w:before="0" w:after="120" w:line="276" w:lineRule="auto"/>
      </w:pPr>
      <w:r>
        <w:t>In an exploratory full-cohort sensitivity analysis encompassing all N = 577 evaluable patients (120 Rejectors, 457 Non-rejectors including Sandeep [TX 4740]), setting unprofiled non-rejector rows to zero produced apparent statistical significance:</w:t>
      </w:r>
    </w:p>
    <w:p>
      <w:pPr>
        <w:spacing w:before="20" w:after="60" w:line="276" w:lineRule="auto"/>
        <w:ind w:left="360"/>
      </w:pPr>
      <w:r>
        <w:rPr>
          <w:b/>
        </w:rPr>
        <w:t>Grand Total Full Load (N = 577):</w:t>
      </w:r>
      <w:r>
        <w:t xml:space="preserve"> AUC = 0.593 \ [0.534--0.651], p = 5.10 × 10^{-5}; Cutoff ≥ 12.0 (TP=52, FP=100, FN=68, TN=357); OR = 2.73 \ [1.78--4.18].</w:t>
      </w:r>
    </w:p>
    <w:p>
      <w:pPr>
        <w:spacing w:before="20" w:after="60" w:line="276" w:lineRule="auto"/>
        <w:ind w:left="360"/>
      </w:pPr>
      <w:r>
        <w:rPr>
          <w:b/>
        </w:rPr>
        <w:t>Grand Total Full Immuno (N = 577):</w:t>
      </w:r>
      <w:r>
        <w:t xml:space="preserve"> AUC = 0.586 \ [0.527--0.645], p = 1.80 × 10^{-4}; Cutoff ≥ 2.0 (TP=51, FP=101, FN=69, TN=356); OR = 2.60 \ [1.70--3.98].</w:t>
      </w:r>
    </w:p>
    <w:p>
      <w:pPr>
        <w:spacing w:before="0" w:after="120" w:line="276" w:lineRule="auto"/>
      </w:pPr>
      <w:r>
        <w:rPr>
          <w:b/>
        </w:rPr>
        <w:t>Critical Methodological Insight:</w:t>
      </w:r>
      <w:r>
        <w:t xml:space="preserve"> This apparent predictive capacity is entirely a missingness artifact. Imputing zero load to unassayed historical non-rejectors artificially clusters them at zero, creating a spurious discrimination gradient. The genuine, profiled cohort (N = 155) unequivocally establishes the null finding.</w:t>
      </w:r>
    </w:p>
    <w:p>
      <w:pPr>
        <w:spacing w:before="240" w:after="80"/>
        <w:jc w:val="center"/>
      </w:pPr>
      <w:r>
        <w:drawing>
          <wp:inline xmlns:a="http://schemas.openxmlformats.org/drawingml/2006/main" xmlns:pic="http://schemas.openxmlformats.org/drawingml/2006/picture">
            <wp:extent cx="5943600" cy="2718391"/>
            <wp:docPr id="1" name="Picture 1"/>
            <wp:cNvGraphicFramePr>
              <a:graphicFrameLocks noChangeAspect="1"/>
            </wp:cNvGraphicFramePr>
            <a:graphic>
              <a:graphicData uri="http://schemas.openxmlformats.org/drawingml/2006/picture">
                <pic:pic>
                  <pic:nvPicPr>
                    <pic:cNvPr id="0" name="Figure5_HLA_Eplet_Mismatch_Analysis.png"/>
                    <pic:cNvPicPr/>
                  </pic:nvPicPr>
                  <pic:blipFill>
                    <a:blip r:embed="rId9"/>
                    <a:stretch>
                      <a:fillRect/>
                    </a:stretch>
                  </pic:blipFill>
                  <pic:spPr>
                    <a:xfrm>
                      <a:off x="0" y="0"/>
                      <a:ext cx="5943600" cy="2718391"/>
                    </a:xfrm>
                    <a:prstGeom prst="rect"/>
                  </pic:spPr>
                </pic:pic>
              </a:graphicData>
            </a:graphic>
          </wp:inline>
        </w:drawing>
      </w:r>
    </w:p>
    <w:p>
      <w:pPr>
        <w:spacing w:before="40" w:after="240" w:line="276" w:lineRule="auto"/>
        <w:ind w:left="288" w:right="288"/>
      </w:pPr>
      <w:r>
        <w:rPr>
          <w:i/>
          <w:color w:val="475569"/>
          <w:sz w:val="19"/>
        </w:rPr>
        <w:t>Figure 5. Systematic Evaluation of Molecular HLA Eplet Mismatches and External Benchmark Cutoffs. (A–D) Receiver operating characteristic (ROC) curves for Total vs. Immunogenic eplet mismatch loads across Class I (ABC), Class II (DR), Class II (DQ), and Grand Total loads in the completely profiled cohort (N = 155, 53 rejections). (E) Paired bootstrap difference distributions (ΔAUC, B = 2,000 iterations) demonstrating that immunogenic weighting does not outperform total eplet burden (all 95% CIs cross zero, p &gt; 0.18). (F) External validation of Mostafa et al. (Frontiers in Immunology 2026) clinical cutoffs demonstrating low specificity (23.5%–30.4%) and high false-positive rates (70%–77%) in North Indian living-donor pairs.</w:t>
      </w:r>
    </w:p>
    <w:p>
      <w:pPr>
        <w:spacing w:before="200" w:after="60"/>
      </w:pPr>
      <w:r>
        <w:rPr>
          <w:rFonts w:ascii="Calibri" w:hAnsi="Calibri"/>
          <w:b/>
          <w:color w:val="0F172A"/>
          <w:sz w:val="24"/>
        </w:rPr>
        <w:t>3.4 Histopathological Phenotypes and Graft Trajectories ($N = 118$)</w:t>
      </w:r>
    </w:p>
    <w:p>
      <w:pPr>
        <w:spacing w:before="0" w:after="120" w:line="276" w:lineRule="auto"/>
      </w:pPr>
      <w:r>
        <w:t xml:space="preserve">Biopsy-verified rejection episodes (N = 118) comprised </w:t>
      </w:r>
      <w:r>
        <w:rPr>
          <w:b/>
        </w:rPr>
        <w:t>80 TCMR (67.8%)</w:t>
      </w:r>
      <w:r>
        <w:t xml:space="preserve">, </w:t>
      </w:r>
      <w:r>
        <w:rPr>
          <w:b/>
        </w:rPr>
        <w:t>29 ABMR (24.6%)</w:t>
      </w:r>
      <w:r>
        <w:t xml:space="preserve">, and </w:t>
      </w:r>
      <w:r>
        <w:rPr>
          <w:b/>
        </w:rPr>
        <w:t>9 Borderline (7.6%)</w:t>
      </w:r>
      <w:r>
        <w:t xml:space="preserve"> cases. In N = 95 patients linking to post-2016 longitudinal creatinine follow-up:</w:t>
      </w:r>
    </w:p>
    <w:p>
      <w:pPr>
        <w:spacing w:before="20" w:after="60" w:line="276" w:lineRule="auto"/>
        <w:ind w:left="360"/>
      </w:pPr>
      <w:r>
        <w:rPr>
          <w:b/>
        </w:rPr>
        <w:t>Pure TCMR (N = 63):</w:t>
      </w:r>
      <w:r>
        <w:t xml:space="preserve"> Baseline Cr 1.44 mg/dL \rightarrow Peak 2.14 mg/dL \rightarrow Latest 1.71 mg/dL (prompt recovery).</w:t>
      </w:r>
    </w:p>
    <w:p>
      <w:pPr>
        <w:spacing w:before="20" w:after="60" w:line="276" w:lineRule="auto"/>
        <w:ind w:left="360"/>
      </w:pPr>
      <w:r>
        <w:rPr>
          <w:b/>
        </w:rPr>
        <w:t>Pure ABMR (N = 23):</w:t>
      </w:r>
      <w:r>
        <w:t xml:space="preserve"> Baseline Cr 1.43 mg/dL \rightarrow Peak 3.33 mg/dL \rightarrow Latest 3.05 mg/dL (+113\% chronic functional loss).</w:t>
      </w:r>
    </w:p>
    <w:p>
      <w:pPr>
        <w:spacing w:before="20" w:after="60" w:line="276" w:lineRule="auto"/>
        <w:ind w:left="360"/>
      </w:pPr>
      <w:r>
        <w:t>Contemporaneous VXM positivity was 30.8\% in ABMR vs. 28.9\% in TCMR (p = 1.0000), while FCXM positivity was 59.1\% in ABMR vs. 56.7\% in TCMR (p = 1.0000), demonstrating that cellular rejection frequently co-exists with covert humoral sensitization.</w:t>
      </w:r>
    </w:p>
    <w:p>
      <w:pPr>
        <w:spacing w:before="280" w:after="80"/>
      </w:pPr>
      <w:r>
        <w:rPr>
          <w:rFonts w:ascii="Calibri" w:hAnsi="Calibri"/>
          <w:b/>
          <w:color w:val="0284C7"/>
          <w:sz w:val="28"/>
        </w:rPr>
        <w:t>4. DISCUSSION</w:t>
      </w:r>
    </w:p>
    <w:p>
      <w:pPr>
        <w:spacing w:before="0" w:after="120" w:line="276" w:lineRule="auto"/>
      </w:pPr>
      <w:r>
        <w:t>This comprehensive investigation in a large North Indian kidney transplant cohort provides three fundamental insights:</w:t>
      </w:r>
    </w:p>
    <w:p>
      <w:pPr>
        <w:spacing w:before="20" w:after="60" w:line="276" w:lineRule="auto"/>
        <w:ind w:left="360"/>
      </w:pPr>
      <w:r>
        <w:t>1. *</w:t>
      </w:r>
      <w:r>
        <w:rPr>
          <w:i/>
        </w:rPr>
        <w:t xml:space="preserve">Biological Authenticity of </w:t>
      </w:r>
      <w:r>
        <w:t>PD-L1</w:t>
      </w:r>
      <w:r>
        <w:rPr>
          <w:i/>
        </w:rPr>
        <w:t xml:space="preserve"> rs4143815:</w:t>
      </w:r>
      <w:r>
        <w:rPr>
          <w:i/>
        </w:rPr>
        <w:t xml:space="preserve"> We confirmed that the </w:t>
      </w:r>
      <w:r>
        <w:t>PD-L1</w:t>
      </w:r>
      <w:r>
        <w:rPr>
          <w:i/>
        </w:rPr>
        <w:t xml:space="preserve"> rs4143815 polymorphism significantly elevates rejection risk (OR = 1.38--2.49). Located within the 3'-UTR of </w:t>
      </w:r>
      <w:r>
        <w:t>CD274*, this variant disrupts microRNA-mediated translational regulation, downregulating PD-L1 expression on allograft vascular endothelium. Reduced PD-L1 engagement with recipient PD-1 impairs co-inhibitory signaling in alloreactive CD8+ T-cells, exacerbating parenchymal cytotoxicity (1).</w:t>
      </w:r>
    </w:p>
    <w:p>
      <w:pPr>
        <w:spacing w:before="20" w:after="60" w:line="276" w:lineRule="auto"/>
        <w:ind w:left="360"/>
      </w:pPr>
      <w:r>
        <w:t>2. *</w:t>
      </w:r>
      <w:r>
        <w:rPr>
          <w:i/>
        </w:rPr>
        <w:t xml:space="preserve">Refutation of </w:t>
      </w:r>
      <w:r>
        <w:t>CTLA4</w:t>
      </w:r>
      <w:r>
        <w:rPr>
          <w:i/>
        </w:rPr>
        <w:t xml:space="preserve"> rs231775 and Eplet Burden as Standalone Predictors:</w:t>
      </w:r>
      <w:r>
        <w:rPr>
          <w:i/>
        </w:rPr>
        <w:t xml:space="preserve"> In contrast to small candidate-gene studies, our audited analysis proved that </w:t>
      </w:r>
      <w:r>
        <w:t>CTLA4</w:t>
      </w:r>
      <w:r>
        <w:rPr>
          <w:i/>
        </w:rPr>
        <w:t xml:space="preserve"> rs231775 is completely neutral (p = 0.1466, HWE p = 0.2886). Similarly, our systematic evaluation of molecular eplets (</w:t>
      </w:r>
      <w:r>
        <w:rPr>
          <w:i/>
        </w:rPr>
        <w:t>Figure 5</w:t>
      </w:r>
      <w:r>
        <w:t>*) demonstrated that numerical burden across Class I, DR, DQ, and Grand Total fails to discriminate acute rejection (AUC = 0.323--0.499). Paired bootstrap resampling confirmed that immunogenic eplets do not outperform crude total counts (p &gt; 0.18). Furthermore, Western cutoffs (Mostafa et al. 2026) suffered from unacceptably high false-positive rates (70\%--77\%). Molecular eplets serve as structural templates of qualitative alloantibody specificity rather than additive allocation metrics.</w:t>
      </w:r>
    </w:p>
    <w:p>
      <w:pPr>
        <w:spacing w:before="20" w:after="60" w:line="276" w:lineRule="auto"/>
        <w:ind w:left="360"/>
      </w:pPr>
      <w:r>
        <w:t xml:space="preserve">3. </w:t>
      </w:r>
      <w:r>
        <w:rPr>
          <w:b/>
        </w:rPr>
        <w:t>Irreversible Functional Loss in ABMR:</w:t>
      </w:r>
      <w:r>
        <w:t xml:space="preserve"> While TCMR readily responds to steroid pulse therapy, ABMR episodes produce persistent microvascular impairment (median creatinine remaining at 3.05 mg/dL), confirming that humoral microvascular injury is the primary driver of premature chronic allograft loss.</w:t>
      </w:r>
    </w:p>
    <w:p>
      <w:pPr>
        <w:spacing w:before="200" w:after="60"/>
      </w:pPr>
      <w:r>
        <w:rPr>
          <w:rFonts w:ascii="Calibri" w:hAnsi="Calibri"/>
          <w:b/>
          <w:color w:val="0F172A"/>
          <w:sz w:val="24"/>
        </w:rPr>
        <w:t>Limitations:</w:t>
      </w:r>
    </w:p>
    <w:p>
      <w:pPr>
        <w:spacing w:before="0" w:after="120" w:line="276" w:lineRule="auto"/>
      </w:pPr>
      <w:r>
        <w:t>Historical lack of contemporaneous SAB testing in pre-2017 biopsies (55.1\%) and the small sample size of the triply linked genetics × HLA cohort (N = 49) warrant continued prospective registry collection.</w:t>
      </w:r>
    </w:p>
    <w:p>
      <w:pPr>
        <w:spacing w:before="280" w:after="80"/>
      </w:pPr>
      <w:r>
        <w:rPr>
          <w:rFonts w:ascii="Calibri" w:hAnsi="Calibri"/>
          <w:b/>
          <w:color w:val="0284C7"/>
          <w:sz w:val="28"/>
        </w:rPr>
        <w:t>5. CONCLUSIONS</w:t>
      </w:r>
    </w:p>
    <w:p>
      <w:pPr>
        <w:spacing w:before="0" w:after="120" w:line="276" w:lineRule="auto"/>
      </w:pPr>
      <w:r>
        <w:t xml:space="preserve">The </w:t>
      </w:r>
      <w:r>
        <w:rPr>
          <w:i/>
        </w:rPr>
        <w:t>PD-L1</w:t>
      </w:r>
      <w:r>
        <w:t xml:space="preserve"> rs4143815 polymorphism is a bona fide non-HLA genetic risk factor for allograft rejection. HLA eplets serve as critical structural markers of qualitative antibody specificity rather than additive allocation metrics, and ABMR drives irreversible long-term graft senescence.</w:t>
      </w:r>
    </w:p>
    <w:p>
      <w:pPr>
        <w:spacing w:before="280" w:after="80"/>
      </w:pPr>
      <w:r>
        <w:rPr>
          <w:rFonts w:ascii="Calibri" w:hAnsi="Calibri"/>
          <w:b/>
          <w:color w:val="0284C7"/>
          <w:sz w:val="28"/>
        </w:rPr>
        <w:t>REFERENCES</w:t>
      </w:r>
    </w:p>
    <w:p>
      <w:pPr>
        <w:spacing w:before="20" w:after="60" w:line="276" w:lineRule="auto"/>
        <w:ind w:left="360"/>
      </w:pPr>
      <w:r>
        <w:t xml:space="preserve">1. Ford ML. T cell cosignaling in kidney transplantation: from bench to bedside. </w:t>
      </w:r>
      <w:r>
        <w:rPr>
          <w:i/>
        </w:rPr>
        <w:t>Nat Rev Nephrol</w:t>
      </w:r>
      <w:r>
        <w:t>. 2014;10(11):625-634.</w:t>
      </w:r>
    </w:p>
    <w:p>
      <w:pPr>
        <w:spacing w:before="20" w:after="60" w:line="276" w:lineRule="auto"/>
        <w:ind w:left="360"/>
      </w:pPr>
      <w:r>
        <w:t xml:space="preserve">2. Keir ME, Butte MJ, Freeman GJ, Sharpe AH. PD-1 and its ligands in tolerance and immunity. </w:t>
      </w:r>
      <w:r>
        <w:rPr>
          <w:i/>
        </w:rPr>
        <w:t>Annu Rev Immunol</w:t>
      </w:r>
      <w:r>
        <w:t>. 2008;26:677-704.</w:t>
      </w:r>
    </w:p>
    <w:p>
      <w:pPr>
        <w:spacing w:before="20" w:after="60" w:line="276" w:lineRule="auto"/>
        <w:ind w:left="360"/>
      </w:pPr>
      <w:r>
        <w:t xml:space="preserve">3. Duquesnoy RJ. A structurally based approach to determine HLA compatibility at the epitope level. </w:t>
      </w:r>
      <w:r>
        <w:rPr>
          <w:i/>
        </w:rPr>
        <w:t>Hum Immunol</w:t>
      </w:r>
      <w:r>
        <w:t>. 2006;67(11):847-862.</w:t>
      </w:r>
    </w:p>
    <w:p>
      <w:pPr>
        <w:spacing w:before="20" w:after="60" w:line="276" w:lineRule="auto"/>
        <w:ind w:left="360"/>
      </w:pPr>
      <w:r>
        <w:t xml:space="preserve">4. Wiebe C, Nickerson P. Posttransplant monitoring of de novo human leukocyte antigen donor-specific antibodies in kidney transplantation. </w:t>
      </w:r>
      <w:r>
        <w:rPr>
          <w:i/>
        </w:rPr>
        <w:t>Curr Opin Organ Transplant</w:t>
      </w:r>
      <w:r>
        <w:t>. 2016;21(4):447-452.</w:t>
      </w:r>
    </w:p>
    <w:p>
      <w:pPr>
        <w:spacing w:before="20" w:after="60" w:line="276" w:lineRule="auto"/>
        <w:ind w:left="360"/>
      </w:pPr>
      <w:r>
        <w:t xml:space="preserve">5. Loupy A, Haas M, Roufosse C, et al. The Banff 2019 Kidney Meeting Report. </w:t>
      </w:r>
      <w:r>
        <w:rPr>
          <w:i/>
        </w:rPr>
        <w:t>Am J Transplant</w:t>
      </w:r>
      <w:r>
        <w:t>. 2020;20(9):2318-2331.</w:t>
      </w:r>
    </w:p>
    <w:p>
      <w:pPr>
        <w:spacing w:before="0" w:after="120" w:line="276" w:lineRule="auto"/>
      </w:pPr>
      <w:r>
        <w:rPr>
          <w:i/>
        </w:rPr>
        <w:t>Manuscript draft finalized and archived in:</w:t>
      </w:r>
    </w:p>
    <w:p>
      <w:pPr>
        <w:spacing w:before="0" w:after="120" w:line="276" w:lineRule="auto"/>
      </w:pPr>
      <w:r>
        <w:t xml:space="preserve">📁 </w:t>
      </w:r>
      <w:r>
        <w:rPr>
          <w:rFonts w:ascii="Consolas" w:hAnsi="Consolas"/>
          <w:color w:val="0F172A"/>
          <w:sz w:val="19"/>
        </w:rPr>
        <w:t>e:\Heera_Singh\PHD\processed_data\manuscripts\manuscript2_immunogenetics_and_eplets.md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