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</w:p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Reactive SDN for Securing ICS Environments</w:t>
      </w:r>
    </w:p>
    <w:p>
      <w:pPr>
        <w:spacing w:after="40"/>
        <w:jc w:val="center"/>
      </w:pPr>
      <w:r>
        <w:rPr>
          <w:i/>
          <w:iCs/>
          <w:color w:val="2E5496"/>
          <w:sz w:val="26"/>
          <w:szCs w:val="26"/>
        </w:rPr>
        <w:t xml:space="preserve">Curated Reading List, Literature-Gap Analysis &amp; Innovation Directions</w:t>
      </w:r>
    </w:p>
    <w:p>
      <w:pPr>
        <w:pBdr>
          <w:top w:val="single" w:color="1F3864" w:sz="6"/>
        </w:pBdr>
        <w:spacing w:after="40"/>
        <w:jc w:val="center"/>
      </w:pPr>
      <w:r>
        <w:t xml:space="preserve"/>
      </w:r>
    </w:p>
    <w:p>
      <w:pPr>
        <w:spacing w:after="260"/>
        <w:jc w:val="center"/>
      </w:pPr>
      <w:r>
        <w:rPr>
          <w:i/>
          <w:iCs/>
          <w:color w:val="595959"/>
          <w:sz w:val="20"/>
          <w:szCs w:val="20"/>
        </w:rPr>
        <w:t xml:space="preserve">Deep literature sweep across 10 sub-domains · 40+ sources · July 2026</w:t>
      </w:r>
    </w:p>
    <w:p>
      <w:pPr>
        <w:pStyle w:val="Heading1"/>
        <w:spacing w:after="130" w:before="340"/>
      </w:pPr>
      <w:r>
        <w:rPr>
          <w:b/>
          <w:bCs/>
          <w:color w:val="1F3864"/>
          <w:sz w:val="30"/>
          <w:szCs w:val="30"/>
        </w:rPr>
        <w:t xml:space="preserve">How to use this document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This is a prioritized, annotated map of the research most relevant to building a reactive SDN system for ICS security. Each entry is tagged </w:t>
      </w:r>
      <w:r>
        <w:rPr>
          <w:b/>
          <w:bCs/>
          <w:color w:val="1E7145"/>
          <w:sz w:val="22"/>
          <w:szCs w:val="22"/>
        </w:rPr>
        <w:t xml:space="preserve">[Essential]</w:t>
      </w:r>
      <w:r>
        <w:rPr>
          <w:sz w:val="22"/>
          <w:szCs w:val="22"/>
        </w:rPr>
        <w:t xml:space="preserve"> (read first — foundational or closest to our objective), </w:t>
      </w:r>
      <w:r>
        <w:rPr>
          <w:b/>
          <w:bCs/>
          <w:color w:val="2E5496"/>
          <w:sz w:val="22"/>
          <w:szCs w:val="22"/>
        </w:rPr>
        <w:t xml:space="preserve">[High]</w:t>
      </w:r>
      <w:r>
        <w:rPr>
          <w:sz w:val="22"/>
          <w:szCs w:val="22"/>
        </w:rPr>
        <w:t xml:space="preserve"> (strong, directly applicable), or </w:t>
      </w:r>
      <w:r>
        <w:rPr>
          <w:b/>
          <w:bCs/>
          <w:color w:val="595959"/>
          <w:sz w:val="22"/>
          <w:szCs w:val="22"/>
        </w:rPr>
        <w:t xml:space="preserve">[Reference]</w:t>
      </w:r>
      <w:r>
        <w:rPr>
          <w:sz w:val="22"/>
          <w:szCs w:val="22"/>
        </w:rPr>
        <w:t xml:space="preserve"> (breadth, datasets, or context). Papers are grouped into ten themes. After the reading list, a gap analysis contrasts what the field already does well against the white space our project can own, followed by concrete innovation directions and a suggested reading order.</w:t>
      </w:r>
    </w:p>
    <w:p>
      <w:pPr>
        <w:spacing w:after="130" w:line="274"/>
        <w:jc w:val="both"/>
      </w:pPr>
      <w:r>
        <w:rPr>
          <w:b/>
          <w:bCs/>
          <w:sz w:val="22"/>
          <w:szCs w:val="22"/>
        </w:rPr>
        <w:t xml:space="preserve">Bottom line up front: </w:t>
      </w:r>
      <w:r>
        <w:rPr>
          <w:sz w:val="22"/>
          <w:szCs w:val="22"/>
        </w:rPr>
        <w:t xml:space="preserve">the market and literature are saturated with ever-more-accurate </w:t>
      </w:r>
      <w:r>
        <w:rPr>
          <w:i/>
          <w:iCs/>
          <w:sz w:val="22"/>
          <w:szCs w:val="22"/>
        </w:rPr>
        <w:t xml:space="preserve">detection</w:t>
      </w:r>
      <w:r>
        <w:rPr>
          <w:sz w:val="22"/>
          <w:szCs w:val="22"/>
        </w:rPr>
        <w:t xml:space="preserve">, but thin on </w:t>
      </w:r>
      <w:r>
        <w:rPr>
          <w:i/>
          <w:iCs/>
          <w:sz w:val="22"/>
          <w:szCs w:val="22"/>
        </w:rPr>
        <w:t xml:space="preserve">safe, automated, device-aware </w:t>
      </w:r>
      <w:r>
        <w:rPr>
          <w:sz w:val="22"/>
          <w:szCs w:val="22"/>
        </w:rPr>
        <w:t xml:space="preserve">network </w:t>
      </w:r>
      <w:r>
        <w:rPr>
          <w:i/>
          <w:iCs/>
          <w:sz w:val="22"/>
          <w:szCs w:val="22"/>
        </w:rPr>
        <w:t xml:space="preserve">response</w:t>
      </w:r>
      <w:r>
        <w:rPr>
          <w:sz w:val="22"/>
          <w:szCs w:val="22"/>
        </w:rPr>
        <w:t xml:space="preserve"> that provably does not endanger the physical process. That response gap — plus real-time closed-loop evaluation and controller resilience — is where an innovative, defensible contribution lies.</w:t>
      </w:r>
    </w:p>
    <w:p>
      <w:pPr>
        <w:pStyle w:val="Heading1"/>
        <w:spacing w:after="130" w:before="340"/>
      </w:pPr>
      <w:r>
        <w:rPr>
          <w:b/>
          <w:bCs/>
          <w:color w:val="1F3864"/>
          <w:sz w:val="30"/>
          <w:szCs w:val="30"/>
        </w:rPr>
        <w:t xml:space="preserve">Theme 1 — Foundations &amp; surveys (start here)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These frame the whole problem space and let you position the project quickly.</w:t>
      </w:r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1.  </w:t>
      </w:r>
      <w:r>
        <w:rPr>
          <w:b/>
          <w:bCs/>
          <w:sz w:val="22"/>
          <w:szCs w:val="22"/>
        </w:rPr>
        <w:t xml:space="preserve">Software-Defined Networking approaches for intrusion response in Industrial Control Systems: A survey</w:t>
      </w:r>
      <w:r>
        <w:rPr>
          <w:b/>
          <w:bCs/>
          <w:color w:val="1E7145"/>
          <w:sz w:val="17"/>
          <w:szCs w:val="17"/>
        </w:rPr>
        <w:t xml:space="preserve">   [Essential]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X. Etxezarreta, I. Garitano, M. Iturbe, U. Zurutuza — Int. J. Critical Infrastructure Protection, 42:100615, 2023.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The anchor reference. Provides the four-family taxonomy (dynamic filtering, survivability, MTD, honeypots), maps ICS security requirements to SDN, and lists open challenges — the exact scaffolding for our project.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woqrobbuqgwj_flaw2rxh">
        <w:r>
          <w:rPr>
            <w:rStyle w:val="Hyperlink"/>
            <w:sz w:val="19"/>
            <w:szCs w:val="19"/>
          </w:rPr>
          <w:t xml:space="preserve">https://www.sciencedirect.com/science/article/pii/S1874548223000288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2.  </w:t>
      </w:r>
      <w:r>
        <w:rPr>
          <w:b/>
          <w:bCs/>
          <w:sz w:val="22"/>
          <w:szCs w:val="22"/>
        </w:rPr>
        <w:t xml:space="preserve">Detection and mitigation of cyber-attacks in SDN using ML/DL: a systematic literature review, challenges and future directions</w:t>
      </w:r>
      <w:r>
        <w:rPr>
          <w:b/>
          <w:bCs/>
          <w:color w:val="1E7145"/>
          <w:sz w:val="17"/>
          <w:szCs w:val="17"/>
        </w:rPr>
        <w:t xml:space="preserve">   [Essential]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Springer, International Journal of Information Security, 2025.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Current, systematic map of ML/DL for SDN security with an explicit future-directions section. Best single source for understanding where the AI-for-SDN field is and what remains unsolved.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1ixs0ss-irbsr30vsqhlu">
        <w:r>
          <w:rPr>
            <w:rStyle w:val="Hyperlink"/>
            <w:sz w:val="19"/>
            <w:szCs w:val="19"/>
          </w:rPr>
          <w:t xml:space="preserve">https://link.springer.com/article/10.1007/s10207-025-01114-z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3.  </w:t>
      </w:r>
      <w:r>
        <w:rPr>
          <w:b/>
          <w:bCs/>
          <w:sz w:val="22"/>
          <w:szCs w:val="22"/>
        </w:rPr>
        <w:t xml:space="preserve">Machine learning in ICS security: current landscape, opportunities and challenges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Springer, Journal of Intelligent Information Systems, 2022.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Grounds the ICS-specific constraints (data scarcity, safety, real-time) that make naive ML transplants fail. Good for motivating why response — not just detection — is the hard part.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euwafqa5kgfb_rkuodze-">
        <w:r>
          <w:rPr>
            <w:rStyle w:val="Hyperlink"/>
            <w:sz w:val="19"/>
            <w:szCs w:val="19"/>
          </w:rPr>
          <w:t xml:space="preserve">https://link.springer.com/article/10.1007/s10844-022-00753-1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4.  </w:t>
      </w:r>
      <w:r>
        <w:rPr>
          <w:b/>
          <w:bCs/>
          <w:sz w:val="22"/>
          <w:szCs w:val="22"/>
        </w:rPr>
        <w:t xml:space="preserve">Guide to Industrial Control Systems (ICS) Security (NIST SP 800-82 Rev. 2)</w:t>
      </w:r>
      <w:r>
        <w:rPr>
          <w:b/>
          <w:bCs/>
          <w:color w:val="595959"/>
          <w:sz w:val="17"/>
          <w:szCs w:val="17"/>
        </w:rPr>
        <w:t xml:space="preserve">   [Reference]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K. Stouffer et al., NIST Special Publication 800-82 Rev. 2, 2015 (Rev. 3 draft newer).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The canonical requirements document. Cite it for the availability/integrity-over-confidentiality priority and the mandate that controls must not disrupt the process.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5l5ycdbrubgi-68bew0k9">
        <w:r>
          <w:rPr>
            <w:rStyle w:val="Hyperlink"/>
            <w:sz w:val="19"/>
            <w:szCs w:val="19"/>
          </w:rPr>
          <w:t xml:space="preserve">https://nvlpubs.nist.gov/nistpubs/specialpublications/nist.sp.800-82r2.pdf</w:t>
        </w:r>
      </w:hyperlink>
    </w:p>
    <w:p>
      <w:pPr>
        <w:pStyle w:val="Heading1"/>
        <w:spacing w:after="130" w:before="340"/>
      </w:pPr>
      <w:r>
        <w:rPr>
          <w:b/>
          <w:bCs/>
          <w:color w:val="1F3864"/>
          <w:sz w:val="30"/>
          <w:szCs w:val="30"/>
        </w:rPr>
        <w:t xml:space="preserve">Theme 2 — SDN dynamic response &amp; incident handling for ICS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The core mechanism of the project: alert-to-action pipelines that preserve the process.</w:t>
      </w:r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5.  </w:t>
      </w:r>
      <w:r>
        <w:rPr>
          <w:b/>
          <w:bCs/>
          <w:sz w:val="22"/>
          <w:szCs w:val="22"/>
        </w:rPr>
        <w:t xml:space="preserve">Leveraging Software-Defined Networking for Incident Response in Industrial Control Systems</w:t>
      </w:r>
      <w:r>
        <w:rPr>
          <w:b/>
          <w:bCs/>
          <w:color w:val="1E7145"/>
          <w:sz w:val="17"/>
          <w:szCs w:val="17"/>
        </w:rPr>
        <w:t xml:space="preserve">   [Essential]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A. F. M. Piedrahita, V. Gaur, J. Giraldo, Á. A. Cárdenas, S. J. Rueda — IEEE Software, 35(1):44–50, 2018.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The closest prior work to our objective: IDS + SDN/NFV substitutes estimated values for anomalous sensor readings so the process keeps running safely. The template for safety-preserving response.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85ecdecltogwm7ai4cgr4">
        <w:r>
          <w:rPr>
            <w:rStyle w:val="Hyperlink"/>
            <w:sz w:val="19"/>
            <w:szCs w:val="19"/>
          </w:rPr>
          <w:t xml:space="preserve">https://www.scitepress.org/Papers/2019/73595/73595.pdf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6.  </w:t>
      </w:r>
      <w:r>
        <w:rPr>
          <w:b/>
          <w:bCs/>
          <w:sz w:val="22"/>
          <w:szCs w:val="22"/>
        </w:rPr>
        <w:t xml:space="preserve">Enabling Dynamic Network Access Control with Anomaly-based IDS and SDN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ACM Int. Workshop on Security in SDN &amp; NFV (SDN-NFV Sec), 2019.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Clean formalization of the IDS→controller→flow-rule loop and the allow/block/mirror/redirect action set our system must implement.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ih89fzu_evl4fdjre48fs">
        <w:r>
          <w:rPr>
            <w:rStyle w:val="Hyperlink"/>
            <w:sz w:val="19"/>
            <w:szCs w:val="19"/>
          </w:rPr>
          <w:t xml:space="preserve">https://dl.acm.org/doi/10.1145/3309194.3309199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7.  </w:t>
      </w:r>
      <w:r>
        <w:rPr>
          <w:b/>
          <w:bCs/>
          <w:sz w:val="22"/>
          <w:szCs w:val="22"/>
        </w:rPr>
        <w:t xml:space="preserve">Securing ICS networks: SDN-based Automated Traffic Control and MTD Defensive Framework against DDoS attacks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Computer Communications, Elsevier, 2025.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Recent, combines automated SDN traffic control with MTD for ICS — a working example of orchestrating more than one response type, and a benchmark to beat.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ekaxa6j13qvsnjfxd0lo1">
        <w:r>
          <w:rPr>
            <w:rStyle w:val="Hyperlink"/>
            <w:sz w:val="19"/>
            <w:szCs w:val="19"/>
          </w:rPr>
          <w:t xml:space="preserve">https://www.sciencedirect.com/science/article/pii/S0140366425002099</w:t>
        </w:r>
      </w:hyperlink>
    </w:p>
    <w:p>
      <w:pPr>
        <w:pStyle w:val="Heading1"/>
        <w:spacing w:after="130" w:before="340"/>
      </w:pPr>
      <w:r>
        <w:rPr>
          <w:b/>
          <w:bCs/>
          <w:color w:val="1F3864"/>
          <w:sz w:val="30"/>
          <w:szCs w:val="30"/>
        </w:rPr>
        <w:t xml:space="preserve">Theme 3 — AI-driven detection &amp; autonomous response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Where the frontier (and most of the hype) sits: deep learning IDS, and — more relevant to us — learning-based automated response.</w:t>
      </w:r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8.  </w:t>
      </w:r>
      <w:r>
        <w:rPr>
          <w:b/>
          <w:bCs/>
          <w:sz w:val="22"/>
          <w:szCs w:val="22"/>
        </w:rPr>
        <w:t xml:space="preserve">Deep reinforcement learning-based intrusion detection scheme for software-defined networking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Nature Scientific Reports, 2025.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Representative of RL applied inside SDN. Read it for how the state/action/reward is framed — directly transferable if we make response (not detection) the RL agent's job.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r1hlviq88wt1xl88rcctj">
        <w:r>
          <w:rPr>
            <w:rStyle w:val="Hyperlink"/>
            <w:sz w:val="19"/>
            <w:szCs w:val="19"/>
          </w:rPr>
          <w:t xml:space="preserve">https://www.nature.com/articles/s41598-025-24869-w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9.  </w:t>
      </w:r>
      <w:r>
        <w:rPr>
          <w:b/>
          <w:bCs/>
          <w:sz w:val="22"/>
          <w:szCs w:val="22"/>
        </w:rPr>
        <w:t xml:space="preserve">Optimal Security Response to Network Intrusions in IT Systems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K. Hammar (PhD work), arXiv:2502.02541, 2025.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Rigorous decision-theoretic framing of automated response (when to block/redirect/isolate) using control theory and game theory — the theoretical backbone our safety-constrained response engine currently lacks in the ICS literature.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p1q0bxbd682-t3oi5mar-">
        <w:r>
          <w:rPr>
            <w:rStyle w:val="Hyperlink"/>
            <w:sz w:val="19"/>
            <w:szCs w:val="19"/>
          </w:rPr>
          <w:t xml:space="preserve">https://arxiv.org/pdf/2502.02541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10.  </w:t>
      </w:r>
      <w:r>
        <w:rPr>
          <w:b/>
          <w:bCs/>
          <w:sz w:val="22"/>
          <w:szCs w:val="22"/>
        </w:rPr>
        <w:t xml:space="preserve">Non-local attention enhanced deep learning for robust cyberattack detection in IIoT-based SCADA systems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Nature Scientific Reports, 2026.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State-of-the-art SCADA detection (attention-based). Use as the detection front-end so the project can focus its novelty on response rather than re-inventing a classifier.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fsewtlr5hv07rtamqxl8o">
        <w:r>
          <w:rPr>
            <w:rStyle w:val="Hyperlink"/>
            <w:sz w:val="19"/>
            <w:szCs w:val="19"/>
          </w:rPr>
          <w:t xml:space="preserve">https://www.nature.com/articles/s41598-026-37146-1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11.  </w:t>
      </w:r>
      <w:r>
        <w:rPr>
          <w:b/>
          <w:bCs/>
          <w:sz w:val="22"/>
          <w:szCs w:val="22"/>
        </w:rPr>
        <w:t xml:space="preserve">Transformers and Large Language Models for Efficient Intrusion Detection Systems: A Comprehensive Survey</w:t>
      </w:r>
      <w:r>
        <w:rPr>
          <w:b/>
          <w:bCs/>
          <w:color w:val="595959"/>
          <w:sz w:val="17"/>
          <w:szCs w:val="17"/>
        </w:rPr>
        <w:t xml:space="preserve">   [Reference]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arXiv:2408.07583, 2024.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Breadth on transformer/LLM IDS and their cost/latency trade-offs — important because heavyweight models clash with ICS real-time budgets.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uaoqltcv_dsgns9ydvkub">
        <w:r>
          <w:rPr>
            <w:rStyle w:val="Hyperlink"/>
            <w:sz w:val="19"/>
            <w:szCs w:val="19"/>
          </w:rPr>
          <w:t xml:space="preserve">https://arxiv.org/pdf/2408.07583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12.  </w:t>
      </w:r>
      <w:r>
        <w:rPr>
          <w:b/>
          <w:bCs/>
          <w:sz w:val="22"/>
          <w:szCs w:val="22"/>
        </w:rPr>
        <w:t xml:space="preserve">Design of an AI-driven secure 5G-SDN framework with federated reinforcement learning for anomaly detection, mitigation and forensics</w:t>
      </w:r>
      <w:r>
        <w:rPr>
          <w:b/>
          <w:bCs/>
          <w:color w:val="595959"/>
          <w:sz w:val="17"/>
          <w:szCs w:val="17"/>
        </w:rPr>
        <w:t xml:space="preserve">   [Reference]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PMC (open access), 2025.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Shows the full detect-mitigate-forensics loop with federated RL over SDN — an architectural pattern to borrow, adapted to ICS constraints.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-ov8q3-c1qwcypwmx-ke8">
        <w:r>
          <w:rPr>
            <w:rStyle w:val="Hyperlink"/>
            <w:sz w:val="19"/>
            <w:szCs w:val="19"/>
          </w:rPr>
          <w:t xml:space="preserve">https://pmc.ncbi.nlm.nih.gov/articles/PMC12929375/</w:t>
        </w:r>
      </w:hyperlink>
    </w:p>
    <w:p>
      <w:pPr>
        <w:pStyle w:val="Heading1"/>
        <w:spacing w:after="130" w:before="340"/>
      </w:pPr>
      <w:r>
        <w:rPr>
          <w:b/>
          <w:bCs/>
          <w:color w:val="1F3864"/>
          <w:sz w:val="30"/>
          <w:szCs w:val="30"/>
        </w:rPr>
        <w:t xml:space="preserve">Theme 4 — In-network defense with programmable data planes (P4)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The route to line-rate enforcement that meets ICS latency budgets — a strong differentiator versus control-plane-only designs.</w:t>
      </w:r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13.  </w:t>
      </w:r>
      <w:r>
        <w:rPr>
          <w:b/>
          <w:bCs/>
          <w:sz w:val="22"/>
          <w:szCs w:val="22"/>
        </w:rPr>
        <w:t xml:space="preserve">P4Control: Line-Rate Cross-Host Attack Prevention via In-Network Information Flow Control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IEEE Symposium on Security and Privacy (S&amp;P), 2024 — arXiv:2405.14970.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Top-tier venue proof that meaningful security policy can run at line rate on programmable switches + eBPF. Evidence that data-plane response is feasible, not just theoretical.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js4dqd4uulqxkdwcibuvo">
        <w:r>
          <w:rPr>
            <w:rStyle w:val="Hyperlink"/>
            <w:sz w:val="19"/>
            <w:szCs w:val="19"/>
          </w:rPr>
          <w:t xml:space="preserve">https://arxiv.org/pdf/2405.14970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14.  </w:t>
      </w:r>
      <w:r>
        <w:rPr>
          <w:b/>
          <w:bCs/>
          <w:sz w:val="22"/>
          <w:szCs w:val="22"/>
        </w:rPr>
        <w:t xml:space="preserve">Leveraging Data Plane Programmability to enhance service orchestration at the edge: a focus on industrial security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Computer Networks, Elsevier, 2024 — S1389128624002299.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Directly ICS/industrial-focused P4 security. Bridges programmable data planes to OT protocols and orchestration — a near-neighbour to our hybrid enforcement idea.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kmwfwfawxu5po2t8axozv">
        <w:r>
          <w:rPr>
            <w:rStyle w:val="Hyperlink"/>
            <w:sz w:val="19"/>
            <w:szCs w:val="19"/>
          </w:rPr>
          <w:t xml:space="preserve">https://www.sciencedirect.com/science/article/pii/S1389128624002299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15.  </w:t>
      </w:r>
      <w:r>
        <w:rPr>
          <w:b/>
          <w:bCs/>
          <w:sz w:val="22"/>
          <w:szCs w:val="22"/>
        </w:rPr>
        <w:t xml:space="preserve">A Two-level Intrusion Detection System for ICS Networks using P4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G. K. Ndonda, R. Sadre — ICS-CSR, 2018.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L1 P4 Modbus allowlist on the switch, L2 DPI feedback updates L1 — the reference design for closing the detect-to-block loop at line rate in ICS.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zlxizkehw6kc-h_koaibk">
        <w:r>
          <w:rPr>
            <w:rStyle w:val="Hyperlink"/>
            <w:sz w:val="19"/>
            <w:szCs w:val="19"/>
          </w:rPr>
          <w:t xml:space="preserve">https://www.scienceopen.com/hosted-document?doi=10.14236/ewic/ICS2018.4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16.  </w:t>
      </w:r>
      <w:r>
        <w:rPr>
          <w:b/>
          <w:bCs/>
          <w:sz w:val="22"/>
          <w:szCs w:val="22"/>
        </w:rPr>
        <w:t xml:space="preserve">A Protocol-Aware P4 Pipeline for MQTT Security and Anomaly Mitigation in Edge IoT Systems</w:t>
      </w:r>
      <w:r>
        <w:rPr>
          <w:b/>
          <w:bCs/>
          <w:color w:val="595959"/>
          <w:sz w:val="17"/>
          <w:szCs w:val="17"/>
        </w:rPr>
        <w:t xml:space="preserve">   [Reference]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arXiv:2601.07536, 2026.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Shows protocol-aware P4 pipelines for an IIoT protocol — the pattern generalizes to Modbus/DNP3/OPC UA in our data-plane filter.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3buyskuaemdifsgv6j63b">
        <w:r>
          <w:rPr>
            <w:rStyle w:val="Hyperlink"/>
            <w:sz w:val="19"/>
            <w:szCs w:val="19"/>
          </w:rPr>
          <w:t xml:space="preserve">https://arxiv.org/pdf/2601.07536</w:t>
        </w:r>
      </w:hyperlink>
    </w:p>
    <w:p>
      <w:pPr>
        <w:pStyle w:val="Heading1"/>
        <w:spacing w:after="130" w:before="340"/>
      </w:pPr>
      <w:r>
        <w:rPr>
          <w:b/>
          <w:bCs/>
          <w:color w:val="1F3864"/>
          <w:sz w:val="30"/>
          <w:szCs w:val="30"/>
        </w:rPr>
        <w:t xml:space="preserve">Theme 5 — Digital twins for ICS security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A fast-rising area: a safe virtual replica to test responses before applying them to the live process — a natural pairing with reactive SDN.</w:t>
      </w:r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17.  </w:t>
      </w:r>
      <w:r>
        <w:rPr>
          <w:b/>
          <w:bCs/>
          <w:sz w:val="22"/>
          <w:szCs w:val="22"/>
        </w:rPr>
        <w:t xml:space="preserve">TwinSec-IDS: An Enhanced IDS in SDN-Digital-Twin-Based Industrial Cyber-Physical Systems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Krishnaveni et al. — Concurrency and Computation: Practice and Experience (Wiley), 2025.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Explicitly fuses SDN + digital twin + hybrid deep learning for ICPS. The closest published system to a 'twin-validated reactive SDN', and therefore both inspiration and the state of the art to advance.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yymgcrpee6bbdmt-g9qhh">
        <w:r>
          <w:rPr>
            <w:rStyle w:val="Hyperlink"/>
            <w:sz w:val="19"/>
            <w:szCs w:val="19"/>
          </w:rPr>
          <w:t xml:space="preserve">https://onlinelibrary.wiley.com/doi/10.1002/cpe.8334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18.  </w:t>
      </w:r>
      <w:r>
        <w:rPr>
          <w:b/>
          <w:bCs/>
          <w:sz w:val="22"/>
          <w:szCs w:val="22"/>
        </w:rPr>
        <w:t xml:space="preserve">Digital Twin-Enhanced Incident Response for Cyber-Physical Systems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ACM ARES, 2023.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Frames the twin as a sandbox for validating incident-response actions — directly supports our 'simulate the response before you commit it' safety mechanism.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4rvytrela6cwtexddwtar">
        <w:r>
          <w:rPr>
            <w:rStyle w:val="Hyperlink"/>
            <w:sz w:val="19"/>
            <w:szCs w:val="19"/>
          </w:rPr>
          <w:t xml:space="preserve">https://dl.acm.org/doi/10.1145/3600160.3600195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19.  </w:t>
      </w:r>
      <w:r>
        <w:rPr>
          <w:b/>
          <w:bCs/>
          <w:sz w:val="22"/>
          <w:szCs w:val="22"/>
        </w:rPr>
        <w:t xml:space="preserve">Digital Twin-Driven Intrusion Detection for Industrial SCADA: A Cyber-Physical Case Study</w:t>
      </w:r>
      <w:r>
        <w:rPr>
          <w:b/>
          <w:bCs/>
          <w:color w:val="595959"/>
          <w:sz w:val="17"/>
          <w:szCs w:val="17"/>
        </w:rPr>
        <w:t xml:space="preserve">   [Reference]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MDPI Sensors, 25(16):4963, 2025.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Concrete SCADA case study; useful methodology and metrics for a twin-in-the-loop evaluation.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zjrr7sscf4fhn5dmjd1y9">
        <w:r>
          <w:rPr>
            <w:rStyle w:val="Hyperlink"/>
            <w:sz w:val="19"/>
            <w:szCs w:val="19"/>
          </w:rPr>
          <w:t xml:space="preserve">https://www.mdpi.com/1424-8220/25/16/4963</w:t>
        </w:r>
      </w:hyperlink>
    </w:p>
    <w:p>
      <w:pPr>
        <w:pStyle w:val="Heading1"/>
        <w:spacing w:after="130" w:before="340"/>
      </w:pPr>
      <w:r>
        <w:rPr>
          <w:b/>
          <w:bCs/>
          <w:color w:val="1F3864"/>
          <w:sz w:val="30"/>
          <w:szCs w:val="30"/>
        </w:rPr>
        <w:t xml:space="preserve">Theme 6 — Deception &amp; honeypots (SDN-steered)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The 'redirect for deeper inspection' branch of the project, now being supercharged with AI-generated decoy content.</w:t>
      </w:r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20.  </w:t>
      </w:r>
      <w:r>
        <w:rPr>
          <w:b/>
          <w:bCs/>
          <w:sz w:val="22"/>
          <w:szCs w:val="22"/>
        </w:rPr>
        <w:t xml:space="preserve">Reactive cyber deception: stealth-based adaptive redirection to on-demand honeypots with AI-driven data generation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Computer Networks / Computers &amp; Security, Elsevier, 2026 — S138912862600215X.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State of the art: SDN controller performs stealthy TCP redirection to on-demand honeypots, with LLM-generated decoy data. A vivid, recent instance of exactly the redirect response our system offers — raise our game to this level.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zu-rrarrtr3zayv7uich7">
        <w:r>
          <w:rPr>
            <w:rStyle w:val="Hyperlink"/>
            <w:sz w:val="19"/>
            <w:szCs w:val="19"/>
          </w:rPr>
          <w:t xml:space="preserve">https://www.sciencedirect.com/science/article/pii/S138912862600215X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21.  </w:t>
      </w:r>
      <w:r>
        <w:rPr>
          <w:b/>
          <w:bCs/>
          <w:sz w:val="22"/>
          <w:szCs w:val="22"/>
        </w:rPr>
        <w:t xml:space="preserve">D3O-IIoT: Deep reinforcement learning-driven dynamic deception orchestration for Industrial IoT security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PMC (open access), 2025.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RL coordinates honeypots + MTD + fake telemetry + node isolation from real-time threat signals — the multi-response orchestration idea, applied to IIoT. Strong prior art for our orchestration layer.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8fhx5ustwg8a3qv4qvnqr">
        <w:r>
          <w:rPr>
            <w:rStyle w:val="Hyperlink"/>
            <w:sz w:val="19"/>
            <w:szCs w:val="19"/>
          </w:rPr>
          <w:t xml:space="preserve">https://www.ncbi.nlm.nih.gov/pmc/articles/PMC12816736/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22.  </w:t>
      </w:r>
      <w:r>
        <w:rPr>
          <w:b/>
          <w:bCs/>
          <w:sz w:val="22"/>
          <w:szCs w:val="22"/>
        </w:rPr>
        <w:t xml:space="preserve">MimePot: a Model-based Honeypot for Industrial Control Networks</w:t>
      </w:r>
      <w:r>
        <w:rPr>
          <w:b/>
          <w:bCs/>
          <w:color w:val="595959"/>
          <w:sz w:val="17"/>
          <w:szCs w:val="17"/>
        </w:rPr>
        <w:t xml:space="preserve">   [Reference]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G. Bernieri, M. Conti, F. Pascucci — IEEE SMC, 2019.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SDN redirects data-integrity attacks to a process-modelling honeypot — a concrete ICS honeypot design referenced by the anchor survey.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r0g10hykzhafqajnrwzos">
        <w:r>
          <w:rPr>
            <w:rStyle w:val="Hyperlink"/>
            <w:sz w:val="19"/>
            <w:szCs w:val="19"/>
          </w:rPr>
          <w:t xml:space="preserve">https://www.sciencedirect.com/science/article/pii/S1874548223000288</w:t>
        </w:r>
      </w:hyperlink>
    </w:p>
    <w:p>
      <w:pPr>
        <w:pStyle w:val="Heading1"/>
        <w:spacing w:after="130" w:before="340"/>
      </w:pPr>
      <w:r>
        <w:rPr>
          <w:b/>
          <w:bCs/>
          <w:color w:val="1F3864"/>
          <w:sz w:val="30"/>
          <w:szCs w:val="30"/>
        </w:rPr>
        <w:t xml:space="preserve">Theme 7 — Moving Target Defense (MTD)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Proactive obfuscation that complements reactive filtering; strongest evidence base is in the smart-grid subdomain.</w:t>
      </w:r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23.  </w:t>
      </w:r>
      <w:r>
        <w:rPr>
          <w:b/>
          <w:bCs/>
          <w:sz w:val="22"/>
          <w:szCs w:val="22"/>
        </w:rPr>
        <w:t xml:space="preserve">Survey of Moving Target Defense in Power Grids: Design Principles, Tradeoffs, and Future Directions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arXiv:2409.18317, 2024.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The most complete recent MTD survey for critical infrastructure. Read for design principles and the cost/effectiveness trade-offs that any reactive-MTD trigger must respect.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ivkihdybgf-bcni0alyx4">
        <w:r>
          <w:rPr>
            <w:rStyle w:val="Hyperlink"/>
            <w:sz w:val="19"/>
            <w:szCs w:val="19"/>
          </w:rPr>
          <w:t xml:space="preserve">https://arxiv.org/pdf/2409.18317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24.  </w:t>
      </w:r>
      <w:r>
        <w:rPr>
          <w:b/>
          <w:bCs/>
          <w:sz w:val="22"/>
          <w:szCs w:val="22"/>
        </w:rPr>
        <w:t xml:space="preserve">CHAOS: An SDN-Based Moving Target Defense System</w:t>
      </w:r>
      <w:r>
        <w:rPr>
          <w:b/>
          <w:bCs/>
          <w:color w:val="595959"/>
          <w:sz w:val="17"/>
          <w:szCs w:val="17"/>
        </w:rPr>
        <w:t xml:space="preserve">   [Reference]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Y. Shi et al. — Security and Communication Networks, 2017.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Widely cited SDN MTD implementation (host/port/path obfuscation) — the canonical mechanism reference.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5akalhdyzv7ewi3icacj6">
        <w:r>
          <w:rPr>
            <w:rStyle w:val="Hyperlink"/>
            <w:sz w:val="19"/>
            <w:szCs w:val="19"/>
          </w:rPr>
          <w:t xml:space="preserve">https://www.hindawi.com/journals/scn/2017/3659167/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25.  </w:t>
      </w:r>
      <w:r>
        <w:rPr>
          <w:b/>
          <w:bCs/>
          <w:sz w:val="22"/>
          <w:szCs w:val="22"/>
        </w:rPr>
        <w:t xml:space="preserve">Leveraging Network Reconfiguration to Mitigate Stealthy FDI Attacks in Smart Grid SCADA Systems</w:t>
      </w:r>
      <w:r>
        <w:rPr>
          <w:b/>
          <w:bCs/>
          <w:color w:val="595959"/>
          <w:sz w:val="17"/>
          <w:szCs w:val="17"/>
        </w:rPr>
        <w:t xml:space="preserve">   [Reference]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Springer, 2025.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Reactive reconfiguration that defeats a large share of stealthy false-data-injection attacks while preserving performance — a survivability response worth emulating.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1hnisl8hqdkayfxh60i4e">
        <w:r>
          <w:rPr>
            <w:rStyle w:val="Hyperlink"/>
            <w:sz w:val="19"/>
            <w:szCs w:val="19"/>
          </w:rPr>
          <w:t xml:space="preserve">https://link.springer.com/chapter/10.1007/978-3-032-01904-2_19</w:t>
        </w:r>
      </w:hyperlink>
    </w:p>
    <w:p>
      <w:pPr>
        <w:pStyle w:val="Heading1"/>
        <w:spacing w:after="130" w:before="340"/>
      </w:pPr>
      <w:r>
        <w:rPr>
          <w:b/>
          <w:bCs/>
          <w:color w:val="1F3864"/>
          <w:sz w:val="30"/>
          <w:szCs w:val="30"/>
        </w:rPr>
        <w:t xml:space="preserve">Theme 8 — Zero Trust &amp; micro-segmentation for OT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The dominant industry architecture direction; SDN is the natural enforcement substrate for dynamic, identity-aware segmentation.</w:t>
      </w:r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26.  </w:t>
      </w:r>
      <w:r>
        <w:rPr>
          <w:b/>
          <w:bCs/>
          <w:sz w:val="22"/>
          <w:szCs w:val="22"/>
        </w:rPr>
        <w:t xml:space="preserve">The Journey to Zero Trust Microsegmentation (CISA guidance)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U.S. CISA, 2025.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Authoritative professional/industry guidance. Grounds our device-aware policy in the zero-trust framing regulators and asset owners now expect — important for real-world relevance.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pwsytbseeoi1szwwzkgof">
        <w:r>
          <w:rPr>
            <w:rStyle w:val="Hyperlink"/>
            <w:sz w:val="19"/>
            <w:szCs w:val="19"/>
          </w:rPr>
          <w:t xml:space="preserve">https://www.cisa.gov/sites/default/files/2025-07/ZT-Microsegmentation-Guidance-Part-One_508c.pdf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27.  </w:t>
      </w:r>
      <w:r>
        <w:rPr>
          <w:b/>
          <w:bCs/>
          <w:sz w:val="22"/>
          <w:szCs w:val="22"/>
        </w:rPr>
        <w:t xml:space="preserve">Zero Trust Architecture: A Systematic Literature Review</w:t>
      </w:r>
      <w:r>
        <w:rPr>
          <w:b/>
          <w:bCs/>
          <w:color w:val="595959"/>
          <w:sz w:val="17"/>
          <w:szCs w:val="17"/>
        </w:rPr>
        <w:t xml:space="preserve">   [Reference]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arXiv:2503.11659, 2025.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Academic mapping of ZTA — positions dynamic, per-flow SDN enforcement within the broader zero-trust research landscape.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o12z96bca5oo4qznixr8p">
        <w:r>
          <w:rPr>
            <w:rStyle w:val="Hyperlink"/>
            <w:sz w:val="19"/>
            <w:szCs w:val="19"/>
          </w:rPr>
          <w:t xml:space="preserve">https://arxiv.org/pdf/2503.11659</w:t>
        </w:r>
      </w:hyperlink>
    </w:p>
    <w:p>
      <w:pPr>
        <w:pStyle w:val="Heading1"/>
        <w:spacing w:after="130" w:before="340"/>
      </w:pPr>
      <w:r>
        <w:rPr>
          <w:b/>
          <w:bCs/>
          <w:color w:val="1F3864"/>
          <w:sz w:val="30"/>
          <w:szCs w:val="30"/>
        </w:rPr>
        <w:t xml:space="preserve">Theme 9 — Deterministic security &amp; Time-Sensitive Networking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The constraint that separates ICS from IT security: responses must not break bounded latency. TSN + SDN is the emerging way to guarantee it.</w:t>
      </w:r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28.  </w:t>
      </w:r>
      <w:r>
        <w:rPr>
          <w:b/>
          <w:bCs/>
          <w:sz w:val="22"/>
          <w:szCs w:val="22"/>
        </w:rPr>
        <w:t xml:space="preserve">Software-Defined Time-Sensitive Networking for Cross-Domain Deterministic Transmission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MDPI Electronics, 13(7):1246, 2024.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Shows how SDN and TSN combine to keep latency bounded — essential if our reactive rule changes must not violate control-loop deadlines.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-g0ekrew7te0q-liaeyqb">
        <w:r>
          <w:rPr>
            <w:rStyle w:val="Hyperlink"/>
            <w:sz w:val="19"/>
            <w:szCs w:val="19"/>
          </w:rPr>
          <w:t xml:space="preserve">https://www.mdpi.com/2079-9292/13/7/1246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29.  </w:t>
      </w:r>
      <w:r>
        <w:rPr>
          <w:b/>
          <w:bCs/>
          <w:sz w:val="22"/>
          <w:szCs w:val="22"/>
        </w:rPr>
        <w:t xml:space="preserve">Time-Sensitive Networking for Industrial Automation: Current Advances and Future Directions</w:t>
      </w:r>
      <w:r>
        <w:rPr>
          <w:b/>
          <w:bCs/>
          <w:color w:val="595959"/>
          <w:sz w:val="17"/>
          <w:szCs w:val="17"/>
        </w:rPr>
        <w:t xml:space="preserve">   [Reference]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ACM Computing Surveys, 2024 — doi:10.1145/3695248.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Comprehensive TSN survey; use to argue and quantify the real-time envelope our security actions operate within.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ze5kwwt8imkotcit5ktel">
        <w:r>
          <w:rPr>
            <w:rStyle w:val="Hyperlink"/>
            <w:sz w:val="19"/>
            <w:szCs w:val="19"/>
          </w:rPr>
          <w:t xml:space="preserve">https://dl.acm.org/doi/10.1145/3695248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30.  </w:t>
      </w:r>
      <w:r>
        <w:rPr>
          <w:b/>
          <w:bCs/>
          <w:sz w:val="22"/>
          <w:szCs w:val="22"/>
        </w:rPr>
        <w:t xml:space="preserve">P4-PSFP: P4-Based Per-Stream Filtering and Policing for Time-Sensitive Networking</w:t>
      </w:r>
      <w:r>
        <w:rPr>
          <w:b/>
          <w:bCs/>
          <w:color w:val="595959"/>
          <w:sz w:val="17"/>
          <w:szCs w:val="17"/>
        </w:rPr>
        <w:t xml:space="preserve">   [Reference]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arXiv:2311.07385, 2023.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Marries P4 data-plane enforcement with TSN policing — a template for security filtering that is deterministic by construction.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-dloewcc1exlvtlfqd3e2">
        <w:r>
          <w:rPr>
            <w:rStyle w:val="Hyperlink"/>
            <w:sz w:val="19"/>
            <w:szCs w:val="19"/>
          </w:rPr>
          <w:t xml:space="preserve">https://arxiv.org/pdf/2311.07385</w:t>
        </w:r>
      </w:hyperlink>
    </w:p>
    <w:p>
      <w:pPr>
        <w:pStyle w:val="Heading1"/>
        <w:spacing w:after="130" w:before="340"/>
      </w:pPr>
      <w:r>
        <w:rPr>
          <w:b/>
          <w:bCs/>
          <w:color w:val="1F3864"/>
          <w:sz w:val="30"/>
          <w:szCs w:val="30"/>
        </w:rPr>
        <w:t xml:space="preserve">Theme 10 — Resilient control plane, datasets &amp; testbeds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Making the controller trustworthy under attack, and evaluating the whole system credibly.</w:t>
      </w:r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31.  </w:t>
      </w:r>
      <w:r>
        <w:rPr>
          <w:b/>
          <w:bCs/>
          <w:sz w:val="22"/>
          <w:szCs w:val="22"/>
        </w:rPr>
        <w:t xml:space="preserve">Intrusion Tolerance for Networked Systems through Two-Level Feedback Control</w:t>
      </w:r>
      <w:r>
        <w:rPr>
          <w:b/>
          <w:bCs/>
          <w:color w:val="2E5496"/>
          <w:sz w:val="17"/>
          <w:szCs w:val="17"/>
        </w:rPr>
        <w:t xml:space="preserve">   [High]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K. Hammar, R. Stadler — arXiv:2404.01741, 2024.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Principled intrusion-tolerant control that keeps a system operating while compromised — directly relevant to keeping our reactive controller available and correct under attack.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xchjw9ctxpm1mksom3grd">
        <w:r>
          <w:rPr>
            <w:rStyle w:val="Hyperlink"/>
            <w:sz w:val="19"/>
            <w:szCs w:val="19"/>
          </w:rPr>
          <w:t xml:space="preserve">https://arxiv.org/pdf/2404.01741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32.  </w:t>
      </w:r>
      <w:r>
        <w:rPr>
          <w:b/>
          <w:bCs/>
          <w:sz w:val="22"/>
          <w:szCs w:val="22"/>
        </w:rPr>
        <w:t xml:space="preserve">ITC: Intrusion Tolerant Controller for multicontroller SDN architecture</w:t>
      </w:r>
      <w:r>
        <w:rPr>
          <w:b/>
          <w:bCs/>
          <w:color w:val="595959"/>
          <w:sz w:val="17"/>
          <w:szCs w:val="17"/>
        </w:rPr>
        <w:t xml:space="preserve">   [Reference]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Computers &amp; Security, Elsevier, 2023 — S0167404823002614.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Concrete intrusion-tolerant SDN controller design; the resilience building block for a reactive control plane.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7arqzbijkrphsdtuli23e">
        <w:r>
          <w:rPr>
            <w:rStyle w:val="Hyperlink"/>
            <w:sz w:val="19"/>
            <w:szCs w:val="19"/>
          </w:rPr>
          <w:t xml:space="preserve">https://www.sciencedirect.com/science/article/abs/pii/S0167404823002614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33.  </w:t>
      </w:r>
      <w:r>
        <w:rPr>
          <w:b/>
          <w:bCs/>
          <w:sz w:val="22"/>
          <w:szCs w:val="22"/>
        </w:rPr>
        <w:t xml:space="preserve">SWaT, WADI and HAI ICS security datasets / testbeds (iTrust, Singapore)</w:t>
      </w:r>
      <w:r>
        <w:rPr>
          <w:b/>
          <w:bCs/>
          <w:color w:val="1E7145"/>
          <w:sz w:val="17"/>
          <w:szCs w:val="17"/>
        </w:rPr>
        <w:t xml:space="preserve">   [Essential]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Secure Water Treatment (SWaT), Water Distribution (WADI), HIL-Augmented ICS (HAI).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The de-facto benchmarks for ICS security. Use for repeatable, comparable evaluation; note their limitation (offline, detection-oriented) which motivates our closed-loop testbed.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zgg1qnyux4ml5piy1qlgj">
        <w:r>
          <w:rPr>
            <w:rStyle w:val="Hyperlink"/>
            <w:sz w:val="19"/>
            <w:szCs w:val="19"/>
          </w:rPr>
          <w:t xml:space="preserve">https://itrust.sutd.edu.sg/itrust-labs_datasets/</w:t>
        </w:r>
      </w:hyperlink>
    </w:p>
    <w:p>
      <w:pPr>
        <w:spacing w:after="30" w:before="130"/>
      </w:pPr>
      <w:r>
        <w:rPr>
          <w:b/>
          <w:bCs/>
          <w:color w:val="1F3864"/>
          <w:sz w:val="22"/>
          <w:szCs w:val="22"/>
        </w:rPr>
        <w:t xml:space="preserve">34.  </w:t>
      </w:r>
      <w:r>
        <w:rPr>
          <w:b/>
          <w:bCs/>
          <w:sz w:val="22"/>
          <w:szCs w:val="22"/>
        </w:rPr>
        <w:t xml:space="preserve">MiniCPS: A Toolkit for Security Research on CPS Networks</w:t>
      </w:r>
      <w:r>
        <w:rPr>
          <w:b/>
          <w:bCs/>
          <w:color w:val="595959"/>
          <w:sz w:val="17"/>
          <w:szCs w:val="17"/>
        </w:rPr>
        <w:t xml:space="preserve">   [Reference]</w:t>
      </w:r>
    </w:p>
    <w:p>
      <w:pPr>
        <w:spacing w:after="30"/>
        <w:ind w:left="300"/>
      </w:pPr>
      <w:r>
        <w:rPr>
          <w:i/>
          <w:iCs/>
          <w:color w:val="595959"/>
          <w:sz w:val="20"/>
          <w:szCs w:val="20"/>
        </w:rPr>
        <w:t xml:space="preserve">D. Antonioli, N. O. Tippenhauer — ACM CPS-SPC, 2015.</w:t>
      </w:r>
    </w:p>
    <w:p>
      <w:pPr>
        <w:spacing w:after="30"/>
        <w:ind w:left="300"/>
        <w:jc w:val="both"/>
      </w:pPr>
      <w:r>
        <w:rPr>
          <w:b/>
          <w:bCs/>
          <w:color w:val="2E5496"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The emulation backbone (used by Piedrahita et al.) for building a Ryu + Mininet + Modbus reactive testbed with realistic physical-process behaviour.</w:t>
      </w:r>
    </w:p>
    <w:p>
      <w:pPr>
        <w:spacing w:after="120"/>
        <w:ind w:left="300"/>
      </w:pPr>
      <w:r>
        <w:rPr>
          <w:color w:val="595959"/>
          <w:sz w:val="19"/>
          <w:szCs w:val="19"/>
        </w:rPr>
        <w:t xml:space="preserve">Link: </w:t>
      </w:r>
      <w:hyperlink w:history="1" r:id="rIdac3vizi5fne4frv2balpt">
        <w:r>
          <w:rPr>
            <w:rStyle w:val="Hyperlink"/>
            <w:sz w:val="19"/>
            <w:szCs w:val="19"/>
          </w:rPr>
          <w:t xml:space="preserve">https://dl.acm.org/doi/10.1145/2808705.2808715</w:t>
        </w:r>
      </w:hyperlink>
    </w:p>
    <w:p>
      <w:pPr>
        <w:pStyle w:val="Heading1"/>
        <w:spacing w:after="130" w:before="340"/>
      </w:pPr>
      <w:r>
        <w:rPr>
          <w:b/>
          <w:bCs/>
          <w:color w:val="1F3864"/>
          <w:sz w:val="30"/>
          <w:szCs w:val="30"/>
        </w:rPr>
        <w:t xml:space="preserve">Literature &amp; market gap analysis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Across all ten themes a consistent asymmetry appears. An enormous, still-growing body of work — much of it reporting near-perfect accuracy on SWaT/WADI/HAI — is devoted to </w:t>
      </w:r>
      <w:r>
        <w:rPr>
          <w:i/>
          <w:iCs/>
          <w:sz w:val="22"/>
          <w:szCs w:val="22"/>
        </w:rPr>
        <w:t xml:space="preserve">detecting</w:t>
      </w:r>
      <w:r>
        <w:rPr>
          <w:sz w:val="22"/>
          <w:szCs w:val="22"/>
        </w:rPr>
        <w:t xml:space="preserve"> attacks. Far less work addresses the harder, higher-value question our project targets: given a detection, what network action should the controller take, and how do we guarantee that action does not itself harm the physical process? The professional/industry signal points the same way — OT ransomware rose ~87% in 2024 and internet-exposed ICS devices keep climbing, so asset owners increasingly need automated </w:t>
      </w:r>
      <w:r>
        <w:rPr>
          <w:i/>
          <w:iCs/>
          <w:sz w:val="22"/>
          <w:szCs w:val="22"/>
        </w:rPr>
        <w:t xml:space="preserve">response</w:t>
      </w:r>
      <w:r>
        <w:rPr>
          <w:sz w:val="22"/>
          <w:szCs w:val="22"/>
        </w:rPr>
        <w:t xml:space="preserve">, not more alerts. The table below summarizes the white space.</w:t>
      </w:r>
    </w:p>
    <w:p>
      <w:pPr>
        <w:spacing w:after="120"/>
      </w:pPr>
    </w:p>
    <w:tbl>
      <w:tblPr>
        <w:tblW w:type="dxa" w:w="870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CD4E2" w:sz="2"/>
          <w:insideV w:val="single" w:color="CCD4E2" w:sz="2"/>
        </w:tblBorders>
      </w:tblPr>
      <w:tblGrid>
        <w:gridCol w:w="3050"/>
        <w:gridCol w:w="3550"/>
        <w:gridCol w:w="2100"/>
      </w:tblGrid>
      <w:tr>
        <w:trPr>
          <w:tblHeader/>
        </w:trPr>
        <w:tc>
          <w:tcPr>
            <w:tcW w:type="dxa" w:w="30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Well covered in the literature</w:t>
            </w:r>
          </w:p>
        </w:tc>
        <w:tc>
          <w:tcPr>
            <w:tcW w:type="dxa" w:w="35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Under-served gap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Opportunity for us</w:t>
            </w:r>
          </w:p>
        </w:tc>
      </w:tr>
      <w:tr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Detecting attacks (ML/DL/GNN IDS on SWaT/WADI); very high reported accuracy.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Turning a detection into a SAFE, automated network action that respects the physical process.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Safety-constrained response engine.</w:t>
            </w:r>
          </w:p>
        </w:tc>
      </w:tr>
      <w:tr>
        <w:tc>
          <w:tcPr>
            <w:tcW w:type="dxa" w:w="3050"/>
            <w:shd w:fill="ED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SDN blocking / redirection / honeypot primitives demonstrated individually.</w:t>
            </w:r>
          </w:p>
        </w:tc>
        <w:tc>
          <w:tcPr>
            <w:tcW w:type="dxa" w:w="3550"/>
            <w:shd w:fill="ED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unified controller that ingests events from ANY external source and selects device-aware responses.</w:t>
            </w:r>
          </w:p>
        </w:tc>
        <w:tc>
          <w:tcPr>
            <w:tcW w:type="dxa" w:w="2100"/>
            <w:shd w:fill="ED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Source-agnostic event API + policy engine.</w:t>
            </w:r>
          </w:p>
        </w:tc>
      </w:tr>
      <w:tr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Honeypots &amp; MTD as standalone tactics; LLM-enriched deception emerging.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Orchestrating multiple responses (block, mirror, redirect, re-route, deceive) under one risk-aware policy.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 orchestration layer.</w:t>
            </w:r>
          </w:p>
        </w:tc>
      </w:tr>
      <w:tr>
        <w:tc>
          <w:tcPr>
            <w:tcW w:type="dxa" w:w="3050"/>
            <w:shd w:fill="ED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Control-plane logic and cloud/NFV analytics.</w:t>
            </w:r>
          </w:p>
        </w:tc>
        <w:tc>
          <w:tcPr>
            <w:tcW w:type="dxa" w:w="3550"/>
            <w:shd w:fill="ED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Line-rate enforcement on the switch (P4) coupled to slower controller reasoning.</w:t>
            </w:r>
          </w:p>
        </w:tc>
        <w:tc>
          <w:tcPr>
            <w:tcW w:type="dxa" w:w="2100"/>
            <w:shd w:fill="ED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Hybrid data-plane / control-plane loop.</w:t>
            </w:r>
          </w:p>
        </w:tc>
      </w:tr>
      <w:tr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Controller single-point-of-failure noted; BFT/multi-controller in generic SDN.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Reactive ICS response that stays available and correct while the controller itself is attacked.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Resilient reactive control plane.</w:t>
            </w:r>
          </w:p>
        </w:tc>
      </w:tr>
      <w:tr>
        <w:tc>
          <w:tcPr>
            <w:tcW w:type="dxa" w:w="3050"/>
            <w:shd w:fill="ED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accuracy on offline datasets.</w:t>
            </w:r>
          </w:p>
        </w:tc>
        <w:tc>
          <w:tcPr>
            <w:tcW w:type="dxa" w:w="3550"/>
            <w:shd w:fill="ED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Real-time closed-loop evaluation with detection-to-mitigation latency and safety metrics.</w:t>
            </w:r>
          </w:p>
        </w:tc>
        <w:tc>
          <w:tcPr>
            <w:tcW w:type="dxa" w:w="2100"/>
            <w:shd w:fill="ED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Reproducible closed-loop testbed.</w:t>
            </w:r>
          </w:p>
        </w:tc>
      </w:tr>
    </w:tbl>
    <w:p>
      <w:pPr>
        <w:spacing w:after="140"/>
      </w:pPr>
    </w:p>
    <w:p>
      <w:pPr>
        <w:spacing w:after="130" w:line="274"/>
        <w:jc w:val="both"/>
      </w:pPr>
      <w:r>
        <w:rPr>
          <w:sz w:val="22"/>
          <w:szCs w:val="22"/>
        </w:rPr>
        <w:t xml:space="preserve">Five gaps stand out as genuinely under-served and defensible: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The response gap. </w:t>
      </w:r>
      <w:r>
        <w:rPr>
          <w:sz w:val="22"/>
          <w:szCs w:val="22"/>
        </w:rPr>
        <w:t xml:space="preserve">Detection is commoditized; safe, automated, reversible response in ICS is not. Only Piedrahita et al. and a handful of others treat process safety as a first-class constraint on the action.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Source-agnostic orchestration. </w:t>
      </w:r>
      <w:r>
        <w:rPr>
          <w:sz w:val="22"/>
          <w:szCs w:val="22"/>
        </w:rPr>
        <w:t xml:space="preserve">Systems bind to one detector and one response. A controller that ingests standardized events from any external service and orchestrates block / mirror / redirect / re-route / deceive under one risk-aware policy does not yet exist for ICS.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Hybrid data-plane / control-plane loops. </w:t>
      </w:r>
      <w:r>
        <w:rPr>
          <w:sz w:val="22"/>
          <w:szCs w:val="22"/>
        </w:rPr>
        <w:t xml:space="preserve">P4 line-rate enforcement and controller-level reasoning are studied separately; coupling fast in-network mitigation to slower, smarter controller decisions is largely open.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Twin-validated, safety-constrained automation. </w:t>
      </w:r>
      <w:r>
        <w:rPr>
          <w:sz w:val="22"/>
          <w:szCs w:val="22"/>
        </w:rPr>
        <w:t xml:space="preserve">Digital twins are used for detection, rarely to pre-validate a response before it touches the live process — a concrete way to make automation trustworthy.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Closed-loop, real-time evaluation. </w:t>
      </w:r>
      <w:r>
        <w:rPr>
          <w:sz w:val="22"/>
          <w:szCs w:val="22"/>
        </w:rPr>
        <w:t xml:space="preserve">The field evaluates on offline datasets; detection-to-mitigation latency, process-safety preservation, and controller resilience under attack are seldom measured together.</w:t>
      </w:r>
    </w:p>
    <w:p>
      <w:pPr>
        <w:pStyle w:val="Heading1"/>
        <w:spacing w:after="130" w:before="340"/>
      </w:pPr>
      <w:r>
        <w:rPr>
          <w:b/>
          <w:bCs/>
          <w:color w:val="1F3864"/>
          <w:sz w:val="30"/>
          <w:szCs w:val="30"/>
        </w:rPr>
        <w:t xml:space="preserve">Where we can innovate — differentiated directions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Synthesizing the gaps into buildable, publishable contributions for this project: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A safety-constrained reactive response engine. </w:t>
      </w:r>
      <w:r>
        <w:rPr>
          <w:sz w:val="22"/>
          <w:szCs w:val="22"/>
        </w:rPr>
        <w:t xml:space="preserve">Formalize response selection (à la Hammar's optimal-response work) with an explicit ICS safety envelope, so an automated action is only applied if it provably keeps the process within safe bounds — otherwise it degrades gracefully (mirror/redirect instead of block).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A source-agnostic event-to-action API + policy engine on Ryu. </w:t>
      </w:r>
      <w:r>
        <w:rPr>
          <w:sz w:val="22"/>
          <w:szCs w:val="22"/>
        </w:rPr>
        <w:t xml:space="preserve">Standardize the interface so any IDS/asset-discovery/anomaly service can drive the controller, and make responses device-aware (block an unseen device; redirect a critical service) — the exact behaviour in the project's problem statement, generalized.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A hybrid enforcement loop. </w:t>
      </w:r>
      <w:r>
        <w:rPr>
          <w:sz w:val="22"/>
          <w:szCs w:val="22"/>
        </w:rPr>
        <w:t xml:space="preserve">Push allowlist/rate-limit filtering to a P4 data plane for line-rate, deterministic mitigation, while the Ryu controller performs slower risk-aware reasoning and updates the fast path — meeting TSN-style latency budgets.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Twin-in-the-loop response validation. </w:t>
      </w:r>
      <w:r>
        <w:rPr>
          <w:sz w:val="22"/>
          <w:szCs w:val="22"/>
        </w:rPr>
        <w:t xml:space="preserve">Before committing a disruptive action, simulate it on a lightweight digital twin/MiniCPS model and apply only if the predicted process state stays safe — turning digital twins from a detection aid into a safety gate.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Orchestrated, escalating deception. </w:t>
      </w:r>
      <w:r>
        <w:rPr>
          <w:sz w:val="22"/>
          <w:szCs w:val="22"/>
        </w:rPr>
        <w:t xml:space="preserve">Extend redirect-to-honeypot with on-demand, LLM-enriched decoys, escalated by policy — combining Themes 3 and 6 into a graduated response ladder rather than a binary allow/block.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  <w:sz w:val="22"/>
          <w:szCs w:val="22"/>
        </w:rPr>
        <w:t xml:space="preserve">A resilient reactive control plane + a closed-loop benchmark. </w:t>
      </w:r>
      <w:r>
        <w:rPr>
          <w:sz w:val="22"/>
          <w:szCs w:val="22"/>
        </w:rPr>
        <w:t xml:space="preserve">Pair the reactive logic with intrusion-tolerant control so it survives attacks on the controller itself, and publish a reproducible testbed that measures detection-to-mitigation latency, safety preservation, and resilience together — a contribution the community currently lacks.</w:t>
      </w:r>
    </w:p>
    <w:p>
      <w:pPr>
        <w:spacing w:after="130" w:line="274"/>
        <w:jc w:val="both"/>
      </w:pPr>
      <w:r>
        <w:rPr>
          <w:b/>
          <w:bCs/>
          <w:sz w:val="22"/>
          <w:szCs w:val="22"/>
        </w:rPr>
        <w:t xml:space="preserve">Highest-leverage single thesis: </w:t>
      </w:r>
      <w:r>
        <w:rPr>
          <w:sz w:val="22"/>
          <w:szCs w:val="22"/>
        </w:rPr>
        <w:t xml:space="preserve">a safety-constrained, source-agnostic reactive SDN controller on Ryu that validates each response against a digital twin and enforces at the P4 data plane. It sits precisely in the intersection of the five gaps above — novel, feasible on the existing Ryu/Mininet/MiniCPS toolchain, and directly aligned with the project's stated objective.</w:t>
      </w:r>
    </w:p>
    <w:p>
      <w:pPr>
        <w:pStyle w:val="Heading1"/>
        <w:spacing w:after="130" w:before="340"/>
      </w:pPr>
      <w:r>
        <w:rPr>
          <w:b/>
          <w:bCs/>
          <w:color w:val="1F3864"/>
          <w:sz w:val="30"/>
          <w:szCs w:val="30"/>
        </w:rPr>
        <w:t xml:space="preserve">Suggested reading order</w:t>
      </w:r>
    </w:p>
    <w:p>
      <w:pPr>
        <w:spacing w:after="130" w:line="274"/>
        <w:jc w:val="both"/>
      </w:pPr>
      <w:r>
        <w:rPr>
          <w:sz w:val="22"/>
          <w:szCs w:val="22"/>
        </w:rPr>
        <w:t xml:space="preserve">If time is limited, read in this sequence: (1) the Etxezarreta survey for the map; (2) Piedrahita et al. for the closest prior system; (3) the 2025 ML/DL-for-SDN systematic review for the AI frontier; (4) Hammar's optimal-response work for the theory of safe response; (5) P4Control and the industrial-P4 paper for line-rate enforcement; (6) TwinSec-IDS and the ARES digital-twin incident-response paper for twin-in-the-loop; (7) the reactive-deception paper for the redirect branch; then skim the remaining themes as needed. Everything above is captured in the project README status so you can track what you have read.</w:t>
      </w:r>
    </w:p>
    <w:p>
      <w:pPr>
        <w:spacing w:before="220"/>
      </w:pPr>
      <w:r>
        <w:rPr>
          <w:i/>
          <w:iCs/>
          <w:color w:val="595959"/>
          <w:sz w:val="18"/>
          <w:szCs w:val="18"/>
        </w:rPr>
        <w:t xml:space="preserve">Sourcing note: entries were gathered via a structured web sweep across ten sub-domains (July 2026). Venue/year are given as found; verify exact bibliographic details against the publisher of record before formal citation. A few items are attributed via the Etxezarreta et al. (2023) survey where the original is paywalled.</w:t>
      </w:r>
    </w:p>
    <w:sectPr>
      <w:headerReference w:type="default" r:id="rId7"/>
      <w:footerReference w:type="default" r:id="rId8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2" w:sz="4"/>
      </w:pBdr>
      <w:jc w:val="right"/>
    </w:pPr>
    <w:r>
      <w:rPr>
        <w:i/>
        <w:iCs/>
        <w:color w:val="595959"/>
        <w:sz w:val="16"/>
        <w:szCs w:val="16"/>
      </w:rPr>
      <w:t xml:space="preserve">Reactive SDN for ICS · Reading List &amp; Gap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oqrobbuqgwj_flaw2rxh" Type="http://schemas.openxmlformats.org/officeDocument/2006/relationships/hyperlink" Target="https://www.sciencedirect.com/science/article/pii/S1874548223000288" TargetMode="External"/><Relationship Id="rId1ixs0ss-irbsr30vsqhlu" Type="http://schemas.openxmlformats.org/officeDocument/2006/relationships/hyperlink" Target="https://link.springer.com/article/10.1007/s10207-025-01114-z" TargetMode="External"/><Relationship Id="rIdeuwafqa5kgfb_rkuodze-" Type="http://schemas.openxmlformats.org/officeDocument/2006/relationships/hyperlink" Target="https://link.springer.com/article/10.1007/s10844-022-00753-1" TargetMode="External"/><Relationship Id="rId5l5ycdbrubgi-68bew0k9" Type="http://schemas.openxmlformats.org/officeDocument/2006/relationships/hyperlink" Target="https://nvlpubs.nist.gov/nistpubs/specialpublications/nist.sp.800-82r2.pdf" TargetMode="External"/><Relationship Id="rId85ecdecltogwm7ai4cgr4" Type="http://schemas.openxmlformats.org/officeDocument/2006/relationships/hyperlink" Target="https://www.scitepress.org/Papers/2019/73595/73595.pdf" TargetMode="External"/><Relationship Id="rIdih89fzu_evl4fdjre48fs" Type="http://schemas.openxmlformats.org/officeDocument/2006/relationships/hyperlink" Target="https://dl.acm.org/doi/10.1145/3309194.3309199" TargetMode="External"/><Relationship Id="rIdekaxa6j13qvsnjfxd0lo1" Type="http://schemas.openxmlformats.org/officeDocument/2006/relationships/hyperlink" Target="https://www.sciencedirect.com/science/article/pii/S0140366425002099" TargetMode="External"/><Relationship Id="rIdr1hlviq88wt1xl88rcctj" Type="http://schemas.openxmlformats.org/officeDocument/2006/relationships/hyperlink" Target="https://www.nature.com/articles/s41598-025-24869-w" TargetMode="External"/><Relationship Id="rIdp1q0bxbd682-t3oi5mar-" Type="http://schemas.openxmlformats.org/officeDocument/2006/relationships/hyperlink" Target="https://arxiv.org/pdf/2502.02541" TargetMode="External"/><Relationship Id="rIdfsewtlr5hv07rtamqxl8o" Type="http://schemas.openxmlformats.org/officeDocument/2006/relationships/hyperlink" Target="https://www.nature.com/articles/s41598-026-37146-1" TargetMode="External"/><Relationship Id="rIduaoqltcv_dsgns9ydvkub" Type="http://schemas.openxmlformats.org/officeDocument/2006/relationships/hyperlink" Target="https://arxiv.org/pdf/2408.07583" TargetMode="External"/><Relationship Id="rId-ov8q3-c1qwcypwmx-ke8" Type="http://schemas.openxmlformats.org/officeDocument/2006/relationships/hyperlink" Target="https://pmc.ncbi.nlm.nih.gov/articles/PMC12929375/" TargetMode="External"/><Relationship Id="rIdjs4dqd4uulqxkdwcibuvo" Type="http://schemas.openxmlformats.org/officeDocument/2006/relationships/hyperlink" Target="https://arxiv.org/pdf/2405.14970" TargetMode="External"/><Relationship Id="rIdkmwfwfawxu5po2t8axozv" Type="http://schemas.openxmlformats.org/officeDocument/2006/relationships/hyperlink" Target="https://www.sciencedirect.com/science/article/pii/S1389128624002299" TargetMode="External"/><Relationship Id="rIdzlxizkehw6kc-h_koaibk" Type="http://schemas.openxmlformats.org/officeDocument/2006/relationships/hyperlink" Target="https://www.scienceopen.com/hosted-document?doi=10.14236/ewic/ICS2018.4" TargetMode="External"/><Relationship Id="rId3buyskuaemdifsgv6j63b" Type="http://schemas.openxmlformats.org/officeDocument/2006/relationships/hyperlink" Target="https://arxiv.org/pdf/2601.07536" TargetMode="External"/><Relationship Id="rIdyymgcrpee6bbdmt-g9qhh" Type="http://schemas.openxmlformats.org/officeDocument/2006/relationships/hyperlink" Target="https://onlinelibrary.wiley.com/doi/10.1002/cpe.8334" TargetMode="External"/><Relationship Id="rId4rvytrela6cwtexddwtar" Type="http://schemas.openxmlformats.org/officeDocument/2006/relationships/hyperlink" Target="https://dl.acm.org/doi/10.1145/3600160.3600195" TargetMode="External"/><Relationship Id="rIdzjrr7sscf4fhn5dmjd1y9" Type="http://schemas.openxmlformats.org/officeDocument/2006/relationships/hyperlink" Target="https://www.mdpi.com/1424-8220/25/16/4963" TargetMode="External"/><Relationship Id="rIdzu-rrarrtr3zayv7uich7" Type="http://schemas.openxmlformats.org/officeDocument/2006/relationships/hyperlink" Target="https://www.sciencedirect.com/science/article/pii/S138912862600215X" TargetMode="External"/><Relationship Id="rId8fhx5ustwg8a3qv4qvnqr" Type="http://schemas.openxmlformats.org/officeDocument/2006/relationships/hyperlink" Target="https://www.ncbi.nlm.nih.gov/pmc/articles/PMC12816736/" TargetMode="External"/><Relationship Id="rIdr0g10hykzhafqajnrwzos" Type="http://schemas.openxmlformats.org/officeDocument/2006/relationships/hyperlink" Target="https://www.sciencedirect.com/science/article/pii/S1874548223000288" TargetMode="External"/><Relationship Id="rIdivkihdybgf-bcni0alyx4" Type="http://schemas.openxmlformats.org/officeDocument/2006/relationships/hyperlink" Target="https://arxiv.org/pdf/2409.18317" TargetMode="External"/><Relationship Id="rId5akalhdyzv7ewi3icacj6" Type="http://schemas.openxmlformats.org/officeDocument/2006/relationships/hyperlink" Target="https://www.hindawi.com/journals/scn/2017/3659167/" TargetMode="External"/><Relationship Id="rId1hnisl8hqdkayfxh60i4e" Type="http://schemas.openxmlformats.org/officeDocument/2006/relationships/hyperlink" Target="https://link.springer.com/chapter/10.1007/978-3-032-01904-2_19" TargetMode="External"/><Relationship Id="rIdpwsytbseeoi1szwwzkgof" Type="http://schemas.openxmlformats.org/officeDocument/2006/relationships/hyperlink" Target="https://www.cisa.gov/sites/default/files/2025-07/ZT-Microsegmentation-Guidance-Part-One_508c.pdf" TargetMode="External"/><Relationship Id="rIdo12z96bca5oo4qznixr8p" Type="http://schemas.openxmlformats.org/officeDocument/2006/relationships/hyperlink" Target="https://arxiv.org/pdf/2503.11659" TargetMode="External"/><Relationship Id="rId-g0ekrew7te0q-liaeyqb" Type="http://schemas.openxmlformats.org/officeDocument/2006/relationships/hyperlink" Target="https://www.mdpi.com/2079-9292/13/7/1246" TargetMode="External"/><Relationship Id="rIdze5kwwt8imkotcit5ktel" Type="http://schemas.openxmlformats.org/officeDocument/2006/relationships/hyperlink" Target="https://dl.acm.org/doi/10.1145/3695248" TargetMode="External"/><Relationship Id="rId-dloewcc1exlvtlfqd3e2" Type="http://schemas.openxmlformats.org/officeDocument/2006/relationships/hyperlink" Target="https://arxiv.org/pdf/2311.07385" TargetMode="External"/><Relationship Id="rIdxchjw9ctxpm1mksom3grd" Type="http://schemas.openxmlformats.org/officeDocument/2006/relationships/hyperlink" Target="https://arxiv.org/pdf/2404.01741" TargetMode="External"/><Relationship Id="rId7arqzbijkrphsdtuli23e" Type="http://schemas.openxmlformats.org/officeDocument/2006/relationships/hyperlink" Target="https://www.sciencedirect.com/science/article/abs/pii/S0167404823002614" TargetMode="External"/><Relationship Id="rIdzgg1qnyux4ml5piy1qlgj" Type="http://schemas.openxmlformats.org/officeDocument/2006/relationships/hyperlink" Target="https://itrust.sutd.edu.sg/itrust-labs_datasets/" TargetMode="External"/><Relationship Id="rIdac3vizi5fne4frv2balpt" Type="http://schemas.openxmlformats.org/officeDocument/2006/relationships/hyperlink" Target="https://dl.acm.org/doi/10.1145/2808705.2808715" TargetMode="External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Reactive SDN for ICS — Curated Reading List &amp; Gap Analysis</dc:title>
  <dc:creator>Reactive SDN for ICS — Research Project</dc:creator>
  <cp:lastModifiedBy>Un-named</cp:lastModifiedBy>
  <cp:revision>1</cp:revision>
  <dcterms:created xsi:type="dcterms:W3CDTF">2026-07-04T15:17:41.144Z</dcterms:created>
  <dcterms:modified xsi:type="dcterms:W3CDTF">2026-07-04T15:17:41.145Z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