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"/>
      </w:pPr>
    </w:p>
    <w:p>
      <w:pPr>
        <w:spacing w:after="50"/>
        <w:jc w:val="center"/>
      </w:pPr>
      <w:r>
        <w:rPr>
          <w:b/>
          <w:bCs/>
          <w:color w:val="1F3864"/>
          <w:sz w:val="38"/>
          <w:szCs w:val="38"/>
        </w:rPr>
        <w:t xml:space="preserve">6-Week Execution Plan</w:t>
      </w:r>
    </w:p>
    <w:p>
      <w:pPr>
        <w:spacing w:after="40"/>
        <w:jc w:val="center"/>
      </w:pPr>
      <w:r>
        <w:rPr>
          <w:i/>
          <w:iCs/>
          <w:color w:val="2E5496"/>
          <w:sz w:val="23"/>
          <w:szCs w:val="23"/>
        </w:rPr>
        <w:t xml:space="preserve">Project CARS — Reactive SDN for Securing ICS (working title)</w:t>
      </w:r>
    </w:p>
    <w:p>
      <w:pPr>
        <w:pBdr>
          <w:top w:val="single" w:color="1F3864" w:sz="6"/>
        </w:pBdr>
        <w:spacing w:after="40"/>
        <w:jc w:val="center"/>
      </w:pPr>
      <w:r>
        <w:t xml:space="preserve"/>
      </w:r>
    </w:p>
    <w:p>
      <w:pPr>
        <w:spacing w:after="180"/>
        <w:jc w:val="center"/>
      </w:pPr>
      <w:r>
        <w:rPr>
          <w:i/>
          <w:iCs/>
          <w:color w:val="595959"/>
          <w:sz w:val="19"/>
          <w:szCs w:val="19"/>
        </w:rPr>
        <w:t xml:space="preserve">Indicative dates Wk1 = Mon 6 Jul 2026 → submit ~16 Aug 2026 · anchor to your real deadline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29"/>
          <w:szCs w:val="29"/>
        </w:rPr>
        <w:t xml:space="preserve">1. Operating principles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b/>
          <w:bCs/>
          <w:sz w:val="22"/>
          <w:szCs w:val="22"/>
        </w:rPr>
        <w:t xml:space="preserve">Parallel streams, not phases-in-series. </w:t>
      </w:r>
      <w:r>
        <w:rPr>
          <w:sz w:val="22"/>
          <w:szCs w:val="22"/>
        </w:rPr>
        <w:t xml:space="preserve">Build, read, and write run concurrently every week. Writing starts Week 1 — never left to the end.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b/>
          <w:bCs/>
          <w:sz w:val="22"/>
          <w:szCs w:val="22"/>
        </w:rPr>
        <w:t xml:space="preserve">De-scope fidelity, never the contribution. </w:t>
      </w:r>
      <w:r>
        <w:rPr>
          <w:sz w:val="22"/>
          <w:szCs w:val="22"/>
        </w:rPr>
        <w:t xml:space="preserve">If behind, cut testbed richness via the ladder in §6. The CARS engine, the evaluation, and the write-up are protected.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b/>
          <w:bCs/>
          <w:sz w:val="22"/>
          <w:szCs w:val="22"/>
        </w:rPr>
        <w:t xml:space="preserve">Resolve the crux early. </w:t>
      </w:r>
      <w:r>
        <w:rPr>
          <w:sz w:val="22"/>
          <w:szCs w:val="22"/>
        </w:rPr>
        <w:t xml:space="preserve">CC-1 (conduit vs intra-zone scope) and CC-3 (how safety is proven) are settled in Week 1, before the engine is coded. CC-4 (does CARS add latency) is measured in Week 2.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b/>
          <w:bCs/>
          <w:sz w:val="22"/>
          <w:szCs w:val="22"/>
        </w:rPr>
        <w:t xml:space="preserve">Build outward from a working core. </w:t>
      </w:r>
      <w:r>
        <w:rPr>
          <w:sz w:val="22"/>
          <w:szCs w:val="22"/>
        </w:rPr>
        <w:t xml:space="preserve">Minimal reactive loop first (Week 1–2); fidelity layered on only once it works.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29"/>
          <w:szCs w:val="29"/>
        </w:rPr>
        <w:t xml:space="preserve">2. Timeline at a glance</w:t>
      </w:r>
    </w:p>
    <w:p>
      <w:pPr>
        <w:spacing w:after="80"/>
        <w:jc w:val="center"/>
      </w:pPr>
      <w:r>
        <w:drawing>
          <wp:inline distT="0" distB="0" distL="0" distR="0">
            <wp:extent cx="581025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50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CD4E2" w:sz="2"/>
          <w:insideV w:val="single" w:color="CCD4E2" w:sz="2"/>
        </w:tblBorders>
      </w:tblPr>
      <w:tblGrid>
        <w:gridCol w:w="900"/>
        <w:gridCol w:w="2500"/>
        <w:gridCol w:w="2200"/>
        <w:gridCol w:w="1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Week</w:t>
            </w:r>
          </w:p>
        </w:tc>
        <w:tc>
          <w:tcPr>
            <w:tcW w:type="dxa" w:w="2500"/>
            <w:shd w:fill="1F3864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Build</w:t>
            </w:r>
          </w:p>
        </w:tc>
        <w:tc>
          <w:tcPr>
            <w:tcW w:type="dxa" w:w="2200"/>
            <w:shd w:fill="1F3864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Read / Decide</w:t>
            </w:r>
          </w:p>
        </w:tc>
        <w:tc>
          <w:tcPr>
            <w:tcW w:type="dxa" w:w="1900"/>
            <w:shd w:fill="1F3864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9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W1</w:t>
            </w:r>
          </w:p>
        </w:tc>
        <w:tc>
          <w:tcPr>
            <w:tcW w:type="dxa" w:w="25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Devices ready; Phase A: Factory I/O + real PLC + Ignition HMI on flat OVS</w:t>
            </w:r>
          </w:p>
        </w:tc>
        <w:tc>
          <w:tcPr>
            <w:tcW w:type="dxa" w:w="22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Ph 0–2 deep; LOCK contribution; settle CC-1 &amp; CC-3</w:t>
            </w:r>
          </w:p>
        </w:tc>
        <w:tc>
          <w:tcPr>
            <w:tcW w:type="dxa" w:w="19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Skeleton + Intro + start Background</w:t>
            </w:r>
          </w:p>
        </w:tc>
      </w:tr>
      <w:tr>
        <w:tc>
          <w:tcPr>
            <w:tcW w:type="dxa" w:w="9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W2</w:t>
            </w:r>
          </w:p>
        </w:tc>
        <w:tc>
          <w:tcPr>
            <w:tcW w:type="dxa" w:w="25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Phase B (Ryu↔OVS; measure latency=CC-4); Ph C-lite (IDS→Event API; manual trigger→flow); historian+OPC UA</w:t>
            </w:r>
          </w:p>
        </w:tc>
        <w:tc>
          <w:tcPr>
            <w:tcW w:type="dxa" w:w="22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Safety cluster (Ph 8)</w:t>
            </w:r>
          </w:p>
        </w:tc>
        <w:tc>
          <w:tcPr>
            <w:tcW w:type="dxa" w:w="19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Methodology + Testbed chapter</w:t>
            </w:r>
          </w:p>
        </w:tc>
      </w:tr>
      <w:tr>
        <w:tc>
          <w:tcPr>
            <w:tcW w:type="dxa" w:w="9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W3</w:t>
            </w:r>
          </w:p>
        </w:tc>
        <w:tc>
          <w:tcPr>
            <w:tcW w:type="dxa" w:w="25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Phase D: CARS engine — criticality model + safety-constrained response + audit log</w:t>
            </w:r>
          </w:p>
        </w:tc>
        <w:tc>
          <w:tcPr>
            <w:tcW w:type="dxa" w:w="22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Taper (policy-checker, twin-IR)</w:t>
            </w:r>
          </w:p>
        </w:tc>
        <w:tc>
          <w:tcPr>
            <w:tcW w:type="dxa" w:w="19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Finish Lit Review; Design chapter</w:t>
            </w:r>
          </w:p>
        </w:tc>
      </w:tr>
      <w:tr>
        <w:tc>
          <w:tcPr>
            <w:tcW w:type="dxa" w:w="9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W4</w:t>
            </w:r>
          </w:p>
        </w:tc>
        <w:tc>
          <w:tcPr>
            <w:tcW w:type="dxa" w:w="25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Zones in GNS3 (pfSense×2, DMZ, corp) as time allows; Ph E attack suite; first metrics</w:t>
            </w:r>
          </w:p>
        </w:tc>
        <w:tc>
          <w:tcPr>
            <w:tcW w:type="dxa" w:w="22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GATE: Intro+Bg+Method drafted; Implementation ch.</w:t>
            </w:r>
          </w:p>
        </w:tc>
      </w:tr>
      <w:tr>
        <w:tc>
          <w:tcPr>
            <w:tcW w:type="dxa" w:w="9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W5</w:t>
            </w:r>
          </w:p>
        </w:tc>
        <w:tc>
          <w:tcPr>
            <w:tcW w:type="dxa" w:w="25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Ph E full run: scenario suite + operator metrics; analysis</w:t>
            </w:r>
          </w:p>
        </w:tc>
        <w:tc>
          <w:tcPr>
            <w:tcW w:type="dxa" w:w="22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Results + Analysis; Discussion</w:t>
            </w:r>
          </w:p>
        </w:tc>
      </w:tr>
      <w:tr>
        <w:tc>
          <w:tcPr>
            <w:tcW w:type="dxa" w:w="9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W6</w:t>
            </w:r>
          </w:p>
        </w:tc>
        <w:tc>
          <w:tcPr>
            <w:tcW w:type="dxa" w:w="25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Code freeze (bugfix only)</w:t>
            </w:r>
          </w:p>
        </w:tc>
        <w:tc>
          <w:tcPr>
            <w:tcW w:type="dxa" w:w="22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Cite-time checks (CHAOS id, NIST r3)</w:t>
            </w:r>
          </w:p>
        </w:tc>
        <w:tc>
          <w:tcPr>
            <w:tcW w:type="dxa" w:w="19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Conclusion, Abstract, polish, SUBMIT</w:t>
            </w:r>
          </w:p>
        </w:tc>
      </w:tr>
    </w:tbl>
    <w:p>
      <w:pPr>
        <w:pStyle w:val="Heading1"/>
        <w:spacing w:after="110" w:before="300"/>
      </w:pPr>
      <w:r>
        <w:rPr>
          <w:b/>
          <w:bCs/>
          <w:color w:val="1F3864"/>
          <w:sz w:val="29"/>
          <w:szCs w:val="29"/>
        </w:rPr>
        <w:t xml:space="preserve">3. Week-by-week detail</w:t>
      </w:r>
    </w:p>
    <w:p>
      <w:pPr>
        <w:pStyle w:val="Heading2"/>
        <w:spacing w:after="70" w:before="200"/>
      </w:pPr>
      <w:r>
        <w:rPr>
          <w:b/>
          <w:bCs/>
          <w:color w:val="2E5496"/>
          <w:sz w:val="24"/>
          <w:szCs w:val="24"/>
        </w:rPr>
        <w:t xml:space="preserve">Week 1 — Foundations &amp; the minimal loop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sz w:val="22"/>
          <w:szCs w:val="22"/>
        </w:rPr>
        <w:t xml:space="preserve">Complete the pre-build checklist; Phase A: PLC controls the Factory I/O process (S7 driver), visible on the Ignition HMI, all traffic through Open vSwitch on a single flat network.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b/>
          <w:bCs/>
          <w:sz w:val="22"/>
          <w:szCs w:val="22"/>
        </w:rPr>
        <w:t xml:space="preserve">Decide &amp; record: </w:t>
      </w:r>
      <w:r>
        <w:rPr>
          <w:sz w:val="22"/>
          <w:szCs w:val="22"/>
        </w:rPr>
        <w:t xml:space="preserve">lock the single contribution; resolve CC-1 (does CARS act only at conduits or also intra-zone?) and CC-3 (safety proven by envelope-invariant check and/or twin dry-run?). Confirm D4/D5.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b/>
          <w:bCs/>
          <w:sz w:val="22"/>
          <w:szCs w:val="22"/>
        </w:rPr>
        <w:t xml:space="preserve">Exit: </w:t>
      </w:r>
      <w:r>
        <w:rPr>
          <w:sz w:val="22"/>
          <w:szCs w:val="22"/>
        </w:rPr>
        <w:t xml:space="preserve">working process-under-PLC-control through OVS; contribution + safety method locked; dissertation skeleton + Intro drafted.</w:t>
      </w:r>
    </w:p>
    <w:p>
      <w:pPr>
        <w:pStyle w:val="Heading2"/>
        <w:spacing w:after="70" w:before="200"/>
      </w:pPr>
      <w:r>
        <w:rPr>
          <w:b/>
          <w:bCs/>
          <w:color w:val="2E5496"/>
          <w:sz w:val="24"/>
          <w:szCs w:val="24"/>
        </w:rPr>
        <w:t xml:space="preserve">Week 2 — SDN baseline, detection &amp; reactive skeleton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sz w:val="22"/>
          <w:szCs w:val="22"/>
        </w:rPr>
        <w:t xml:space="preserve">Phase B: Ryu manages OVS; measure baseline control-loop latency/jitter (CC-4). Phase C-lite: Suricata/Zeek on an OVS mirror emit alerts to the Event API; a manual trigger makes Ryu install one block/redirect rule. Stand up historian + OPC UA.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b/>
          <w:bCs/>
          <w:color w:val="C00000"/>
          <w:sz w:val="22"/>
          <w:szCs w:val="22"/>
        </w:rPr>
        <w:t xml:space="preserve">CHECKPOINT (end W2): </w:t>
      </w:r>
      <w:r>
        <w:rPr>
          <w:sz w:val="22"/>
          <w:szCs w:val="22"/>
        </w:rPr>
        <w:t xml:space="preserve">is the alert→controller→flow-change loop solid AND is the added latency acceptable? If no → trigger the de-scope ladder now.</w:t>
      </w:r>
    </w:p>
    <w:p>
      <w:pPr>
        <w:pStyle w:val="Heading2"/>
        <w:spacing w:after="70" w:before="200"/>
      </w:pPr>
      <w:r>
        <w:rPr>
          <w:b/>
          <w:bCs/>
          <w:color w:val="2E5496"/>
          <w:sz w:val="24"/>
          <w:szCs w:val="24"/>
        </w:rPr>
        <w:t xml:space="preserve">Week 3 — CARS engine (the contribution)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sz w:val="22"/>
          <w:szCs w:val="22"/>
        </w:rPr>
        <w:t xml:space="preserve">Phase D: criticality model (tag the PLC control loop vs unknown hosts); safety-constrained response (allow / block / mirror / redirect); safety guard (never hard-block the critical loop — mirror/redirect instead; policy/twin check before install); reversibility + machine-readable audit log.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b/>
          <w:bCs/>
          <w:sz w:val="22"/>
          <w:szCs w:val="22"/>
        </w:rPr>
        <w:t xml:space="preserve">Exit: </w:t>
      </w:r>
      <w:r>
        <w:rPr>
          <w:sz w:val="22"/>
          <w:szCs w:val="22"/>
        </w:rPr>
        <w:t xml:space="preserve">unseen device that alerts is auto-blocked; alert on the critical loop is redirected; Factory I/O process never interrupted; every action logged.</w:t>
      </w:r>
    </w:p>
    <w:p>
      <w:pPr>
        <w:pStyle w:val="Heading2"/>
        <w:spacing w:after="70" w:before="200"/>
      </w:pPr>
      <w:r>
        <w:rPr>
          <w:b/>
          <w:bCs/>
          <w:color w:val="2E5496"/>
          <w:sz w:val="24"/>
          <w:szCs w:val="24"/>
        </w:rPr>
        <w:t xml:space="preserve">Week 4 — Zones, attack suite &amp; first evaluation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sz w:val="22"/>
          <w:szCs w:val="22"/>
        </w:rPr>
        <w:t xml:space="preserve">Build the virtual zones in GNS3 (two pfSense firewalls, DMZ, corporate/Kali) as far as time allows; implement the attack suite (recon, unauthorized Modbus/S7 write, false-data injection, DoS; full IT→OT kill chain if zones are ready); first metrics run.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b/>
          <w:bCs/>
          <w:color w:val="C00000"/>
          <w:sz w:val="22"/>
          <w:szCs w:val="22"/>
        </w:rPr>
        <w:t xml:space="preserve">GATE (end W4): </w:t>
      </w:r>
      <w:r>
        <w:rPr>
          <w:sz w:val="22"/>
          <w:szCs w:val="22"/>
        </w:rPr>
        <w:t xml:space="preserve">writing must be underway — Introduction, Background and Methodology drafted. If not, stop building and write.</w:t>
      </w:r>
    </w:p>
    <w:p>
      <w:pPr>
        <w:pStyle w:val="Heading2"/>
        <w:spacing w:after="70" w:before="200"/>
      </w:pPr>
      <w:r>
        <w:rPr>
          <w:b/>
          <w:bCs/>
          <w:color w:val="2E5496"/>
          <w:sz w:val="24"/>
          <w:szCs w:val="24"/>
        </w:rPr>
        <w:t xml:space="preserve">Week 5 — Full evaluation &amp; results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sz w:val="22"/>
          <w:szCs w:val="22"/>
        </w:rPr>
        <w:t xml:space="preserve">Phase E complete: run the full scenario suite; collect operator-relevant metrics — zero defence-induced process trips, false-block rate on critical flows, mean-time-to-mitigate, controller load, audit-trail completeness; analyse; sensitivity checks if time. Add Tier-3 fidelity only if ahead.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b/>
          <w:bCs/>
          <w:sz w:val="22"/>
          <w:szCs w:val="22"/>
        </w:rPr>
        <w:t xml:space="preserve">Exit: </w:t>
      </w:r>
      <w:r>
        <w:rPr>
          <w:sz w:val="22"/>
          <w:szCs w:val="22"/>
        </w:rPr>
        <w:t xml:space="preserve">complete, reproducible results table per scenario; analysis written.</w:t>
      </w:r>
    </w:p>
    <w:p>
      <w:pPr>
        <w:pStyle w:val="Heading2"/>
        <w:spacing w:after="70" w:before="200"/>
      </w:pPr>
      <w:r>
        <w:rPr>
          <w:b/>
          <w:bCs/>
          <w:color w:val="2E5496"/>
          <w:sz w:val="24"/>
          <w:szCs w:val="24"/>
        </w:rPr>
        <w:t xml:space="preserve">Week 6 — Writing, polish, buffer, submit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sz w:val="22"/>
          <w:szCs w:val="22"/>
        </w:rPr>
        <w:t xml:space="preserve">Freeze code (bugfixes only). Write Discussion (incl. deployability / product argument + limitations), Conclusion, Abstract. Final citation verification (CHAOS article ID; cite NIST SP 800-82 Rev. 3; confirm co-engineering survey authors). Diagrams, proofread, format; leave buffer for supervisor review. Submit.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29"/>
          <w:szCs w:val="29"/>
        </w:rPr>
        <w:t xml:space="preserve">4. Checkpoints &amp; gates</w:t>
      </w:r>
    </w:p>
    <w:tbl>
      <w:tblPr>
        <w:tblW w:type="dxa" w:w="750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CD4E2" w:sz="2"/>
          <w:insideV w:val="single" w:color="CCD4E2" w:sz="2"/>
        </w:tblBorders>
      </w:tblPr>
      <w:tblGrid>
        <w:gridCol w:w="1500"/>
        <w:gridCol w:w="3300"/>
        <w:gridCol w:w="27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3300"/>
            <w:shd w:fill="1F3864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Gate</w:t>
            </w:r>
          </w:p>
        </w:tc>
        <w:tc>
          <w:tcPr>
            <w:tcW w:type="dxa" w:w="2700"/>
            <w:shd w:fill="1F3864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If it fails</w:t>
            </w:r>
          </w:p>
        </w:tc>
      </w:tr>
      <w:tr>
        <w:tc>
          <w:tcPr>
            <w:tcW w:type="dxa" w:w="15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End W1</w:t>
            </w:r>
          </w:p>
        </w:tc>
        <w:tc>
          <w:tcPr>
            <w:tcW w:type="dxa" w:w="33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Minimal loop (PLC↔Factory I/O↔OVS) up; contribution locked</w:t>
            </w:r>
          </w:p>
        </w:tc>
        <w:tc>
          <w:tcPr>
            <w:tcW w:type="dxa" w:w="27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Extend into W2; cut nothing yet but flag risk</w:t>
            </w:r>
          </w:p>
        </w:tc>
      </w:tr>
      <w:tr>
        <w:tc>
          <w:tcPr>
            <w:tcW w:type="dxa" w:w="15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End W2</w:t>
            </w:r>
          </w:p>
        </w:tc>
        <w:tc>
          <w:tcPr>
            <w:tcW w:type="dxa" w:w="33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Reactive loop solid + latency acceptable (CC-4)</w:t>
            </w:r>
          </w:p>
        </w:tc>
        <w:tc>
          <w:tcPr>
            <w:tcW w:type="dxa" w:w="27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Trigger de-scope ladder (§6) immediately</w:t>
            </w:r>
          </w:p>
        </w:tc>
      </w:tr>
      <w:tr>
        <w:tc>
          <w:tcPr>
            <w:tcW w:type="dxa" w:w="15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End W4</w:t>
            </w:r>
          </w:p>
        </w:tc>
        <w:tc>
          <w:tcPr>
            <w:tcW w:type="dxa" w:w="33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Writing underway (Intro/Bg/Method drafted)</w:t>
            </w:r>
          </w:p>
        </w:tc>
        <w:tc>
          <w:tcPr>
            <w:tcW w:type="dxa" w:w="27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Pause building; writing takes priority</w:t>
            </w:r>
          </w:p>
        </w:tc>
      </w:tr>
      <w:tr>
        <w:tc>
          <w:tcPr>
            <w:tcW w:type="dxa" w:w="15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End W5</w:t>
            </w:r>
          </w:p>
        </w:tc>
        <w:tc>
          <w:tcPr>
            <w:tcW w:type="dxa" w:w="33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Full results captured</w:t>
            </w:r>
          </w:p>
        </w:tc>
        <w:tc>
          <w:tcPr>
            <w:tcW w:type="dxa" w:w="2700"/>
            <w:shd w:fill="EDF1F8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Freeze scope; write up what exists honestly</w:t>
            </w:r>
          </w:p>
        </w:tc>
      </w:tr>
      <w:tr>
        <w:tc>
          <w:tcPr>
            <w:tcW w:type="dxa" w:w="15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~W6</w:t>
            </w:r>
          </w:p>
        </w:tc>
        <w:tc>
          <w:tcPr>
            <w:tcW w:type="dxa" w:w="33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Submit</w:t>
            </w:r>
          </w:p>
        </w:tc>
        <w:tc>
          <w:tcPr>
            <w:tcW w:type="dxa" w:w="2700"/>
            <w:shd w:fill="FFFFFF" w:val="clear"/>
            <w:tcMar>
              <w:top w:type="dxa" w:w="48"/>
              <w:left w:type="dxa" w:w="75"/>
              <w:bottom w:type="dxa" w:w="48"/>
              <w:right w:type="dxa" w:w="7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1"/>
        <w:spacing w:after="110" w:before="300"/>
      </w:pPr>
      <w:r>
        <w:rPr>
          <w:b/>
          <w:bCs/>
          <w:color w:val="1F3864"/>
          <w:sz w:val="29"/>
          <w:szCs w:val="29"/>
        </w:rPr>
        <w:t xml:space="preserve">5. Definition of a strong submission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sz w:val="22"/>
          <w:szCs w:val="22"/>
        </w:rPr>
        <w:t xml:space="preserve">A working CARS engine on the testbed (Tier 3 if achieved; Tier 2 acceptable) with a real S7-1200/1500 and a process that can visibly go unsafe.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sz w:val="22"/>
          <w:szCs w:val="22"/>
        </w:rPr>
        <w:t xml:space="preserve">≥4–5 attack scenarios evaluated with operator-relevant metrics — crucially, zero defence-induced process trips demonstrated.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sz w:val="22"/>
          <w:szCs w:val="22"/>
        </w:rPr>
        <w:t xml:space="preserve">Positioned against the key literature including the safety cluster (Piedrahita, process-aware review, TRITON, IEC 62443).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sz w:val="22"/>
          <w:szCs w:val="22"/>
        </w:rPr>
        <w:t xml:space="preserve">An explicit deployability / product argument (zone-boundary overlay, brownfield-friendly).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sz w:val="22"/>
          <w:szCs w:val="22"/>
        </w:rPr>
        <w:t xml:space="preserve">Verified citations; word count per your programme handbook (confirm the exact limit).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29"/>
          <w:szCs w:val="29"/>
        </w:rPr>
        <w:t xml:space="preserve">6. De-scope ladder (cut in this order if behind)</w:t>
      </w:r>
    </w:p>
    <w:p>
      <w:pPr>
        <w:spacing w:after="120" w:line="272"/>
        <w:jc w:val="both"/>
      </w:pPr>
      <w:r>
        <w:rPr>
          <w:sz w:val="22"/>
          <w:szCs w:val="22"/>
        </w:rPr>
        <w:t xml:space="preserve">Cut fidelity top-down until the schedule is recoverable. Each cut is honestly reported in the write-up as a scope decision + future work.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sz w:val="22"/>
          <w:szCs w:val="22"/>
        </w:rPr>
        <w:t xml:space="preserve">1. Corporate/IT zone + dual firewalls → single IT/OT boundary.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sz w:val="22"/>
          <w:szCs w:val="22"/>
        </w:rPr>
        <w:t xml:space="preserve">2. Industrial DMZ (historian replica + jump host).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sz w:val="22"/>
          <w:szCs w:val="22"/>
        </w:rPr>
        <w:t xml:space="preserve">3. Second soft-PLC (OpenPLC).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sz w:val="22"/>
          <w:szCs w:val="22"/>
        </w:rPr>
        <w:t xml:space="preserve">4. Extra protocols (OPC UA / MQTT) → keep Modbus + S7comm.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sz w:val="22"/>
          <w:szCs w:val="22"/>
        </w:rPr>
        <w:t xml:space="preserve">5. Full IT→OT kill chain → intra-OT attacks only.</w:t>
      </w:r>
    </w:p>
    <w:p>
      <w:pPr>
        <w:spacing w:after="120" w:line="272"/>
        <w:jc w:val="both"/>
      </w:pPr>
      <w:r>
        <w:rPr>
          <w:b/>
          <w:bCs/>
          <w:sz w:val="22"/>
          <w:szCs w:val="22"/>
        </w:rPr>
        <w:t xml:space="preserve">Core that must survive every cut: </w:t>
      </w:r>
      <w:r>
        <w:rPr>
          <w:sz w:val="22"/>
          <w:szCs w:val="22"/>
        </w:rPr>
        <w:t xml:space="preserve">real PLC + Factory I/O + OVS + Ryu + one IDS + the CARS engine + the evaluation + the written dissertation. </w:t>
      </w:r>
      <w:r>
        <w:rPr>
          <w:b/>
          <w:bCs/>
          <w:color w:val="C00000"/>
          <w:sz w:val="22"/>
          <w:szCs w:val="22"/>
        </w:rPr>
        <w:t xml:space="preserve">Never cut: </w:t>
      </w:r>
      <w:r>
        <w:rPr>
          <w:sz w:val="22"/>
          <w:szCs w:val="22"/>
        </w:rPr>
        <w:t xml:space="preserve">the contribution, the evaluation with metrics, or the writing.</w:t>
      </w:r>
    </w:p>
    <w:p>
      <w:pPr>
        <w:pStyle w:val="Heading1"/>
        <w:spacing w:after="110" w:before="300"/>
      </w:pPr>
      <w:r>
        <w:rPr>
          <w:b/>
          <w:bCs/>
          <w:color w:val="1F3864"/>
          <w:sz w:val="29"/>
          <w:szCs w:val="29"/>
        </w:rPr>
        <w:t xml:space="preserve">7. Dependencies, assumptions &amp; risks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b/>
          <w:bCs/>
          <w:sz w:val="22"/>
          <w:szCs w:val="22"/>
        </w:rPr>
        <w:t xml:space="preserve">Assumption: </w:t>
      </w:r>
      <w:r>
        <w:rPr>
          <w:sz w:val="22"/>
          <w:szCs w:val="22"/>
        </w:rPr>
        <w:t xml:space="preserve">~35–40 h/week available (full-time dissertation). Scale the plan if less.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b/>
          <w:bCs/>
          <w:sz w:val="22"/>
          <w:szCs w:val="22"/>
        </w:rPr>
        <w:t xml:space="preserve">Dependency: </w:t>
      </w:r>
      <w:r>
        <w:rPr>
          <w:sz w:val="22"/>
          <w:szCs w:val="22"/>
        </w:rPr>
        <w:t xml:space="preserve">the pre-build checklist (devices, installs, USB-Ethernet adapters) is done before/at the start of Week 1, or Week 1 slips.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b/>
          <w:bCs/>
          <w:sz w:val="22"/>
          <w:szCs w:val="22"/>
        </w:rPr>
        <w:t xml:space="preserve">Risk — Ryu/Python: </w:t>
      </w:r>
      <w:r>
        <w:rPr>
          <w:sz w:val="22"/>
          <w:szCs w:val="22"/>
        </w:rPr>
        <w:t xml:space="preserve">use a Python 3.9/3.10 venv or the os-ken fork if eventlet errors appear.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b/>
          <w:bCs/>
          <w:sz w:val="22"/>
          <w:szCs w:val="22"/>
        </w:rPr>
        <w:t xml:space="preserve">Risk — Factory I/O S7 link: </w:t>
      </w:r>
      <w:r>
        <w:rPr>
          <w:sz w:val="22"/>
          <w:szCs w:val="22"/>
        </w:rPr>
        <w:t xml:space="preserve">verify PUT/GET + non-optimized block access on the PLC early (Week 1).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b/>
          <w:bCs/>
          <w:sz w:val="22"/>
          <w:szCs w:val="22"/>
        </w:rPr>
        <w:t xml:space="preserve">Risk — over-building: </w:t>
      </w:r>
      <w:r>
        <w:rPr>
          <w:sz w:val="22"/>
          <w:szCs w:val="22"/>
        </w:rPr>
        <w:t xml:space="preserve">the single biggest threat to marks. The gates and ladder exist to counter it; honour the Week-4 writing gate.</w:t>
      </w:r>
    </w:p>
    <w:p>
      <w:pPr>
        <w:spacing w:before="180"/>
      </w:pPr>
      <w:r>
        <w:rPr>
          <w:i/>
          <w:iCs/>
          <w:color w:val="595959"/>
          <w:sz w:val="18"/>
          <w:szCs w:val="18"/>
        </w:rPr>
        <w:t xml:space="preserve">Dates are indicative (Wk1 = 6 Jul 2026). Anchor to your actual submission date and confirm the word-count limit in your programme handbook. This plan operationalises the Decision Log; gates map to CC-1/CC-3/CC-4.</w:t>
      </w:r>
    </w:p>
    <w:sectPr>
      <w:headerReference w:type="default" r:id="rId7"/>
      <w:footerReference w:type="default" r:id="rId8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2" w:sz="4"/>
      </w:pBdr>
      <w:jc w:val="right"/>
    </w:pPr>
    <w:r>
      <w:rPr>
        <w:i/>
        <w:iCs/>
        <w:color w:val="595959"/>
        <w:sz w:val="16"/>
        <w:szCs w:val="16"/>
      </w:rPr>
      <w:t xml:space="preserve">CARS · 6-Week Execution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4e3f78b673c367288482e05771871a34e8e507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6-Week Execution Plan — CARS</dc:title>
  <dc:creator>Project CARS</dc:creator>
  <cp:lastModifiedBy>Un-named</cp:lastModifiedBy>
  <cp:revision>1</cp:revision>
  <dcterms:created xsi:type="dcterms:W3CDTF">2026-07-05T13:49:51.565Z</dcterms:created>
  <dcterms:modified xsi:type="dcterms:W3CDTF">2026-07-05T13:49:51.568Z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