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4B32AF" w:rsidRDefault="00A537D1" w:rsidP="00A173F6">
      <w:pPr>
        <w:pStyle w:val="NoSpacing"/>
        <w:rPr>
          <w:rFonts w:ascii="Times New Roman" w:hAnsi="Times New Roman" w:cs="Times New Roman"/>
        </w:rPr>
      </w:pPr>
      <w:r w:rsidRPr="004B32AF">
        <w:rPr>
          <w:rFonts w:ascii="Times New Roman" w:hAnsi="Times New Roman" w:cs="Times New Roman"/>
        </w:rPr>
        <w:t>Business Summary Report: Predictive Insights for Collections Strategy</w:t>
      </w:r>
    </w:p>
    <w:p w14:paraId="2F4337BF" w14:textId="77777777" w:rsidR="007D72C2" w:rsidRPr="004B32AF" w:rsidRDefault="00A537D1">
      <w:pPr>
        <w:pStyle w:val="Heading1"/>
        <w:rPr>
          <w:rFonts w:ascii="Times New Roman" w:hAnsi="Times New Roman" w:cs="Times New Roman"/>
          <w:color w:val="000000" w:themeColor="text1"/>
        </w:rPr>
      </w:pPr>
      <w:r w:rsidRPr="004B32AF">
        <w:rPr>
          <w:rFonts w:ascii="Times New Roman" w:hAnsi="Times New Roman" w:cs="Times New Roman"/>
          <w:color w:val="000000" w:themeColor="text1"/>
        </w:rPr>
        <w:t>1. Summary of Predictive Insights</w:t>
      </w:r>
    </w:p>
    <w:p w14:paraId="4C124500" w14:textId="77777777" w:rsidR="00A173F6" w:rsidRPr="004B32AF" w:rsidRDefault="00A173F6" w:rsidP="00A173F6">
      <w:pPr>
        <w:spacing w:after="0" w:line="240" w:lineRule="auto"/>
        <w:rPr>
          <w:rFonts w:ascii="Times New Roman" w:hAnsi="Times New Roman" w:cs="Times New Roman"/>
          <w:b/>
          <w:bCs/>
          <w:color w:val="000000" w:themeColor="text1"/>
        </w:rPr>
      </w:pPr>
    </w:p>
    <w:p w14:paraId="6959F0AF" w14:textId="2D7A68C6" w:rsidR="00A173F6" w:rsidRPr="004B32AF" w:rsidRDefault="00A173F6" w:rsidP="00A173F6">
      <w:pPr>
        <w:spacing w:after="0" w:line="240" w:lineRule="auto"/>
        <w:rPr>
          <w:rFonts w:ascii="Times New Roman" w:hAnsi="Times New Roman" w:cs="Times New Roman"/>
          <w:b/>
          <w:bCs/>
          <w:color w:val="000000" w:themeColor="text1"/>
        </w:rPr>
      </w:pPr>
      <w:r w:rsidRPr="004B32AF">
        <w:rPr>
          <w:rFonts w:ascii="Times New Roman" w:hAnsi="Times New Roman" w:cs="Times New Roman"/>
          <w:b/>
          <w:bCs/>
          <w:color w:val="000000" w:themeColor="text1"/>
        </w:rPr>
        <w:t>Top 3 Risk Factors</w:t>
      </w:r>
    </w:p>
    <w:p w14:paraId="3A73467C" w14:textId="77777777" w:rsidR="00A173F6" w:rsidRPr="004B32AF" w:rsidRDefault="00A173F6" w:rsidP="00A173F6">
      <w:pPr>
        <w:spacing w:after="0" w:line="240" w:lineRule="auto"/>
        <w:rPr>
          <w:rFonts w:ascii="Times New Roman" w:hAnsi="Times New Roman" w:cs="Times New Roman"/>
          <w:color w:val="000000" w:themeColor="text1"/>
        </w:rPr>
      </w:pPr>
    </w:p>
    <w:p w14:paraId="7363E5E0" w14:textId="77777777" w:rsidR="00A173F6" w:rsidRPr="004B32AF" w:rsidRDefault="00A173F6" w:rsidP="00A173F6">
      <w:pPr>
        <w:spacing w:after="0" w:line="240" w:lineRule="auto"/>
        <w:rPr>
          <w:rFonts w:ascii="Times New Roman" w:hAnsi="Times New Roman" w:cs="Times New Roman"/>
          <w:color w:val="000000" w:themeColor="text1"/>
        </w:rPr>
      </w:pPr>
      <w:r w:rsidRPr="004B32AF">
        <w:rPr>
          <w:rFonts w:ascii="Times New Roman" w:hAnsi="Times New Roman" w:cs="Times New Roman"/>
          <w:color w:val="000000" w:themeColor="text1"/>
        </w:rPr>
        <w:t xml:space="preserve">• Payment </w:t>
      </w:r>
      <w:proofErr w:type="spellStart"/>
      <w:r w:rsidRPr="004B32AF">
        <w:rPr>
          <w:rFonts w:ascii="Times New Roman" w:hAnsi="Times New Roman" w:cs="Times New Roman"/>
          <w:color w:val="000000" w:themeColor="text1"/>
        </w:rPr>
        <w:t>behaviour</w:t>
      </w:r>
      <w:proofErr w:type="spellEnd"/>
      <w:r w:rsidRPr="004B32AF">
        <w:rPr>
          <w:rFonts w:ascii="Times New Roman" w:hAnsi="Times New Roman" w:cs="Times New Roman"/>
          <w:color w:val="000000" w:themeColor="text1"/>
        </w:rPr>
        <w:t>: Missed payments and recent payment history are important indicators for identifying customers who may require proactive attention.</w:t>
      </w:r>
    </w:p>
    <w:p w14:paraId="16AF3523" w14:textId="77777777" w:rsidR="00A173F6" w:rsidRPr="004B32AF" w:rsidRDefault="00A173F6" w:rsidP="00A173F6">
      <w:pPr>
        <w:spacing w:after="0" w:line="240" w:lineRule="auto"/>
        <w:rPr>
          <w:rFonts w:ascii="Times New Roman" w:hAnsi="Times New Roman" w:cs="Times New Roman"/>
          <w:color w:val="000000" w:themeColor="text1"/>
        </w:rPr>
      </w:pPr>
      <w:r w:rsidRPr="004B32AF">
        <w:rPr>
          <w:rFonts w:ascii="Times New Roman" w:hAnsi="Times New Roman" w:cs="Times New Roman"/>
          <w:color w:val="000000" w:themeColor="text1"/>
        </w:rPr>
        <w:t>• Financial pressure: Credit utilization and debt-to-income ratio were selected as key model inputs because they provide information about a customer's current financial obligations and potential repayment pressure.</w:t>
      </w:r>
    </w:p>
    <w:p w14:paraId="508CC115" w14:textId="77777777" w:rsidR="00A173F6" w:rsidRPr="004B32AF" w:rsidRDefault="00A173F6" w:rsidP="00A173F6">
      <w:pPr>
        <w:spacing w:after="0" w:line="240" w:lineRule="auto"/>
        <w:rPr>
          <w:rFonts w:ascii="Times New Roman" w:hAnsi="Times New Roman" w:cs="Times New Roman"/>
          <w:color w:val="000000" w:themeColor="text1"/>
        </w:rPr>
      </w:pPr>
      <w:r w:rsidRPr="004B32AF">
        <w:rPr>
          <w:rFonts w:ascii="Times New Roman" w:hAnsi="Times New Roman" w:cs="Times New Roman"/>
          <w:color w:val="000000" w:themeColor="text1"/>
        </w:rPr>
        <w:t xml:space="preserve">• Credit profile and account history: Credit score and account tenure provide additional context about a customer's financial profile and relationship with </w:t>
      </w:r>
      <w:proofErr w:type="spellStart"/>
      <w:r w:rsidRPr="004B32AF">
        <w:rPr>
          <w:rFonts w:ascii="Times New Roman" w:hAnsi="Times New Roman" w:cs="Times New Roman"/>
          <w:color w:val="000000" w:themeColor="text1"/>
        </w:rPr>
        <w:t>Geldium</w:t>
      </w:r>
      <w:proofErr w:type="spellEnd"/>
      <w:r w:rsidRPr="004B32AF">
        <w:rPr>
          <w:rFonts w:ascii="Times New Roman" w:hAnsi="Times New Roman" w:cs="Times New Roman"/>
          <w:color w:val="000000" w:themeColor="text1"/>
        </w:rPr>
        <w:t>.</w:t>
      </w:r>
    </w:p>
    <w:p w14:paraId="3AFD9643" w14:textId="77777777" w:rsidR="00A173F6" w:rsidRPr="004B32AF" w:rsidRDefault="00A173F6" w:rsidP="00A173F6">
      <w:pPr>
        <w:spacing w:after="0" w:line="240" w:lineRule="auto"/>
        <w:rPr>
          <w:rFonts w:ascii="Times New Roman" w:hAnsi="Times New Roman" w:cs="Times New Roman"/>
          <w:color w:val="000000" w:themeColor="text1"/>
        </w:rPr>
      </w:pPr>
    </w:p>
    <w:p w14:paraId="60F471FE" w14:textId="123FF744" w:rsidR="007D72C2" w:rsidRPr="004B32AF" w:rsidRDefault="00A173F6" w:rsidP="00A173F6">
      <w:pPr>
        <w:spacing w:after="0" w:line="240" w:lineRule="auto"/>
        <w:rPr>
          <w:rFonts w:ascii="Times New Roman" w:hAnsi="Times New Roman" w:cs="Times New Roman"/>
          <w:b/>
          <w:bCs/>
          <w:color w:val="000000" w:themeColor="text1"/>
        </w:rPr>
      </w:pPr>
      <w:r w:rsidRPr="004B32AF">
        <w:rPr>
          <w:rFonts w:ascii="Times New Roman" w:hAnsi="Times New Roman" w:cs="Times New Roman"/>
          <w:b/>
          <w:bCs/>
          <w:color w:val="000000" w:themeColor="text1"/>
        </w:rPr>
        <w:t>Key Insight Summary Table</w:t>
      </w:r>
    </w:p>
    <w:p w14:paraId="3499FB06" w14:textId="77777777" w:rsidR="00A173F6" w:rsidRPr="004B32AF" w:rsidRDefault="00A173F6" w:rsidP="00A173F6">
      <w:pPr>
        <w:spacing w:after="0" w:line="240" w:lineRule="auto"/>
        <w:rPr>
          <w:rFonts w:ascii="Times New Roman" w:hAnsi="Times New Roman" w:cs="Times New Roman"/>
          <w:b/>
          <w:bCs/>
          <w:color w:val="000000" w:themeColor="text1"/>
        </w:rPr>
      </w:pPr>
    </w:p>
    <w:tbl>
      <w:tblPr>
        <w:tblW w:w="5000" w:type="pct"/>
        <w:tblCellMar>
          <w:left w:w="30" w:type="dxa"/>
          <w:right w:w="30" w:type="dxa"/>
        </w:tblCellMar>
        <w:tblLook w:val="0000" w:firstRow="0" w:lastRow="0" w:firstColumn="0" w:lastColumn="0" w:noHBand="0" w:noVBand="0"/>
      </w:tblPr>
      <w:tblGrid>
        <w:gridCol w:w="2015"/>
        <w:gridCol w:w="2267"/>
        <w:gridCol w:w="2553"/>
        <w:gridCol w:w="1865"/>
      </w:tblGrid>
      <w:tr w:rsidR="004B32AF" w:rsidRPr="004B32AF" w14:paraId="54A73133" w14:textId="77777777" w:rsidTr="003214CA">
        <w:trPr>
          <w:trHeight w:val="53"/>
        </w:trPr>
        <w:tc>
          <w:tcPr>
            <w:tcW w:w="1158" w:type="pct"/>
            <w:tcBorders>
              <w:top w:val="single" w:sz="6" w:space="0" w:color="auto"/>
              <w:left w:val="single" w:sz="6" w:space="0" w:color="auto"/>
              <w:bottom w:val="single" w:sz="6" w:space="0" w:color="auto"/>
              <w:right w:val="single" w:sz="6" w:space="0" w:color="auto"/>
            </w:tcBorders>
          </w:tcPr>
          <w:p w14:paraId="5B9848DA" w14:textId="77777777" w:rsidR="004B32AF" w:rsidRPr="004B32AF" w:rsidRDefault="004B32AF" w:rsidP="003214CA">
            <w:pPr>
              <w:spacing w:after="0" w:line="240" w:lineRule="auto"/>
              <w:jc w:val="center"/>
              <w:rPr>
                <w:rFonts w:ascii="Times New Roman" w:hAnsi="Times New Roman" w:cs="Times New Roman"/>
                <w:b/>
                <w:bCs/>
                <w:color w:val="000000" w:themeColor="text1"/>
                <w:sz w:val="20"/>
                <w:szCs w:val="20"/>
                <w:lang w:val="en-GB"/>
              </w:rPr>
            </w:pPr>
            <w:r w:rsidRPr="004B32AF">
              <w:rPr>
                <w:rFonts w:ascii="Times New Roman" w:hAnsi="Times New Roman" w:cs="Times New Roman"/>
                <w:b/>
                <w:bCs/>
                <w:color w:val="000000" w:themeColor="text1"/>
                <w:sz w:val="20"/>
                <w:szCs w:val="20"/>
                <w:lang w:val="en-GB"/>
              </w:rPr>
              <w:t>Key Insight</w:t>
            </w:r>
          </w:p>
        </w:tc>
        <w:tc>
          <w:tcPr>
            <w:tcW w:w="1303" w:type="pct"/>
            <w:tcBorders>
              <w:top w:val="single" w:sz="6" w:space="0" w:color="auto"/>
              <w:left w:val="single" w:sz="6" w:space="0" w:color="auto"/>
              <w:bottom w:val="single" w:sz="6" w:space="0" w:color="auto"/>
              <w:right w:val="single" w:sz="6" w:space="0" w:color="auto"/>
            </w:tcBorders>
          </w:tcPr>
          <w:p w14:paraId="7C2FABC2" w14:textId="77777777" w:rsidR="004B32AF" w:rsidRPr="004B32AF" w:rsidRDefault="004B32AF" w:rsidP="003214CA">
            <w:pPr>
              <w:spacing w:after="0" w:line="240" w:lineRule="auto"/>
              <w:jc w:val="center"/>
              <w:rPr>
                <w:rFonts w:ascii="Times New Roman" w:hAnsi="Times New Roman" w:cs="Times New Roman"/>
                <w:b/>
                <w:bCs/>
                <w:color w:val="000000" w:themeColor="text1"/>
                <w:sz w:val="20"/>
                <w:szCs w:val="20"/>
                <w:lang w:val="en-GB"/>
              </w:rPr>
            </w:pPr>
            <w:r w:rsidRPr="004B32AF">
              <w:rPr>
                <w:rFonts w:ascii="Times New Roman" w:hAnsi="Times New Roman" w:cs="Times New Roman"/>
                <w:b/>
                <w:bCs/>
                <w:color w:val="000000" w:themeColor="text1"/>
                <w:sz w:val="20"/>
                <w:szCs w:val="20"/>
                <w:lang w:val="en-GB"/>
              </w:rPr>
              <w:t>Customer Segment</w:t>
            </w:r>
          </w:p>
        </w:tc>
        <w:tc>
          <w:tcPr>
            <w:tcW w:w="1467" w:type="pct"/>
            <w:tcBorders>
              <w:top w:val="single" w:sz="6" w:space="0" w:color="auto"/>
              <w:left w:val="single" w:sz="6" w:space="0" w:color="auto"/>
              <w:bottom w:val="single" w:sz="6" w:space="0" w:color="auto"/>
              <w:right w:val="single" w:sz="6" w:space="0" w:color="auto"/>
            </w:tcBorders>
          </w:tcPr>
          <w:p w14:paraId="4BDD2624" w14:textId="77777777" w:rsidR="004B32AF" w:rsidRPr="004B32AF" w:rsidRDefault="004B32AF" w:rsidP="003214CA">
            <w:pPr>
              <w:spacing w:after="0" w:line="240" w:lineRule="auto"/>
              <w:jc w:val="center"/>
              <w:rPr>
                <w:rFonts w:ascii="Times New Roman" w:hAnsi="Times New Roman" w:cs="Times New Roman"/>
                <w:b/>
                <w:bCs/>
                <w:color w:val="000000" w:themeColor="text1"/>
                <w:sz w:val="20"/>
                <w:szCs w:val="20"/>
                <w:lang w:val="en-GB"/>
              </w:rPr>
            </w:pPr>
            <w:r w:rsidRPr="004B32AF">
              <w:rPr>
                <w:rFonts w:ascii="Times New Roman" w:hAnsi="Times New Roman" w:cs="Times New Roman"/>
                <w:b/>
                <w:bCs/>
                <w:color w:val="000000" w:themeColor="text1"/>
                <w:sz w:val="20"/>
                <w:szCs w:val="20"/>
                <w:lang w:val="en-GB"/>
              </w:rPr>
              <w:t>Influencing Variables</w:t>
            </w:r>
          </w:p>
        </w:tc>
        <w:tc>
          <w:tcPr>
            <w:tcW w:w="1072" w:type="pct"/>
            <w:tcBorders>
              <w:top w:val="single" w:sz="6" w:space="0" w:color="auto"/>
              <w:left w:val="single" w:sz="6" w:space="0" w:color="auto"/>
              <w:bottom w:val="single" w:sz="6" w:space="0" w:color="auto"/>
              <w:right w:val="single" w:sz="6" w:space="0" w:color="auto"/>
            </w:tcBorders>
          </w:tcPr>
          <w:p w14:paraId="7E0D05DF" w14:textId="77777777" w:rsidR="004B32AF" w:rsidRPr="004B32AF" w:rsidRDefault="004B32AF" w:rsidP="003214CA">
            <w:pPr>
              <w:spacing w:after="0" w:line="240" w:lineRule="auto"/>
              <w:jc w:val="center"/>
              <w:rPr>
                <w:rFonts w:ascii="Times New Roman" w:hAnsi="Times New Roman" w:cs="Times New Roman"/>
                <w:b/>
                <w:bCs/>
                <w:color w:val="000000" w:themeColor="text1"/>
                <w:sz w:val="20"/>
                <w:szCs w:val="20"/>
                <w:lang w:val="en-GB"/>
              </w:rPr>
            </w:pPr>
            <w:r w:rsidRPr="004B32AF">
              <w:rPr>
                <w:rFonts w:ascii="Times New Roman" w:hAnsi="Times New Roman" w:cs="Times New Roman"/>
                <w:b/>
                <w:bCs/>
                <w:color w:val="000000" w:themeColor="text1"/>
                <w:sz w:val="20"/>
                <w:szCs w:val="20"/>
                <w:lang w:val="en-GB"/>
              </w:rPr>
              <w:t>Potential Impact</w:t>
            </w:r>
          </w:p>
        </w:tc>
      </w:tr>
      <w:tr w:rsidR="004B32AF" w:rsidRPr="004B32AF" w14:paraId="5E138C9F" w14:textId="77777777" w:rsidTr="003214CA">
        <w:trPr>
          <w:trHeight w:val="919"/>
        </w:trPr>
        <w:tc>
          <w:tcPr>
            <w:tcW w:w="1158" w:type="pct"/>
            <w:tcBorders>
              <w:top w:val="single" w:sz="6" w:space="0" w:color="auto"/>
              <w:left w:val="single" w:sz="6" w:space="0" w:color="auto"/>
              <w:bottom w:val="single" w:sz="6" w:space="0" w:color="auto"/>
              <w:right w:val="single" w:sz="6" w:space="0" w:color="auto"/>
            </w:tcBorders>
          </w:tcPr>
          <w:p w14:paraId="2D174EAA" w14:textId="77777777" w:rsidR="004B32AF" w:rsidRPr="004B32AF" w:rsidRDefault="004B32AF" w:rsidP="003214CA">
            <w:pPr>
              <w:spacing w:after="0" w:line="240" w:lineRule="auto"/>
              <w:rPr>
                <w:rFonts w:ascii="Times New Roman" w:hAnsi="Times New Roman" w:cs="Times New Roman"/>
                <w:color w:val="000000" w:themeColor="text1"/>
                <w:sz w:val="20"/>
                <w:szCs w:val="20"/>
                <w:lang w:val="en-GB"/>
              </w:rPr>
            </w:pPr>
            <w:r w:rsidRPr="004B32AF">
              <w:rPr>
                <w:rFonts w:ascii="Times New Roman" w:hAnsi="Times New Roman" w:cs="Times New Roman"/>
                <w:color w:val="000000" w:themeColor="text1"/>
                <w:sz w:val="20"/>
                <w:szCs w:val="20"/>
                <w:lang w:val="en-GB"/>
              </w:rPr>
              <w:t>Customers with multiple risk indicators may require earlier attention.</w:t>
            </w:r>
          </w:p>
        </w:tc>
        <w:tc>
          <w:tcPr>
            <w:tcW w:w="1303" w:type="pct"/>
            <w:tcBorders>
              <w:top w:val="single" w:sz="6" w:space="0" w:color="auto"/>
              <w:left w:val="single" w:sz="6" w:space="0" w:color="auto"/>
              <w:bottom w:val="single" w:sz="6" w:space="0" w:color="auto"/>
              <w:right w:val="single" w:sz="6" w:space="0" w:color="auto"/>
            </w:tcBorders>
          </w:tcPr>
          <w:p w14:paraId="7231A121" w14:textId="77777777" w:rsidR="004B32AF" w:rsidRPr="004B32AF" w:rsidRDefault="004B32AF" w:rsidP="003214CA">
            <w:pPr>
              <w:spacing w:after="0" w:line="240" w:lineRule="auto"/>
              <w:rPr>
                <w:rFonts w:ascii="Times New Roman" w:hAnsi="Times New Roman" w:cs="Times New Roman"/>
                <w:color w:val="000000" w:themeColor="text1"/>
                <w:sz w:val="20"/>
                <w:szCs w:val="20"/>
                <w:lang w:val="en-GB"/>
              </w:rPr>
            </w:pPr>
            <w:r w:rsidRPr="004B32AF">
              <w:rPr>
                <w:rFonts w:ascii="Times New Roman" w:hAnsi="Times New Roman" w:cs="Times New Roman"/>
                <w:color w:val="000000" w:themeColor="text1"/>
                <w:sz w:val="20"/>
                <w:szCs w:val="20"/>
                <w:lang w:val="en-GB"/>
              </w:rPr>
              <w:t>Customers identified as high risk by the predictive model.</w:t>
            </w:r>
          </w:p>
        </w:tc>
        <w:tc>
          <w:tcPr>
            <w:tcW w:w="1467" w:type="pct"/>
            <w:tcBorders>
              <w:top w:val="single" w:sz="6" w:space="0" w:color="auto"/>
              <w:left w:val="single" w:sz="6" w:space="0" w:color="auto"/>
              <w:bottom w:val="single" w:sz="6" w:space="0" w:color="auto"/>
              <w:right w:val="single" w:sz="6" w:space="0" w:color="auto"/>
            </w:tcBorders>
          </w:tcPr>
          <w:p w14:paraId="74FF52DD" w14:textId="77777777" w:rsidR="004B32AF" w:rsidRPr="004B32AF" w:rsidRDefault="004B32AF" w:rsidP="003214CA">
            <w:pPr>
              <w:spacing w:after="0" w:line="240" w:lineRule="auto"/>
              <w:rPr>
                <w:rFonts w:ascii="Times New Roman" w:hAnsi="Times New Roman" w:cs="Times New Roman"/>
                <w:color w:val="000000" w:themeColor="text1"/>
                <w:sz w:val="20"/>
                <w:szCs w:val="20"/>
                <w:lang w:val="en-GB"/>
              </w:rPr>
            </w:pPr>
            <w:r w:rsidRPr="004B32AF">
              <w:rPr>
                <w:rFonts w:ascii="Times New Roman" w:hAnsi="Times New Roman" w:cs="Times New Roman"/>
                <w:color w:val="000000" w:themeColor="text1"/>
                <w:sz w:val="20"/>
                <w:szCs w:val="20"/>
                <w:lang w:val="en-GB"/>
              </w:rPr>
              <w:t>Missed Payments, Credit Utilization, Debt-to-Income Ratio, Credit Score, Account Tenure.</w:t>
            </w:r>
          </w:p>
        </w:tc>
        <w:tc>
          <w:tcPr>
            <w:tcW w:w="1072" w:type="pct"/>
            <w:tcBorders>
              <w:top w:val="single" w:sz="6" w:space="0" w:color="auto"/>
              <w:left w:val="single" w:sz="6" w:space="0" w:color="auto"/>
              <w:bottom w:val="single" w:sz="6" w:space="0" w:color="auto"/>
              <w:right w:val="single" w:sz="6" w:space="0" w:color="auto"/>
            </w:tcBorders>
          </w:tcPr>
          <w:p w14:paraId="021AED70" w14:textId="77777777" w:rsidR="004B32AF" w:rsidRPr="004B32AF" w:rsidRDefault="004B32AF" w:rsidP="003214CA">
            <w:pPr>
              <w:spacing w:after="0" w:line="240" w:lineRule="auto"/>
              <w:rPr>
                <w:rFonts w:ascii="Times New Roman" w:hAnsi="Times New Roman" w:cs="Times New Roman"/>
                <w:color w:val="000000" w:themeColor="text1"/>
                <w:sz w:val="20"/>
                <w:szCs w:val="20"/>
                <w:lang w:val="en-GB"/>
              </w:rPr>
            </w:pPr>
            <w:r w:rsidRPr="004B32AF">
              <w:rPr>
                <w:rFonts w:ascii="Times New Roman" w:hAnsi="Times New Roman" w:cs="Times New Roman"/>
                <w:color w:val="000000" w:themeColor="text1"/>
                <w:sz w:val="20"/>
                <w:szCs w:val="20"/>
                <w:lang w:val="en-GB"/>
              </w:rPr>
              <w:t>Prioritize proactive outreach and support before delinquency escalates.</w:t>
            </w:r>
          </w:p>
        </w:tc>
      </w:tr>
    </w:tbl>
    <w:p w14:paraId="5AC88C18" w14:textId="77777777" w:rsidR="004B32AF" w:rsidRPr="004B32AF" w:rsidRDefault="004B32AF" w:rsidP="004B32AF">
      <w:pPr>
        <w:spacing w:after="0" w:line="240" w:lineRule="auto"/>
        <w:jc w:val="both"/>
        <w:rPr>
          <w:rFonts w:ascii="Times New Roman" w:hAnsi="Times New Roman" w:cs="Times New Roman"/>
        </w:rPr>
      </w:pPr>
    </w:p>
    <w:p w14:paraId="3AE228DF" w14:textId="4C25A21A" w:rsidR="004B32AF" w:rsidRPr="004B32AF" w:rsidRDefault="004B32AF" w:rsidP="004B32AF">
      <w:pPr>
        <w:spacing w:after="0" w:line="240" w:lineRule="auto"/>
        <w:jc w:val="both"/>
        <w:rPr>
          <w:rFonts w:ascii="Times New Roman" w:hAnsi="Times New Roman" w:cs="Times New Roman"/>
          <w:b/>
          <w:bCs/>
          <w:sz w:val="28"/>
          <w:szCs w:val="28"/>
        </w:rPr>
      </w:pPr>
      <w:r w:rsidRPr="004B32AF">
        <w:rPr>
          <w:rFonts w:ascii="Times New Roman" w:hAnsi="Times New Roman" w:cs="Times New Roman"/>
          <w:b/>
          <w:bCs/>
          <w:sz w:val="28"/>
          <w:szCs w:val="28"/>
        </w:rPr>
        <w:t>2. Recommendation Framework</w:t>
      </w:r>
    </w:p>
    <w:p w14:paraId="1146D984" w14:textId="77777777" w:rsidR="004B32AF" w:rsidRPr="004B32AF" w:rsidRDefault="004B32AF" w:rsidP="004B32AF">
      <w:pPr>
        <w:spacing w:after="0" w:line="240" w:lineRule="auto"/>
        <w:jc w:val="both"/>
        <w:rPr>
          <w:rFonts w:ascii="Times New Roman" w:hAnsi="Times New Roman" w:cs="Times New Roman"/>
        </w:rPr>
      </w:pPr>
    </w:p>
    <w:p w14:paraId="66136302"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Restated Insight: Customers identified as high risk based on multiple financial and payment-related risk indicators should receive proactive attention before delinquency escalates.</w:t>
      </w:r>
    </w:p>
    <w:p w14:paraId="10CA3D90"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Proposed Recommendation: Launch a six-week pilot of proactive outreach for customers identified as high risk by the predictive model. The Collections team should provide early payment reminders and offer appropriate support options where needed.</w:t>
      </w:r>
    </w:p>
    <w:p w14:paraId="39A87E20"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Specific: Target customers classified as high risk and provide proactive communication before their repayment issues become more serious.</w:t>
      </w:r>
    </w:p>
    <w:p w14:paraId="0FFB700A"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Measurable: Measure customer engagement and compare new delinquency outcomes during the pilot with a pre-pilot baseline or appropriate comparison group.</w:t>
      </w:r>
    </w:p>
    <w:p w14:paraId="3C05DE04"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Actionable: Use the model's risk scores to help the Collections team prioritize outreach using existing communication channels and support processes.</w:t>
      </w:r>
    </w:p>
    <w:p w14:paraId="482303A3"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xml:space="preserve">• Relevant: The recommendation supports </w:t>
      </w:r>
      <w:proofErr w:type="spellStart"/>
      <w:r w:rsidRPr="004B32AF">
        <w:rPr>
          <w:rFonts w:ascii="Times New Roman" w:hAnsi="Times New Roman" w:cs="Times New Roman"/>
        </w:rPr>
        <w:t>Geldium's</w:t>
      </w:r>
      <w:proofErr w:type="spellEnd"/>
      <w:r w:rsidRPr="004B32AF">
        <w:rPr>
          <w:rFonts w:ascii="Times New Roman" w:hAnsi="Times New Roman" w:cs="Times New Roman"/>
        </w:rPr>
        <w:t xml:space="preserve"> goal of reducing delinquency while making Collections outreach more targeted and efficient.</w:t>
      </w:r>
    </w:p>
    <w:p w14:paraId="024F694C"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Time-bound: Run the pilot for six weeks, review the results at the end of the pilot, and decide whether the approach should be refined or expanded.</w:t>
      </w:r>
    </w:p>
    <w:p w14:paraId="3B873D5C"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xml:space="preserve">• Justification and Business Rationale: A targeted pilot allows </w:t>
      </w:r>
      <w:proofErr w:type="spellStart"/>
      <w:r w:rsidRPr="004B32AF">
        <w:rPr>
          <w:rFonts w:ascii="Times New Roman" w:hAnsi="Times New Roman" w:cs="Times New Roman"/>
        </w:rPr>
        <w:t>Geldium</w:t>
      </w:r>
      <w:proofErr w:type="spellEnd"/>
      <w:r w:rsidRPr="004B32AF">
        <w:rPr>
          <w:rFonts w:ascii="Times New Roman" w:hAnsi="Times New Roman" w:cs="Times New Roman"/>
        </w:rPr>
        <w:t xml:space="preserve"> to test whether early intervention improves customer engagement and helps prevent delinquency before scaling the approach. Using risk predictions to prioritize supportive outreach can improve operational efficiency while ensuring that the model is used as a decision-support tool rather than as the sole basis for customer treatment. </w:t>
      </w:r>
    </w:p>
    <w:p w14:paraId="308DFF6F" w14:textId="77777777" w:rsidR="004B32AF" w:rsidRPr="004B32AF" w:rsidRDefault="004B32AF" w:rsidP="004B32AF">
      <w:pPr>
        <w:spacing w:after="0" w:line="240" w:lineRule="auto"/>
        <w:jc w:val="both"/>
        <w:rPr>
          <w:rFonts w:ascii="Times New Roman" w:hAnsi="Times New Roman" w:cs="Times New Roman"/>
        </w:rPr>
      </w:pPr>
    </w:p>
    <w:p w14:paraId="4E49C778" w14:textId="5AB36DF4" w:rsidR="004B32AF" w:rsidRPr="004B32AF" w:rsidRDefault="004B32AF" w:rsidP="004B32AF">
      <w:pPr>
        <w:spacing w:after="0" w:line="240" w:lineRule="auto"/>
        <w:jc w:val="both"/>
        <w:rPr>
          <w:rFonts w:ascii="Times New Roman" w:hAnsi="Times New Roman" w:cs="Times New Roman"/>
          <w:b/>
          <w:bCs/>
          <w:sz w:val="28"/>
          <w:szCs w:val="28"/>
        </w:rPr>
      </w:pPr>
      <w:r w:rsidRPr="004B32AF">
        <w:rPr>
          <w:rFonts w:ascii="Times New Roman" w:hAnsi="Times New Roman" w:cs="Times New Roman"/>
          <w:b/>
          <w:bCs/>
          <w:sz w:val="28"/>
          <w:szCs w:val="28"/>
        </w:rPr>
        <w:t>3. Ethical and Responsible AI Considerations</w:t>
      </w:r>
    </w:p>
    <w:p w14:paraId="0AD1C15B" w14:textId="77777777" w:rsidR="004B32AF" w:rsidRPr="004B32AF" w:rsidRDefault="004B32AF" w:rsidP="004B32AF">
      <w:pPr>
        <w:spacing w:after="0" w:line="240" w:lineRule="auto"/>
        <w:jc w:val="both"/>
        <w:rPr>
          <w:rFonts w:ascii="Times New Roman" w:hAnsi="Times New Roman" w:cs="Times New Roman"/>
          <w:sz w:val="28"/>
          <w:szCs w:val="28"/>
        </w:rPr>
      </w:pPr>
    </w:p>
    <w:p w14:paraId="7F76174A"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Reflect on the fairness, transparency, and impact of your model and recommendation.</w:t>
      </w:r>
    </w:p>
    <w:p w14:paraId="706863C5" w14:textId="77777777" w:rsidR="004B32AF" w:rsidRPr="004B32AF" w:rsidRDefault="004B32AF" w:rsidP="004B32AF">
      <w:pPr>
        <w:spacing w:after="0" w:line="240" w:lineRule="auto"/>
        <w:jc w:val="both"/>
        <w:rPr>
          <w:rFonts w:ascii="Times New Roman" w:hAnsi="Times New Roman" w:cs="Times New Roman"/>
        </w:rPr>
      </w:pPr>
    </w:p>
    <w:p w14:paraId="6FC8805D" w14:textId="77777777" w:rsidR="004B32AF" w:rsidRPr="004B32AF" w:rsidRDefault="004B32AF" w:rsidP="004B32AF">
      <w:pPr>
        <w:spacing w:after="0" w:line="240" w:lineRule="auto"/>
        <w:jc w:val="both"/>
        <w:rPr>
          <w:rFonts w:ascii="Times New Roman" w:hAnsi="Times New Roman" w:cs="Times New Roman"/>
          <w:b/>
          <w:bCs/>
        </w:rPr>
      </w:pPr>
      <w:r w:rsidRPr="004B32AF">
        <w:rPr>
          <w:rFonts w:ascii="Times New Roman" w:hAnsi="Times New Roman" w:cs="Times New Roman"/>
          <w:b/>
          <w:bCs/>
        </w:rPr>
        <w:lastRenderedPageBreak/>
        <w:t>Fairness Risk 1: Biased or unrepresentative data</w:t>
      </w:r>
    </w:p>
    <w:p w14:paraId="79F15D1A" w14:textId="77777777" w:rsidR="004B32AF" w:rsidRPr="004B32AF" w:rsidRDefault="004B32AF" w:rsidP="004B32AF">
      <w:pPr>
        <w:spacing w:after="0" w:line="240" w:lineRule="auto"/>
        <w:jc w:val="both"/>
        <w:rPr>
          <w:rFonts w:ascii="Times New Roman" w:hAnsi="Times New Roman" w:cs="Times New Roman"/>
        </w:rPr>
      </w:pPr>
    </w:p>
    <w:p w14:paraId="3B8DAF3F"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If some customer groups are underrepresented in the historical data, the model may perform less accurately for those groups and create unfair outcomes.</w:t>
      </w:r>
    </w:p>
    <w:p w14:paraId="4588E704" w14:textId="77777777" w:rsidR="004B32AF" w:rsidRPr="004B32AF" w:rsidRDefault="004B32AF" w:rsidP="004B32AF">
      <w:pPr>
        <w:spacing w:after="0" w:line="240" w:lineRule="auto"/>
        <w:jc w:val="both"/>
        <w:rPr>
          <w:rFonts w:ascii="Times New Roman" w:hAnsi="Times New Roman" w:cs="Times New Roman"/>
        </w:rPr>
      </w:pPr>
    </w:p>
    <w:p w14:paraId="30136A35"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b/>
          <w:bCs/>
        </w:rPr>
        <w:t>Mitigation:</w:t>
      </w:r>
      <w:r w:rsidRPr="004B32AF">
        <w:rPr>
          <w:rFonts w:ascii="Times New Roman" w:hAnsi="Times New Roman" w:cs="Times New Roman"/>
        </w:rPr>
        <w:t xml:space="preserve"> Regularly test model performance and error rates across relevant customer groups and investigate significant differences before deployment or expansion.</w:t>
      </w:r>
    </w:p>
    <w:p w14:paraId="73DE405A" w14:textId="77777777" w:rsidR="004B32AF" w:rsidRPr="004B32AF" w:rsidRDefault="004B32AF" w:rsidP="004B32AF">
      <w:pPr>
        <w:spacing w:after="0" w:line="240" w:lineRule="auto"/>
        <w:jc w:val="both"/>
        <w:rPr>
          <w:rFonts w:ascii="Times New Roman" w:hAnsi="Times New Roman" w:cs="Times New Roman"/>
        </w:rPr>
      </w:pPr>
    </w:p>
    <w:p w14:paraId="3057B961" w14:textId="77777777" w:rsidR="004B32AF" w:rsidRPr="004B32AF" w:rsidRDefault="004B32AF" w:rsidP="004B32AF">
      <w:pPr>
        <w:spacing w:after="0" w:line="240" w:lineRule="auto"/>
        <w:jc w:val="both"/>
        <w:rPr>
          <w:rFonts w:ascii="Times New Roman" w:hAnsi="Times New Roman" w:cs="Times New Roman"/>
          <w:b/>
          <w:bCs/>
        </w:rPr>
      </w:pPr>
      <w:r w:rsidRPr="004B32AF">
        <w:rPr>
          <w:rFonts w:ascii="Times New Roman" w:hAnsi="Times New Roman" w:cs="Times New Roman"/>
          <w:b/>
          <w:bCs/>
        </w:rPr>
        <w:t>Fairness Risk 2: Proxy variables and unfair treatment</w:t>
      </w:r>
    </w:p>
    <w:p w14:paraId="306F7B4E" w14:textId="77777777" w:rsidR="004B32AF" w:rsidRPr="004B32AF" w:rsidRDefault="004B32AF" w:rsidP="004B32AF">
      <w:pPr>
        <w:spacing w:after="0" w:line="240" w:lineRule="auto"/>
        <w:jc w:val="both"/>
        <w:rPr>
          <w:rFonts w:ascii="Times New Roman" w:hAnsi="Times New Roman" w:cs="Times New Roman"/>
        </w:rPr>
      </w:pPr>
    </w:p>
    <w:p w14:paraId="3FDA3A99"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Some variables may indirectly reflect sensitive characteristics or historical inequalities, which could result in certain groups being unfairly identified as high risk.</w:t>
      </w:r>
    </w:p>
    <w:p w14:paraId="3206E290" w14:textId="77777777" w:rsidR="004B32AF" w:rsidRPr="004B32AF" w:rsidRDefault="004B32AF" w:rsidP="004B32AF">
      <w:pPr>
        <w:spacing w:after="0" w:line="240" w:lineRule="auto"/>
        <w:jc w:val="both"/>
        <w:rPr>
          <w:rFonts w:ascii="Times New Roman" w:hAnsi="Times New Roman" w:cs="Times New Roman"/>
        </w:rPr>
      </w:pPr>
    </w:p>
    <w:p w14:paraId="4D2E8621" w14:textId="77777777"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b/>
          <w:bCs/>
        </w:rPr>
        <w:t>Mitigation:</w:t>
      </w:r>
      <w:r w:rsidRPr="004B32AF">
        <w:rPr>
          <w:rFonts w:ascii="Times New Roman" w:hAnsi="Times New Roman" w:cs="Times New Roman"/>
        </w:rPr>
        <w:t xml:space="preserve"> Review model features for potential proxy effects and conduct fairness checks before using predictions operationally.</w:t>
      </w:r>
    </w:p>
    <w:p w14:paraId="0CDC7556" w14:textId="77777777" w:rsidR="004B32AF" w:rsidRPr="004B32AF" w:rsidRDefault="004B32AF" w:rsidP="004B32AF">
      <w:pPr>
        <w:spacing w:after="0" w:line="240" w:lineRule="auto"/>
        <w:jc w:val="both"/>
        <w:rPr>
          <w:rFonts w:ascii="Times New Roman" w:hAnsi="Times New Roman" w:cs="Times New Roman"/>
        </w:rPr>
      </w:pPr>
    </w:p>
    <w:p w14:paraId="008E1374" w14:textId="77777777" w:rsidR="004B32AF" w:rsidRPr="004B32AF" w:rsidRDefault="004B32AF" w:rsidP="004B32AF">
      <w:pPr>
        <w:spacing w:after="0" w:line="240" w:lineRule="auto"/>
        <w:jc w:val="both"/>
        <w:rPr>
          <w:rFonts w:ascii="Times New Roman" w:hAnsi="Times New Roman" w:cs="Times New Roman"/>
          <w:b/>
          <w:bCs/>
        </w:rPr>
      </w:pPr>
      <w:r w:rsidRPr="004B32AF">
        <w:rPr>
          <w:rFonts w:ascii="Times New Roman" w:hAnsi="Times New Roman" w:cs="Times New Roman"/>
          <w:b/>
          <w:bCs/>
        </w:rPr>
        <w:t>Explainability and Responsible Use</w:t>
      </w:r>
    </w:p>
    <w:p w14:paraId="658CE6E3" w14:textId="77777777" w:rsidR="004B32AF" w:rsidRPr="004B32AF" w:rsidRDefault="004B32AF" w:rsidP="004B32AF">
      <w:pPr>
        <w:spacing w:after="0" w:line="240" w:lineRule="auto"/>
        <w:jc w:val="both"/>
        <w:rPr>
          <w:rFonts w:ascii="Times New Roman" w:hAnsi="Times New Roman" w:cs="Times New Roman"/>
        </w:rPr>
      </w:pPr>
    </w:p>
    <w:p w14:paraId="2907CCBA" w14:textId="69827093" w:rsidR="004B32AF" w:rsidRPr="004B32AF" w:rsidRDefault="004B32AF" w:rsidP="004B32AF">
      <w:pPr>
        <w:spacing w:after="0" w:line="240" w:lineRule="auto"/>
        <w:jc w:val="both"/>
        <w:rPr>
          <w:rFonts w:ascii="Times New Roman" w:hAnsi="Times New Roman" w:cs="Times New Roman"/>
        </w:rPr>
      </w:pPr>
      <w:r w:rsidRPr="004B32AF">
        <w:rPr>
          <w:rFonts w:ascii="Times New Roman" w:hAnsi="Times New Roman" w:cs="Times New Roman"/>
        </w:rPr>
        <w:t xml:space="preserve">The model's predictions should be explained in plain language by highlighting the main financial and payment-related factors associated with a customer's risk assessment. Predictions should support the Collections team in prioritizing proactive and supportive outreach, not automatically </w:t>
      </w:r>
      <w:proofErr w:type="gramStart"/>
      <w:r w:rsidRPr="004B32AF">
        <w:rPr>
          <w:rFonts w:ascii="Times New Roman" w:hAnsi="Times New Roman" w:cs="Times New Roman"/>
        </w:rPr>
        <w:t>determine</w:t>
      </w:r>
      <w:proofErr w:type="gramEnd"/>
      <w:r w:rsidRPr="004B32AF">
        <w:rPr>
          <w:rFonts w:ascii="Times New Roman" w:hAnsi="Times New Roman" w:cs="Times New Roman"/>
        </w:rPr>
        <w:t xml:space="preserve"> punitive actions. Human oversight, regular monitoring, and transparent communication should remain part of the decision-making process.</w:t>
      </w:r>
    </w:p>
    <w:sectPr w:rsidR="004B32AF" w:rsidRPr="004B32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1A4"/>
    <w:rsid w:val="004B32AF"/>
    <w:rsid w:val="007D72C2"/>
    <w:rsid w:val="008237CA"/>
    <w:rsid w:val="00A173F6"/>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3</cp:revision>
  <dcterms:created xsi:type="dcterms:W3CDTF">2013-12-23T23:15:00Z</dcterms:created>
  <dcterms:modified xsi:type="dcterms:W3CDTF">2026-08-24T14:08:00Z</dcterms:modified>
  <cp:category/>
</cp:coreProperties>
</file>