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D5A9D" w14:textId="77777777" w:rsidR="008A74BE" w:rsidRDefault="008A74BE" w:rsidP="000D2383">
      <w:pPr>
        <w:spacing w:line="360" w:lineRule="auto"/>
        <w:rPr>
          <w:rFonts w:ascii="Times New Roman" w:eastAsia="Times New Roman" w:hAnsi="Times New Roman" w:cs="Times New Roman"/>
          <w:sz w:val="24"/>
          <w:szCs w:val="24"/>
        </w:rPr>
      </w:pPr>
    </w:p>
    <w:p w14:paraId="00F0C1AD" w14:textId="55590B75" w:rsidR="00DB38D5" w:rsidRPr="000D2383" w:rsidRDefault="00362173" w:rsidP="000D2383">
      <w:pPr>
        <w:spacing w:line="360" w:lineRule="auto"/>
        <w:rPr>
          <w:rFonts w:ascii="Times New Roman" w:eastAsia="Times New Roman" w:hAnsi="Times New Roman" w:cs="Times New Roman"/>
          <w:sz w:val="24"/>
          <w:szCs w:val="24"/>
        </w:rPr>
      </w:pPr>
      <w:r w:rsidRPr="00362173">
        <w:rPr>
          <w:rFonts w:ascii="Times New Roman" w:hAnsi="Times New Roman" w:cs="Times New Roman"/>
          <w:noProof/>
          <w:sz w:val="24"/>
          <w:szCs w:val="24"/>
        </w:rPr>
        <mc:AlternateContent>
          <mc:Choice Requires="wps">
            <w:drawing>
              <wp:anchor distT="91440" distB="91440" distL="114300" distR="114300" simplePos="0" relativeHeight="251658240" behindDoc="0" locked="0" layoutInCell="1" allowOverlap="1" wp14:anchorId="3E2CEDDF" wp14:editId="5CAE5AB4">
                <wp:simplePos x="0" y="0"/>
                <wp:positionH relativeFrom="page">
                  <wp:align>center</wp:align>
                </wp:positionH>
                <wp:positionV relativeFrom="paragraph">
                  <wp:posOffset>274320</wp:posOffset>
                </wp:positionV>
                <wp:extent cx="3474720" cy="1403985"/>
                <wp:effectExtent l="0" t="0" r="0" b="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2085DB8" w14:textId="49A1C798" w:rsidR="00362173" w:rsidRDefault="00362173">
                            <w:pPr>
                              <w:pBdr>
                                <w:top w:val="single" w:sz="24" w:space="8" w:color="156082" w:themeColor="accent1"/>
                                <w:bottom w:val="single" w:sz="24" w:space="8" w:color="156082" w:themeColor="accent1"/>
                              </w:pBdr>
                              <w:spacing w:after="0"/>
                              <w:rPr>
                                <w:i/>
                                <w:iCs/>
                                <w:color w:val="156082" w:themeColor="accent1"/>
                                <w:sz w:val="24"/>
                              </w:rPr>
                            </w:pPr>
                            <w:r w:rsidRPr="00DB38D5">
                              <w:rPr>
                                <w:rFonts w:ascii="Times New Roman" w:hAnsi="Times New Roman" w:cs="Times New Roman"/>
                                <w:b/>
                                <w:bCs/>
                                <w:sz w:val="72"/>
                                <w:szCs w:val="72"/>
                              </w:rPr>
                              <w:t xml:space="preserve">Climate Change Analysis </w:t>
                            </w:r>
                            <w:r>
                              <w:rPr>
                                <w:rFonts w:ascii="Times New Roman" w:hAnsi="Times New Roman" w:cs="Times New Roman"/>
                                <w:b/>
                                <w:bCs/>
                                <w:sz w:val="72"/>
                                <w:szCs w:val="72"/>
                              </w:rPr>
                              <w:t xml:space="preserve">      Report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E2CEDDF" id="_x0000_t202" coordsize="21600,21600" o:spt="202" path="m,l,21600r21600,l21600,xe">
                <v:stroke joinstyle="miter"/>
                <v:path gradientshapeok="t" o:connecttype="rect"/>
              </v:shapetype>
              <v:shape id="Text Box 307" o:spid="_x0000_s1026" type="#_x0000_t202" style="position:absolute;margin-left:0;margin-top:21.6pt;width:273.6pt;height:110.55pt;z-index:25165824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22085DB8" w14:textId="49A1C798" w:rsidR="00362173" w:rsidRDefault="00362173">
                      <w:pPr>
                        <w:pBdr>
                          <w:top w:val="single" w:sz="24" w:space="8" w:color="156082" w:themeColor="accent1"/>
                          <w:bottom w:val="single" w:sz="24" w:space="8" w:color="156082" w:themeColor="accent1"/>
                        </w:pBdr>
                        <w:spacing w:after="0"/>
                        <w:rPr>
                          <w:i/>
                          <w:iCs/>
                          <w:color w:val="156082" w:themeColor="accent1"/>
                          <w:sz w:val="24"/>
                        </w:rPr>
                      </w:pPr>
                      <w:r w:rsidRPr="00DB38D5">
                        <w:rPr>
                          <w:rFonts w:ascii="Times New Roman" w:hAnsi="Times New Roman" w:cs="Times New Roman"/>
                          <w:b/>
                          <w:bCs/>
                          <w:sz w:val="72"/>
                          <w:szCs w:val="72"/>
                        </w:rPr>
                        <w:t xml:space="preserve">Climate Change Analysis </w:t>
                      </w:r>
                      <w:r>
                        <w:rPr>
                          <w:rFonts w:ascii="Times New Roman" w:hAnsi="Times New Roman" w:cs="Times New Roman"/>
                          <w:b/>
                          <w:bCs/>
                          <w:sz w:val="72"/>
                          <w:szCs w:val="72"/>
                        </w:rPr>
                        <w:t xml:space="preserve">      Report</w:t>
                      </w:r>
                    </w:p>
                  </w:txbxContent>
                </v:textbox>
                <w10:wrap type="topAndBottom" anchorx="page"/>
              </v:shape>
            </w:pict>
          </mc:Fallback>
        </mc:AlternateContent>
      </w:r>
      <w:r w:rsidR="00F656E3" w:rsidRPr="4FE64A15">
        <w:rPr>
          <w:rFonts w:ascii="Times New Roman" w:eastAsia="Times New Roman" w:hAnsi="Times New Roman" w:cs="Times New Roman"/>
          <w:sz w:val="24"/>
          <w:szCs w:val="24"/>
        </w:rPr>
        <w:t xml:space="preserve">  </w:t>
      </w:r>
    </w:p>
    <w:p w14:paraId="7A4C14C9" w14:textId="77777777" w:rsidR="0052380E" w:rsidRDefault="0052380E" w:rsidP="000D2383">
      <w:pPr>
        <w:spacing w:line="360" w:lineRule="auto"/>
        <w:jc w:val="center"/>
        <w:rPr>
          <w:rFonts w:ascii="Times New Roman" w:eastAsia="Times New Roman" w:hAnsi="Times New Roman" w:cs="Times New Roman"/>
          <w:sz w:val="24"/>
          <w:szCs w:val="24"/>
        </w:rPr>
      </w:pPr>
    </w:p>
    <w:p w14:paraId="535089E5" w14:textId="5A514189" w:rsidR="00DB38D5" w:rsidRDefault="00DB38D5" w:rsidP="000D2383">
      <w:pPr>
        <w:spacing w:line="360" w:lineRule="auto"/>
        <w:jc w:val="center"/>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Central Michigan University</w:t>
      </w:r>
    </w:p>
    <w:p w14:paraId="53C6F726" w14:textId="77777777" w:rsidR="00DB38D5" w:rsidRDefault="00DB38D5" w:rsidP="000D2383">
      <w:pPr>
        <w:spacing w:line="360" w:lineRule="auto"/>
        <w:jc w:val="center"/>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BIS580 Business Decision Modeling </w:t>
      </w:r>
    </w:p>
    <w:p w14:paraId="1304484C" w14:textId="77777777" w:rsidR="00DB38D5" w:rsidRDefault="00DB38D5" w:rsidP="000D2383">
      <w:pPr>
        <w:spacing w:line="360" w:lineRule="auto"/>
        <w:jc w:val="center"/>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Dr. Shweta Chopra</w:t>
      </w:r>
    </w:p>
    <w:p w14:paraId="265636C5" w14:textId="77777777" w:rsidR="00DB38D5" w:rsidRDefault="00DB38D5" w:rsidP="000D2383">
      <w:pPr>
        <w:spacing w:line="360" w:lineRule="auto"/>
        <w:jc w:val="center"/>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June 21, 2024</w:t>
      </w:r>
    </w:p>
    <w:p w14:paraId="137D91D6" w14:textId="77777777" w:rsidR="00DB38D5" w:rsidRDefault="00DB38D5" w:rsidP="000D2383">
      <w:pPr>
        <w:spacing w:line="360" w:lineRule="auto"/>
        <w:jc w:val="center"/>
        <w:rPr>
          <w:rFonts w:ascii="Times New Roman" w:eastAsia="Times New Roman" w:hAnsi="Times New Roman" w:cs="Times New Roman"/>
          <w:b/>
          <w:sz w:val="72"/>
          <w:szCs w:val="72"/>
        </w:rPr>
      </w:pPr>
    </w:p>
    <w:p w14:paraId="2CA57F00" w14:textId="0A5A15D9" w:rsidR="00DB38D5" w:rsidRPr="00DB38D5" w:rsidRDefault="00DB38D5" w:rsidP="000D2383">
      <w:pPr>
        <w:spacing w:line="360" w:lineRule="auto"/>
        <w:jc w:val="right"/>
        <w:rPr>
          <w:rFonts w:ascii="Times New Roman" w:eastAsia="Times New Roman" w:hAnsi="Times New Roman" w:cs="Times New Roman"/>
          <w:b/>
          <w:sz w:val="48"/>
          <w:szCs w:val="48"/>
        </w:rPr>
      </w:pPr>
      <w:r w:rsidRPr="4FE64A15">
        <w:rPr>
          <w:rFonts w:ascii="Times New Roman" w:eastAsia="Times New Roman" w:hAnsi="Times New Roman" w:cs="Times New Roman"/>
          <w:b/>
          <w:sz w:val="72"/>
          <w:szCs w:val="72"/>
        </w:rPr>
        <w:t xml:space="preserve"> </w:t>
      </w:r>
      <w:r w:rsidRPr="4FE64A15">
        <w:rPr>
          <w:rFonts w:ascii="Times New Roman" w:eastAsia="Times New Roman" w:hAnsi="Times New Roman" w:cs="Times New Roman"/>
          <w:b/>
          <w:sz w:val="48"/>
          <w:szCs w:val="48"/>
        </w:rPr>
        <w:t>Team Members:</w:t>
      </w:r>
    </w:p>
    <w:p w14:paraId="6D358197" w14:textId="77777777" w:rsidR="00DB38D5" w:rsidRDefault="00136123" w:rsidP="000D2383">
      <w:pPr>
        <w:spacing w:line="360" w:lineRule="auto"/>
        <w:jc w:val="right"/>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Meghana G S</w:t>
      </w:r>
    </w:p>
    <w:p w14:paraId="23506BC7" w14:textId="77777777" w:rsidR="00DB38D5" w:rsidRDefault="00136123" w:rsidP="000D2383">
      <w:pPr>
        <w:spacing w:line="360" w:lineRule="auto"/>
        <w:jc w:val="right"/>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 Amith </w:t>
      </w:r>
      <w:proofErr w:type="spellStart"/>
      <w:r w:rsidRPr="4FE64A15">
        <w:rPr>
          <w:rFonts w:ascii="Times New Roman" w:eastAsia="Times New Roman" w:hAnsi="Times New Roman" w:cs="Times New Roman"/>
          <w:sz w:val="24"/>
          <w:szCs w:val="24"/>
        </w:rPr>
        <w:t>Gundluri</w:t>
      </w:r>
      <w:proofErr w:type="spellEnd"/>
    </w:p>
    <w:p w14:paraId="2D9C1B54" w14:textId="77777777" w:rsidR="00DB38D5" w:rsidRDefault="00136123" w:rsidP="000D2383">
      <w:pPr>
        <w:spacing w:line="360" w:lineRule="auto"/>
        <w:jc w:val="right"/>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Likith Sai Varma </w:t>
      </w:r>
      <w:proofErr w:type="spellStart"/>
      <w:r w:rsidRPr="4FE64A15">
        <w:rPr>
          <w:rFonts w:ascii="Times New Roman" w:eastAsia="Times New Roman" w:hAnsi="Times New Roman" w:cs="Times New Roman"/>
          <w:sz w:val="24"/>
          <w:szCs w:val="24"/>
        </w:rPr>
        <w:t>Hasthi</w:t>
      </w:r>
      <w:proofErr w:type="spellEnd"/>
    </w:p>
    <w:p w14:paraId="7B1DFF16" w14:textId="77777777" w:rsidR="00DB38D5" w:rsidRDefault="00136123" w:rsidP="000D2383">
      <w:pPr>
        <w:spacing w:line="360" w:lineRule="auto"/>
        <w:jc w:val="right"/>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 Emilie Hock</w:t>
      </w:r>
    </w:p>
    <w:p w14:paraId="4A519FB8" w14:textId="77777777" w:rsidR="00DB38D5" w:rsidRDefault="00136123" w:rsidP="000D2383">
      <w:pPr>
        <w:spacing w:line="360" w:lineRule="auto"/>
        <w:jc w:val="right"/>
        <w:rPr>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 </w:t>
      </w:r>
      <w:proofErr w:type="spellStart"/>
      <w:r w:rsidRPr="4FE64A15">
        <w:rPr>
          <w:rFonts w:ascii="Times New Roman" w:eastAsia="Times New Roman" w:hAnsi="Times New Roman" w:cs="Times New Roman"/>
          <w:sz w:val="24"/>
          <w:szCs w:val="24"/>
        </w:rPr>
        <w:t>Suswara</w:t>
      </w:r>
      <w:proofErr w:type="spellEnd"/>
      <w:r w:rsidRPr="4FE64A15">
        <w:rPr>
          <w:rFonts w:ascii="Times New Roman" w:eastAsia="Times New Roman" w:hAnsi="Times New Roman" w:cs="Times New Roman"/>
          <w:sz w:val="24"/>
          <w:szCs w:val="24"/>
        </w:rPr>
        <w:t xml:space="preserve"> Kandula</w:t>
      </w:r>
    </w:p>
    <w:p w14:paraId="7A51CD8B" w14:textId="28217F7D" w:rsidR="457EA87F" w:rsidRPr="000D2383" w:rsidRDefault="00136123" w:rsidP="000D2383">
      <w:pPr>
        <w:spacing w:line="360" w:lineRule="auto"/>
        <w:jc w:val="right"/>
        <w:rPr>
          <w:rStyle w:val="normaltextrun"/>
          <w:rFonts w:ascii="Times New Roman" w:eastAsia="Times New Roman" w:hAnsi="Times New Roman" w:cs="Times New Roman"/>
          <w:sz w:val="24"/>
          <w:szCs w:val="24"/>
        </w:rPr>
      </w:pPr>
      <w:r w:rsidRPr="4FE64A15">
        <w:rPr>
          <w:rFonts w:ascii="Times New Roman" w:eastAsia="Times New Roman" w:hAnsi="Times New Roman" w:cs="Times New Roman"/>
          <w:sz w:val="24"/>
          <w:szCs w:val="24"/>
        </w:rPr>
        <w:t xml:space="preserve"> </w:t>
      </w:r>
      <w:r w:rsidR="00362173" w:rsidRPr="4FE64A15">
        <w:rPr>
          <w:rFonts w:ascii="Times New Roman" w:eastAsia="Times New Roman" w:hAnsi="Times New Roman" w:cs="Times New Roman"/>
          <w:sz w:val="24"/>
          <w:szCs w:val="24"/>
        </w:rPr>
        <w:t>Yashasri</w:t>
      </w:r>
      <w:r w:rsidRPr="4FE64A15">
        <w:rPr>
          <w:rFonts w:ascii="Times New Roman" w:eastAsia="Times New Roman" w:hAnsi="Times New Roman" w:cs="Times New Roman"/>
          <w:sz w:val="24"/>
          <w:szCs w:val="24"/>
        </w:rPr>
        <w:t xml:space="preserve"> Velede</w:t>
      </w:r>
    </w:p>
    <w:p w14:paraId="080CF946" w14:textId="6FD5245B" w:rsidR="00A56C7B" w:rsidRDefault="00A56C7B" w:rsidP="000D2383">
      <w:pPr>
        <w:pStyle w:val="paragraph"/>
        <w:spacing w:before="0" w:beforeAutospacing="0" w:after="0" w:afterAutospacing="0" w:line="360" w:lineRule="auto"/>
        <w:rPr>
          <w:rStyle w:val="normaltextrun"/>
          <w:rFonts w:eastAsiaTheme="majorEastAsia"/>
        </w:rPr>
      </w:pPr>
    </w:p>
    <w:p w14:paraId="17049A6E" w14:textId="77777777" w:rsidR="00A56C7B" w:rsidRDefault="00A56C7B" w:rsidP="000D2383">
      <w:pPr>
        <w:pStyle w:val="paragraph"/>
        <w:spacing w:before="0" w:beforeAutospacing="0" w:after="0" w:afterAutospacing="0" w:line="360" w:lineRule="auto"/>
        <w:textAlignment w:val="baseline"/>
        <w:rPr>
          <w:sz w:val="18"/>
          <w:szCs w:val="18"/>
        </w:rPr>
      </w:pPr>
      <w:r w:rsidRPr="53002CAC">
        <w:rPr>
          <w:rStyle w:val="normaltextrun"/>
          <w:rFonts w:eastAsiaTheme="majorEastAsia"/>
          <w:b/>
        </w:rPr>
        <w:t>Table of Contents</w:t>
      </w:r>
      <w:r>
        <w:rPr>
          <w:rStyle w:val="eop"/>
          <w:rFonts w:eastAsiaTheme="majorEastAsia"/>
        </w:rPr>
        <w:t> </w:t>
      </w:r>
    </w:p>
    <w:p w14:paraId="2C590550" w14:textId="691F9DA0" w:rsidR="00A56C7B" w:rsidRDefault="00A56C7B" w:rsidP="000D2383">
      <w:pPr>
        <w:pStyle w:val="paragraph"/>
        <w:spacing w:before="0" w:beforeAutospacing="0" w:after="0" w:afterAutospacing="0" w:line="360" w:lineRule="auto"/>
        <w:textAlignment w:val="baseline"/>
        <w:rPr>
          <w:sz w:val="18"/>
          <w:szCs w:val="18"/>
        </w:rPr>
      </w:pPr>
      <w:r>
        <w:rPr>
          <w:rStyle w:val="normaltextrun"/>
          <w:rFonts w:eastAsiaTheme="majorEastAsia"/>
        </w:rPr>
        <w:t>Executive Summary……………………………………………………………………......</w:t>
      </w:r>
      <w:r w:rsidR="00DF5D64">
        <w:rPr>
          <w:rStyle w:val="normaltextrun"/>
          <w:rFonts w:eastAsiaTheme="majorEastAsia"/>
        </w:rPr>
        <w:t>.</w:t>
      </w:r>
      <w:r>
        <w:rPr>
          <w:rStyle w:val="normaltextrun"/>
          <w:rFonts w:eastAsiaTheme="majorEastAsia"/>
        </w:rPr>
        <w:t>2</w:t>
      </w:r>
      <w:r>
        <w:rPr>
          <w:rStyle w:val="eop"/>
          <w:rFonts w:eastAsiaTheme="majorEastAsia"/>
        </w:rPr>
        <w:t> </w:t>
      </w:r>
    </w:p>
    <w:p w14:paraId="6E2D917F" w14:textId="03289703" w:rsidR="00A56C7B" w:rsidRPr="005578C7" w:rsidRDefault="00B05248" w:rsidP="000D2383">
      <w:pPr>
        <w:pStyle w:val="paragraph"/>
        <w:spacing w:before="0" w:beforeAutospacing="0" w:after="0" w:afterAutospacing="0" w:line="360" w:lineRule="auto"/>
        <w:textAlignment w:val="baseline"/>
        <w:rPr>
          <w:rStyle w:val="normaltextrun"/>
          <w:rFonts w:eastAsiaTheme="majorEastAsia"/>
        </w:rPr>
      </w:pPr>
      <w:r>
        <w:rPr>
          <w:rStyle w:val="normaltextrun"/>
          <w:rFonts w:eastAsiaTheme="majorEastAsia"/>
        </w:rPr>
        <w:t>Introduction</w:t>
      </w:r>
      <w:r w:rsidR="00240D94">
        <w:rPr>
          <w:rStyle w:val="normaltextrun"/>
          <w:rFonts w:eastAsiaTheme="majorEastAsia"/>
        </w:rPr>
        <w:t xml:space="preserve"> </w:t>
      </w:r>
      <w:r>
        <w:rPr>
          <w:rStyle w:val="normaltextrun"/>
          <w:rFonts w:eastAsiaTheme="majorEastAsia"/>
        </w:rPr>
        <w:t>B</w:t>
      </w:r>
      <w:r w:rsidR="00240D94">
        <w:rPr>
          <w:rStyle w:val="normaltextrun"/>
          <w:rFonts w:eastAsiaTheme="majorEastAsia"/>
        </w:rPr>
        <w:t>a</w:t>
      </w:r>
      <w:r>
        <w:rPr>
          <w:rStyle w:val="normaltextrun"/>
          <w:rFonts w:eastAsiaTheme="majorEastAsia"/>
        </w:rPr>
        <w:t>ckground</w:t>
      </w:r>
      <w:r w:rsidR="005578C7">
        <w:rPr>
          <w:rStyle w:val="normaltextrun"/>
          <w:rFonts w:eastAsiaTheme="majorEastAsia"/>
        </w:rPr>
        <w:t>/Problem Statemen</w:t>
      </w:r>
      <w:r w:rsidR="00802517">
        <w:rPr>
          <w:rStyle w:val="normaltextrun"/>
          <w:rFonts w:eastAsiaTheme="majorEastAsia"/>
        </w:rPr>
        <w:t>t</w:t>
      </w:r>
      <w:r w:rsidR="00197141">
        <w:rPr>
          <w:rStyle w:val="normaltextrun"/>
          <w:rFonts w:eastAsiaTheme="majorEastAsia"/>
        </w:rPr>
        <w:t xml:space="preserve"> </w:t>
      </w:r>
      <w:r w:rsidR="534ED6AC" w:rsidRPr="53002CAC">
        <w:rPr>
          <w:rStyle w:val="normaltextrun"/>
          <w:rFonts w:eastAsiaTheme="majorEastAsia"/>
        </w:rPr>
        <w:t>…………………………………………</w:t>
      </w:r>
      <w:r w:rsidR="5D467CCA" w:rsidRPr="53002CAC">
        <w:rPr>
          <w:rStyle w:val="normaltextrun"/>
          <w:rFonts w:eastAsiaTheme="majorEastAsia"/>
        </w:rPr>
        <w:t>.......</w:t>
      </w:r>
      <w:r w:rsidR="00EE1AE6">
        <w:rPr>
          <w:rStyle w:val="normaltextrun"/>
          <w:rFonts w:eastAsiaTheme="majorEastAsia"/>
        </w:rPr>
        <w:t>3</w:t>
      </w:r>
    </w:p>
    <w:p w14:paraId="6533A142" w14:textId="3DAE56B3" w:rsidR="00A56C7B" w:rsidRDefault="00A94974" w:rsidP="000D2383">
      <w:pPr>
        <w:pStyle w:val="paragraph"/>
        <w:spacing w:before="0" w:beforeAutospacing="0" w:after="0" w:afterAutospacing="0" w:line="360" w:lineRule="auto"/>
        <w:textAlignment w:val="baseline"/>
        <w:rPr>
          <w:sz w:val="18"/>
          <w:szCs w:val="18"/>
        </w:rPr>
      </w:pPr>
      <w:r>
        <w:t>Analysis</w:t>
      </w:r>
      <w:r>
        <w:rPr>
          <w:rStyle w:val="normaltextrun"/>
          <w:rFonts w:eastAsiaTheme="majorEastAsia"/>
        </w:rPr>
        <w:t xml:space="preserve"> </w:t>
      </w:r>
      <w:r w:rsidR="00A56C7B">
        <w:rPr>
          <w:rStyle w:val="normaltextrun"/>
          <w:rFonts w:eastAsiaTheme="majorEastAsia"/>
        </w:rPr>
        <w:t>………………………………………....…</w:t>
      </w:r>
      <w:proofErr w:type="gramStart"/>
      <w:r w:rsidR="00A56C7B">
        <w:rPr>
          <w:rStyle w:val="normaltextrun"/>
          <w:rFonts w:eastAsiaTheme="majorEastAsia"/>
        </w:rPr>
        <w:t>…..</w:t>
      </w:r>
      <w:proofErr w:type="gramEnd"/>
      <w:r w:rsidR="00A56C7B">
        <w:rPr>
          <w:rStyle w:val="normaltextrun"/>
          <w:rFonts w:eastAsiaTheme="majorEastAsia"/>
        </w:rPr>
        <w:t>…...</w:t>
      </w:r>
      <w:r w:rsidR="00CB2C42">
        <w:rPr>
          <w:rStyle w:val="normaltextrun"/>
          <w:rFonts w:eastAsiaTheme="majorEastAsia"/>
        </w:rPr>
        <w:t>................................................</w:t>
      </w:r>
      <w:r w:rsidR="00D6439D">
        <w:rPr>
          <w:rStyle w:val="normaltextrun"/>
          <w:rFonts w:eastAsiaTheme="majorEastAsia"/>
        </w:rPr>
        <w:t>4</w:t>
      </w:r>
    </w:p>
    <w:p w14:paraId="08BE3F04" w14:textId="27D88B55" w:rsidR="00A56C7B" w:rsidRDefault="00CB2C42" w:rsidP="000D2383">
      <w:pPr>
        <w:pStyle w:val="paragraph"/>
        <w:spacing w:before="0" w:beforeAutospacing="0" w:after="0" w:afterAutospacing="0" w:line="360" w:lineRule="auto"/>
        <w:textAlignment w:val="baseline"/>
        <w:rPr>
          <w:sz w:val="18"/>
          <w:szCs w:val="18"/>
        </w:rPr>
      </w:pPr>
      <w:r>
        <w:t>Decision Analysis</w:t>
      </w:r>
      <w:r>
        <w:rPr>
          <w:rStyle w:val="normaltextrun"/>
          <w:rFonts w:eastAsiaTheme="majorEastAsia"/>
        </w:rPr>
        <w:t xml:space="preserve"> </w:t>
      </w:r>
      <w:r w:rsidR="00A56C7B">
        <w:rPr>
          <w:rStyle w:val="normaltextrun"/>
          <w:rFonts w:eastAsiaTheme="majorEastAsia"/>
        </w:rPr>
        <w:t>………………………………………………………</w:t>
      </w:r>
      <w:proofErr w:type="gramStart"/>
      <w:r w:rsidR="00A56C7B">
        <w:rPr>
          <w:rStyle w:val="normaltextrun"/>
          <w:rFonts w:eastAsiaTheme="majorEastAsia"/>
        </w:rPr>
        <w:t>…..</w:t>
      </w:r>
      <w:proofErr w:type="gramEnd"/>
      <w:r w:rsidR="00A56C7B">
        <w:rPr>
          <w:rStyle w:val="normaltextrun"/>
          <w:rFonts w:eastAsiaTheme="majorEastAsia"/>
        </w:rPr>
        <w:t>…</w:t>
      </w:r>
      <w:r>
        <w:rPr>
          <w:rStyle w:val="normaltextrun"/>
          <w:rFonts w:eastAsiaTheme="majorEastAsia"/>
        </w:rPr>
        <w:t>…………...</w:t>
      </w:r>
      <w:r w:rsidR="00A56C7B">
        <w:rPr>
          <w:rStyle w:val="normaltextrun"/>
          <w:rFonts w:eastAsiaTheme="majorEastAsia"/>
        </w:rPr>
        <w:t>.</w:t>
      </w:r>
      <w:r w:rsidR="00D6439D">
        <w:rPr>
          <w:rStyle w:val="normaltextrun"/>
          <w:rFonts w:eastAsiaTheme="majorEastAsia"/>
        </w:rPr>
        <w:t>4</w:t>
      </w:r>
      <w:r w:rsidR="00A56C7B">
        <w:rPr>
          <w:rStyle w:val="eop"/>
          <w:rFonts w:eastAsiaTheme="majorEastAsia"/>
        </w:rPr>
        <w:t> </w:t>
      </w:r>
    </w:p>
    <w:p w14:paraId="05842E5C" w14:textId="1B173422" w:rsidR="00A56C7B" w:rsidRDefault="00A86455" w:rsidP="000D2383">
      <w:pPr>
        <w:pStyle w:val="paragraph"/>
        <w:spacing w:before="0" w:beforeAutospacing="0" w:after="0" w:afterAutospacing="0" w:line="360" w:lineRule="auto"/>
        <w:textAlignment w:val="baseline"/>
        <w:rPr>
          <w:sz w:val="18"/>
          <w:szCs w:val="18"/>
        </w:rPr>
      </w:pPr>
      <w:r>
        <w:t>Linear Regression</w:t>
      </w:r>
      <w:r w:rsidR="005475E4">
        <w:t xml:space="preserve"> …...</w:t>
      </w:r>
      <w:r w:rsidR="00A56C7B">
        <w:rPr>
          <w:rStyle w:val="normaltextrun"/>
          <w:rFonts w:eastAsiaTheme="majorEastAsia"/>
        </w:rPr>
        <w:t>…….……………………………………………………….……</w:t>
      </w:r>
      <w:proofErr w:type="gramStart"/>
      <w:r w:rsidR="00A56C7B">
        <w:rPr>
          <w:rStyle w:val="normaltextrun"/>
          <w:rFonts w:eastAsiaTheme="majorEastAsia"/>
        </w:rPr>
        <w:t>.....</w:t>
      </w:r>
      <w:proofErr w:type="gramEnd"/>
      <w:r w:rsidR="00D6439D">
        <w:rPr>
          <w:rStyle w:val="normaltextrun"/>
          <w:rFonts w:eastAsiaTheme="majorEastAsia"/>
        </w:rPr>
        <w:t>5</w:t>
      </w:r>
      <w:r w:rsidR="00A56C7B">
        <w:rPr>
          <w:rStyle w:val="eop"/>
          <w:rFonts w:eastAsiaTheme="majorEastAsia"/>
        </w:rPr>
        <w:t> </w:t>
      </w:r>
    </w:p>
    <w:p w14:paraId="3AF331D9" w14:textId="481C0148" w:rsidR="00A56C7B" w:rsidRDefault="00E33AC7" w:rsidP="000D2383">
      <w:pPr>
        <w:pStyle w:val="paragraph"/>
        <w:spacing w:before="0" w:beforeAutospacing="0" w:after="0" w:afterAutospacing="0" w:line="360" w:lineRule="auto"/>
        <w:textAlignment w:val="baseline"/>
        <w:rPr>
          <w:sz w:val="18"/>
          <w:szCs w:val="18"/>
        </w:rPr>
      </w:pPr>
      <w:r>
        <w:t>Forecasting</w:t>
      </w:r>
      <w:r>
        <w:rPr>
          <w:rStyle w:val="normaltextrun"/>
          <w:rFonts w:eastAsiaTheme="majorEastAsia"/>
        </w:rPr>
        <w:t xml:space="preserve"> …………………</w:t>
      </w:r>
      <w:r w:rsidR="00A56C7B">
        <w:rPr>
          <w:rStyle w:val="normaltextrun"/>
          <w:rFonts w:eastAsiaTheme="majorEastAsia"/>
        </w:rPr>
        <w:t>…………………………………………………...</w:t>
      </w:r>
      <w:proofErr w:type="gramStart"/>
      <w:r w:rsidR="00A56C7B">
        <w:rPr>
          <w:rStyle w:val="normaltextrun"/>
          <w:rFonts w:eastAsiaTheme="majorEastAsia"/>
        </w:rPr>
        <w:t>….…..</w:t>
      </w:r>
      <w:proofErr w:type="gramEnd"/>
      <w:r w:rsidR="00A56C7B">
        <w:rPr>
          <w:rStyle w:val="normaltextrun"/>
          <w:rFonts w:eastAsiaTheme="majorEastAsia"/>
        </w:rPr>
        <w:t>…..</w:t>
      </w:r>
      <w:r w:rsidR="00D6439D">
        <w:rPr>
          <w:rStyle w:val="normaltextrun"/>
          <w:rFonts w:eastAsiaTheme="majorEastAsia"/>
        </w:rPr>
        <w:t>7</w:t>
      </w:r>
      <w:r w:rsidR="00A56C7B">
        <w:rPr>
          <w:rStyle w:val="eop"/>
          <w:rFonts w:eastAsiaTheme="majorEastAsia"/>
        </w:rPr>
        <w:t> </w:t>
      </w:r>
    </w:p>
    <w:p w14:paraId="1ECC350A" w14:textId="421B4922" w:rsidR="00A56C7B" w:rsidRDefault="00A749D7" w:rsidP="000D2383">
      <w:pPr>
        <w:pStyle w:val="paragraph"/>
        <w:spacing w:before="0" w:beforeAutospacing="0" w:after="0" w:afterAutospacing="0" w:line="360" w:lineRule="auto"/>
        <w:textAlignment w:val="baseline"/>
        <w:rPr>
          <w:sz w:val="18"/>
          <w:szCs w:val="18"/>
        </w:rPr>
      </w:pPr>
      <w:r>
        <w:t>Optimization …………………………</w:t>
      </w:r>
      <w:r w:rsidR="00A56C7B">
        <w:rPr>
          <w:rStyle w:val="normaltextrun"/>
          <w:rFonts w:eastAsiaTheme="majorEastAsia"/>
        </w:rPr>
        <w:t>……………………………………...……….…......</w:t>
      </w:r>
      <w:r w:rsidR="00D6439D">
        <w:rPr>
          <w:rStyle w:val="normaltextrun"/>
          <w:rFonts w:eastAsiaTheme="majorEastAsia"/>
        </w:rPr>
        <w:t>10</w:t>
      </w:r>
    </w:p>
    <w:p w14:paraId="1B1B86FE" w14:textId="38A7145F" w:rsidR="00A56C7B" w:rsidRDefault="00EF22A6" w:rsidP="000D2383">
      <w:pPr>
        <w:pStyle w:val="paragraph"/>
        <w:spacing w:before="0" w:beforeAutospacing="0" w:after="0" w:afterAutospacing="0" w:line="360" w:lineRule="auto"/>
        <w:textAlignment w:val="baseline"/>
        <w:rPr>
          <w:sz w:val="18"/>
          <w:szCs w:val="18"/>
        </w:rPr>
      </w:pPr>
      <w:r>
        <w:t>Probability and statistics</w:t>
      </w:r>
      <w:r>
        <w:rPr>
          <w:rStyle w:val="normaltextrun"/>
          <w:rFonts w:eastAsiaTheme="majorEastAsia"/>
        </w:rPr>
        <w:t xml:space="preserve"> </w:t>
      </w:r>
      <w:r w:rsidR="00D059A3">
        <w:rPr>
          <w:rStyle w:val="normaltextrun"/>
          <w:rFonts w:eastAsiaTheme="majorEastAsia"/>
        </w:rPr>
        <w:t>...</w:t>
      </w:r>
      <w:r w:rsidR="00A56C7B">
        <w:rPr>
          <w:rStyle w:val="normaltextrun"/>
          <w:rFonts w:eastAsiaTheme="majorEastAsia"/>
        </w:rPr>
        <w:t>………………………………………</w:t>
      </w:r>
      <w:proofErr w:type="gramStart"/>
      <w:r w:rsidR="00A56C7B">
        <w:rPr>
          <w:rStyle w:val="normaltextrun"/>
          <w:rFonts w:eastAsiaTheme="majorEastAsia"/>
        </w:rPr>
        <w:t>…..</w:t>
      </w:r>
      <w:proofErr w:type="gramEnd"/>
      <w:r w:rsidR="00A56C7B">
        <w:rPr>
          <w:rStyle w:val="normaltextrun"/>
          <w:rFonts w:eastAsiaTheme="majorEastAsia"/>
        </w:rPr>
        <w:t>…………….………..</w:t>
      </w:r>
      <w:r w:rsidR="00D6439D">
        <w:rPr>
          <w:rStyle w:val="normaltextrun"/>
          <w:rFonts w:eastAsiaTheme="majorEastAsia"/>
        </w:rPr>
        <w:t>10</w:t>
      </w:r>
    </w:p>
    <w:p w14:paraId="0A168742" w14:textId="2EBA1BD6" w:rsidR="00A56C7B" w:rsidRDefault="00645F20" w:rsidP="000D2383">
      <w:pPr>
        <w:pStyle w:val="paragraph"/>
        <w:spacing w:before="0" w:beforeAutospacing="0" w:after="0" w:afterAutospacing="0" w:line="360" w:lineRule="auto"/>
        <w:textAlignment w:val="baseline"/>
        <w:rPr>
          <w:sz w:val="18"/>
          <w:szCs w:val="18"/>
        </w:rPr>
      </w:pPr>
      <w:r>
        <w:t>Sensitivity Analysis</w:t>
      </w:r>
      <w:r>
        <w:rPr>
          <w:rStyle w:val="normaltextrun"/>
          <w:rFonts w:eastAsiaTheme="majorEastAsia"/>
        </w:rPr>
        <w:t xml:space="preserve"> </w:t>
      </w:r>
      <w:r w:rsidRPr="53002CAC">
        <w:rPr>
          <w:rStyle w:val="normaltextrun"/>
          <w:rFonts w:eastAsiaTheme="majorEastAsia"/>
        </w:rPr>
        <w:t>…………………….</w:t>
      </w:r>
      <w:r w:rsidR="00A56C7B" w:rsidRPr="53002CAC">
        <w:rPr>
          <w:rStyle w:val="normaltextrun"/>
          <w:rFonts w:eastAsiaTheme="majorEastAsia"/>
        </w:rPr>
        <w:t>…………………………………………………..</w:t>
      </w:r>
      <w:r w:rsidR="00D6439D">
        <w:rPr>
          <w:rStyle w:val="normaltextrun"/>
          <w:rFonts w:eastAsiaTheme="majorEastAsia"/>
        </w:rPr>
        <w:t>.13</w:t>
      </w:r>
    </w:p>
    <w:p w14:paraId="129F533F" w14:textId="43E8DC15" w:rsidR="00A56C7B" w:rsidRDefault="000E2316" w:rsidP="000D2383">
      <w:pPr>
        <w:pStyle w:val="paragraph"/>
        <w:spacing w:before="0" w:beforeAutospacing="0" w:after="0" w:afterAutospacing="0" w:line="360" w:lineRule="auto"/>
        <w:textAlignment w:val="baseline"/>
        <w:rPr>
          <w:sz w:val="18"/>
          <w:szCs w:val="18"/>
        </w:rPr>
      </w:pPr>
      <w:r>
        <w:rPr>
          <w:rStyle w:val="normaltextrun"/>
          <w:rFonts w:eastAsiaTheme="majorEastAsia"/>
        </w:rPr>
        <w:t>Conclusion and Recommendations...</w:t>
      </w:r>
      <w:r w:rsidR="00A56C7B">
        <w:rPr>
          <w:rStyle w:val="normaltextrun"/>
          <w:rFonts w:eastAsiaTheme="majorEastAsia"/>
        </w:rPr>
        <w:t>……………………………………………….……</w:t>
      </w:r>
      <w:proofErr w:type="gramStart"/>
      <w:r w:rsidR="00A56C7B">
        <w:rPr>
          <w:rStyle w:val="normaltextrun"/>
          <w:rFonts w:eastAsiaTheme="majorEastAsia"/>
        </w:rPr>
        <w:t>.....</w:t>
      </w:r>
      <w:proofErr w:type="gramEnd"/>
      <w:r w:rsidR="00081ABF">
        <w:rPr>
          <w:rStyle w:val="normaltextrun"/>
          <w:rFonts w:eastAsiaTheme="majorEastAsia"/>
        </w:rPr>
        <w:t>1</w:t>
      </w:r>
      <w:r w:rsidR="00E442AD">
        <w:rPr>
          <w:rStyle w:val="normaltextrun"/>
          <w:rFonts w:eastAsiaTheme="majorEastAsia"/>
        </w:rPr>
        <w:t>7</w:t>
      </w:r>
    </w:p>
    <w:p w14:paraId="05495E8C" w14:textId="61AE393A" w:rsidR="00A56C7B" w:rsidRDefault="000E2316" w:rsidP="000D2383">
      <w:pPr>
        <w:pStyle w:val="paragraph"/>
        <w:spacing w:before="0" w:beforeAutospacing="0" w:after="0" w:afterAutospacing="0" w:line="360" w:lineRule="auto"/>
        <w:textAlignment w:val="baseline"/>
        <w:rPr>
          <w:sz w:val="18"/>
          <w:szCs w:val="18"/>
        </w:rPr>
      </w:pPr>
      <w:r>
        <w:rPr>
          <w:rStyle w:val="normaltextrun"/>
          <w:rFonts w:eastAsiaTheme="majorEastAsia"/>
        </w:rPr>
        <w:t>References………</w:t>
      </w:r>
      <w:proofErr w:type="gramStart"/>
      <w:r>
        <w:rPr>
          <w:rStyle w:val="normaltextrun"/>
          <w:rFonts w:eastAsiaTheme="majorEastAsia"/>
        </w:rPr>
        <w:t>…..</w:t>
      </w:r>
      <w:proofErr w:type="gramEnd"/>
      <w:r w:rsidR="00A56C7B">
        <w:rPr>
          <w:rStyle w:val="normaltextrun"/>
          <w:rFonts w:eastAsiaTheme="majorEastAsia"/>
        </w:rPr>
        <w:t>………………………………………………………………….…....</w:t>
      </w:r>
      <w:r w:rsidR="00124117">
        <w:rPr>
          <w:rStyle w:val="normaltextrun"/>
          <w:rFonts w:eastAsiaTheme="majorEastAsia"/>
        </w:rPr>
        <w:t>18</w:t>
      </w:r>
      <w:r w:rsidR="00A56C7B">
        <w:rPr>
          <w:rStyle w:val="eop"/>
          <w:rFonts w:eastAsiaTheme="majorEastAsia"/>
        </w:rPr>
        <w:t> </w:t>
      </w:r>
    </w:p>
    <w:p w14:paraId="0C759C94" w14:textId="77777777" w:rsidR="00A56C7B" w:rsidRDefault="00A56C7B" w:rsidP="000D2383">
      <w:pPr>
        <w:spacing w:line="360" w:lineRule="auto"/>
        <w:rPr>
          <w:rFonts w:ascii="Times New Roman" w:eastAsia="Times New Roman" w:hAnsi="Times New Roman" w:cs="Times New Roman"/>
        </w:rPr>
      </w:pPr>
    </w:p>
    <w:p w14:paraId="5DFEC409" w14:textId="77777777" w:rsidR="00136123" w:rsidRDefault="00136123" w:rsidP="000D2383">
      <w:pPr>
        <w:spacing w:line="360" w:lineRule="auto"/>
        <w:jc w:val="center"/>
        <w:rPr>
          <w:rFonts w:ascii="Times New Roman" w:eastAsia="Times New Roman" w:hAnsi="Times New Roman" w:cs="Times New Roman"/>
          <w:sz w:val="24"/>
          <w:szCs w:val="24"/>
        </w:rPr>
      </w:pPr>
    </w:p>
    <w:p w14:paraId="2D16D15C" w14:textId="77777777" w:rsidR="00136123" w:rsidRDefault="00136123" w:rsidP="000D2383">
      <w:pPr>
        <w:spacing w:line="360" w:lineRule="auto"/>
        <w:jc w:val="center"/>
        <w:rPr>
          <w:rFonts w:ascii="Times New Roman" w:eastAsia="Times New Roman" w:hAnsi="Times New Roman" w:cs="Times New Roman"/>
          <w:sz w:val="24"/>
          <w:szCs w:val="24"/>
        </w:rPr>
      </w:pPr>
    </w:p>
    <w:p w14:paraId="13478D61" w14:textId="77777777" w:rsidR="00136123" w:rsidRDefault="00136123" w:rsidP="000D2383">
      <w:pPr>
        <w:spacing w:line="360" w:lineRule="auto"/>
        <w:jc w:val="center"/>
        <w:rPr>
          <w:rFonts w:ascii="Times New Roman" w:eastAsia="Times New Roman" w:hAnsi="Times New Roman" w:cs="Times New Roman"/>
          <w:sz w:val="24"/>
          <w:szCs w:val="24"/>
        </w:rPr>
      </w:pPr>
    </w:p>
    <w:p w14:paraId="2C469099" w14:textId="77777777" w:rsidR="00136123" w:rsidRDefault="00136123" w:rsidP="000D2383">
      <w:pPr>
        <w:spacing w:line="360" w:lineRule="auto"/>
        <w:jc w:val="center"/>
        <w:rPr>
          <w:rFonts w:ascii="Times New Roman" w:eastAsia="Times New Roman" w:hAnsi="Times New Roman" w:cs="Times New Roman"/>
          <w:sz w:val="24"/>
          <w:szCs w:val="24"/>
        </w:rPr>
      </w:pPr>
    </w:p>
    <w:p w14:paraId="0E6F492C" w14:textId="77777777" w:rsidR="00136123" w:rsidRDefault="00136123" w:rsidP="000D2383">
      <w:pPr>
        <w:spacing w:line="360" w:lineRule="auto"/>
        <w:jc w:val="center"/>
        <w:rPr>
          <w:rFonts w:ascii="Times New Roman" w:eastAsia="Times New Roman" w:hAnsi="Times New Roman" w:cs="Times New Roman"/>
          <w:sz w:val="24"/>
          <w:szCs w:val="24"/>
        </w:rPr>
      </w:pPr>
    </w:p>
    <w:p w14:paraId="46E669BE" w14:textId="77777777" w:rsidR="00136123" w:rsidRDefault="00136123" w:rsidP="000D2383">
      <w:pPr>
        <w:spacing w:line="360" w:lineRule="auto"/>
        <w:jc w:val="center"/>
        <w:rPr>
          <w:rFonts w:ascii="Times New Roman" w:eastAsia="Times New Roman" w:hAnsi="Times New Roman" w:cs="Times New Roman"/>
          <w:sz w:val="24"/>
          <w:szCs w:val="24"/>
        </w:rPr>
      </w:pPr>
    </w:p>
    <w:p w14:paraId="376B7ABC" w14:textId="77777777" w:rsidR="00136123" w:rsidRDefault="00136123" w:rsidP="000D2383">
      <w:pPr>
        <w:spacing w:line="360" w:lineRule="auto"/>
        <w:jc w:val="center"/>
        <w:rPr>
          <w:rFonts w:ascii="Times New Roman" w:eastAsia="Times New Roman" w:hAnsi="Times New Roman" w:cs="Times New Roman"/>
          <w:sz w:val="24"/>
          <w:szCs w:val="24"/>
        </w:rPr>
      </w:pPr>
    </w:p>
    <w:p w14:paraId="72DC022D" w14:textId="77777777" w:rsidR="00136123" w:rsidRDefault="00136123" w:rsidP="000D2383">
      <w:pPr>
        <w:spacing w:line="360" w:lineRule="auto"/>
        <w:jc w:val="center"/>
        <w:rPr>
          <w:rFonts w:ascii="Times New Roman" w:eastAsia="Times New Roman" w:hAnsi="Times New Roman" w:cs="Times New Roman"/>
          <w:sz w:val="24"/>
          <w:szCs w:val="24"/>
        </w:rPr>
      </w:pPr>
    </w:p>
    <w:p w14:paraId="78C25617" w14:textId="77777777" w:rsidR="00136123" w:rsidRDefault="00136123" w:rsidP="000D2383">
      <w:pPr>
        <w:spacing w:line="360" w:lineRule="auto"/>
        <w:jc w:val="center"/>
        <w:rPr>
          <w:rFonts w:ascii="Times New Roman" w:eastAsia="Times New Roman" w:hAnsi="Times New Roman" w:cs="Times New Roman"/>
          <w:sz w:val="24"/>
          <w:szCs w:val="24"/>
        </w:rPr>
      </w:pPr>
    </w:p>
    <w:p w14:paraId="719E207D" w14:textId="77777777" w:rsidR="0052380E" w:rsidRDefault="0052380E" w:rsidP="000D2383">
      <w:pPr>
        <w:spacing w:line="360" w:lineRule="auto"/>
        <w:jc w:val="center"/>
        <w:rPr>
          <w:rFonts w:ascii="Times New Roman" w:eastAsia="Times New Roman" w:hAnsi="Times New Roman" w:cs="Times New Roman"/>
          <w:sz w:val="24"/>
          <w:szCs w:val="24"/>
        </w:rPr>
      </w:pPr>
    </w:p>
    <w:p w14:paraId="51B716C0" w14:textId="77777777" w:rsidR="00136123" w:rsidRDefault="00136123" w:rsidP="000D2383">
      <w:pPr>
        <w:spacing w:line="360" w:lineRule="auto"/>
        <w:jc w:val="center"/>
        <w:rPr>
          <w:rFonts w:ascii="Times New Roman" w:eastAsia="Times New Roman" w:hAnsi="Times New Roman" w:cs="Times New Roman"/>
          <w:sz w:val="24"/>
          <w:szCs w:val="24"/>
        </w:rPr>
      </w:pPr>
    </w:p>
    <w:p w14:paraId="1E216284" w14:textId="77777777" w:rsidR="00136123" w:rsidRDefault="00136123" w:rsidP="000D2383">
      <w:pPr>
        <w:spacing w:line="360" w:lineRule="auto"/>
        <w:jc w:val="both"/>
        <w:rPr>
          <w:rFonts w:ascii="Times New Roman" w:eastAsia="Times New Roman" w:hAnsi="Times New Roman" w:cs="Times New Roman"/>
          <w:sz w:val="24"/>
          <w:szCs w:val="24"/>
        </w:rPr>
      </w:pPr>
    </w:p>
    <w:p w14:paraId="2DD5CC61" w14:textId="01CD28EA" w:rsidR="00AC7EA4" w:rsidRPr="00320F62" w:rsidRDefault="00136123"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lastRenderedPageBreak/>
        <w:t>Executive Summary</w:t>
      </w:r>
    </w:p>
    <w:p w14:paraId="0571DB2E" w14:textId="416C75CA" w:rsidR="00AC7EA4" w:rsidRPr="00320F62" w:rsidRDefault="00874176" w:rsidP="00320F62">
      <w:pPr>
        <w:spacing w:line="360" w:lineRule="auto"/>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                 </w:t>
      </w:r>
      <w:r w:rsidR="00412FC3" w:rsidRPr="00320F62">
        <w:rPr>
          <w:rFonts w:ascii="Times New Roman" w:eastAsia="Times New Roman" w:hAnsi="Times New Roman" w:cs="Times New Roman"/>
          <w:sz w:val="24"/>
          <w:szCs w:val="24"/>
        </w:rPr>
        <w:t xml:space="preserve">To </w:t>
      </w:r>
      <w:r w:rsidR="00351E0C" w:rsidRPr="00320F62">
        <w:rPr>
          <w:rFonts w:ascii="Times New Roman" w:eastAsia="Times New Roman" w:hAnsi="Times New Roman" w:cs="Times New Roman"/>
          <w:sz w:val="24"/>
          <w:szCs w:val="24"/>
        </w:rPr>
        <w:t>investigate global energy and climate solutions, Climate Interactive and collaborators created the simulation program En-ROADS. It shows the impact of evolving technology and policies on global temperatures and carbon emissions, including taxation, subsidies, and carbon pricing. Evaluating different scenarios and analyzing their effects is made simple by En-ROADS's immediate, clear response. Regarding energy efficiency, renewable energy, carbon pricing, innovation, and global collaboration, this example emphasizes the significance of integrated policies. Investing in technology, expanding energy efficiency, encouraging international agreements, implementing carbon pricing, and raising subsidies for renewable energy sources are some of the main suggestions. The organization of climate plans is necessary, as these steps could significantly decrease emissions and stop the rise in global temperature by 2100</w:t>
      </w:r>
      <w:r w:rsidR="008717DF" w:rsidRPr="00320F62">
        <w:rPr>
          <w:rFonts w:ascii="Times New Roman" w:eastAsia="Times New Roman" w:hAnsi="Times New Roman" w:cs="Times New Roman"/>
          <w:sz w:val="24"/>
          <w:szCs w:val="24"/>
        </w:rPr>
        <w:t>.</w:t>
      </w:r>
    </w:p>
    <w:p w14:paraId="4F82BFD2" w14:textId="7BF22D2D" w:rsidR="00136123" w:rsidRPr="00320F62" w:rsidRDefault="00136123"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Introduction</w:t>
      </w:r>
    </w:p>
    <w:p w14:paraId="6A7F055C" w14:textId="3776E0A8" w:rsidR="00AC7EA4" w:rsidRPr="00737803" w:rsidRDefault="00737803" w:rsidP="00320F62">
      <w:pPr>
        <w:spacing w:after="0" w:line="360" w:lineRule="auto"/>
        <w:ind w:firstLine="720"/>
        <w:jc w:val="both"/>
        <w:rPr>
          <w:rFonts w:ascii="Times New Roman" w:eastAsia="Times New Roman" w:hAnsi="Times New Roman" w:cs="Times New Roman"/>
          <w:sz w:val="24"/>
          <w:szCs w:val="24"/>
        </w:rPr>
      </w:pPr>
      <w:r w:rsidRPr="00737803">
        <w:rPr>
          <w:rFonts w:ascii="Times New Roman" w:eastAsia="Times New Roman" w:hAnsi="Times New Roman" w:cs="Times New Roman"/>
          <w:kern w:val="0"/>
          <w:sz w:val="24"/>
          <w:szCs w:val="24"/>
          <w14:ligatures w14:val="none"/>
        </w:rPr>
        <w:t>The climate of Earth has been highly observed by several scientific organizations throughout the past century. Solar radiation, ocean currents, volcanoes, and—most importantly—human activity that releases greenhouse gases have all been found to be major reasons for these changes. As NASA notes, human-caused emissions are disrupting the balance of the natural greenhouse effect, which is crucial for the habitation of our planet and storing heat in the atmosphere. Global warming is a major warming trend that has been caused by this. If global warming continues uncontrolled, scientists warn that irreversible damage and further negative impacts may result from temperatures rising over a key threshold of 2°C. It is therefore necessary to limit the increase in global temperature below this point to reduce the most severe effects of climate change.</w:t>
      </w:r>
    </w:p>
    <w:p w14:paraId="4902E92B" w14:textId="77777777" w:rsidR="000C19DD" w:rsidRPr="000C19DD" w:rsidRDefault="000C19DD" w:rsidP="00320F62">
      <w:pPr>
        <w:spacing w:after="0" w:line="360" w:lineRule="auto"/>
        <w:ind w:firstLine="720"/>
        <w:jc w:val="both"/>
        <w:rPr>
          <w:rFonts w:ascii="Times New Roman" w:eastAsia="Times New Roman" w:hAnsi="Times New Roman" w:cs="Times New Roman"/>
          <w:kern w:val="0"/>
          <w:sz w:val="24"/>
          <w:szCs w:val="24"/>
          <w14:ligatures w14:val="none"/>
        </w:rPr>
      </w:pPr>
      <w:r w:rsidRPr="000C19DD">
        <w:rPr>
          <w:rFonts w:ascii="Times New Roman" w:eastAsia="Times New Roman" w:hAnsi="Times New Roman" w:cs="Times New Roman"/>
          <w:kern w:val="0"/>
          <w:sz w:val="24"/>
          <w:szCs w:val="24"/>
          <w14:ligatures w14:val="none"/>
        </w:rPr>
        <w:t>It focuses on taking a thorough look at the climate change problem to address this major problem. To successfully address climate change, we want to provide practical solutions for changing mindsets, modifying rules, and making measured investments. We want to make a difference in a resilient and environmentally friendly future for our planet by evaluating the possible effectiveness of these actions in stopping climate change and reducing its negative impacts.</w:t>
      </w:r>
    </w:p>
    <w:p w14:paraId="654872F0" w14:textId="1D5D5EDC" w:rsidR="00136123" w:rsidRPr="00320F62" w:rsidRDefault="0026014B" w:rsidP="00320F62">
      <w:pPr>
        <w:spacing w:after="0" w:line="360" w:lineRule="auto"/>
        <w:jc w:val="both"/>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 xml:space="preserve">                                                  </w:t>
      </w:r>
    </w:p>
    <w:p w14:paraId="2750454A" w14:textId="77777777" w:rsidR="00B77F2D" w:rsidRPr="00320F62" w:rsidRDefault="00B77F2D"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lastRenderedPageBreak/>
        <w:t>Problem Statement</w:t>
      </w:r>
    </w:p>
    <w:p w14:paraId="5100BC55" w14:textId="086F3798" w:rsidR="78288BB5" w:rsidRPr="00086C22" w:rsidRDefault="190536AF" w:rsidP="00086C22">
      <w:pPr>
        <w:spacing w:line="360" w:lineRule="auto"/>
        <w:ind w:firstLine="720"/>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sz w:val="24"/>
          <w:szCs w:val="24"/>
        </w:rPr>
        <w:t>The principal source of climate change is an increase in greenhouse gases, such as carbon dioxide (CO2). These gases can hold onto solar energy, which explains why Earth's temperature is rising. CO2 levels in premodern times were around 280 parts per million, or ppm. Natural gas extraction and the use of petroleum derivatives are two instances of human activities that have caused CO2 levels to rise to 410 parts per million. Earth's average surface temperature has increased by 1°C since the late 1800s. The frequency and intensity of heat waves, droughts, and wildfires have all changed as a result, as have sea levels, ocean acidity, and rainfall patterns.</w:t>
      </w:r>
    </w:p>
    <w:p w14:paraId="7E4A5FA2" w14:textId="495B66A8" w:rsidR="78288BB5" w:rsidRPr="00086C22" w:rsidRDefault="190536AF" w:rsidP="00086C22">
      <w:pPr>
        <w:spacing w:line="360" w:lineRule="auto"/>
        <w:ind w:firstLine="720"/>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sz w:val="24"/>
          <w:szCs w:val="24"/>
        </w:rPr>
        <w:t>The study examines multiple possibilities for configuration for reducing environmental change, such as evaluating carbon emissions, promoting renewable energy, taxing coal and gasoline, improving the energy efficiency of transportation, and lowering methane outflows. We want to identify the most effective strategies for reducing outflows of substances that deplete the ozone layer by examining the effects of different policies on the projected long-term rise in temperature by 2100. The aim is to provide experts with precise information on the optimal approach to halt climate change and ensure a sustainable future by reducing the anticipated rise in temperature and its harmful effects.</w:t>
      </w:r>
    </w:p>
    <w:p w14:paraId="60D263B4" w14:textId="77777777" w:rsidR="00B77F2D" w:rsidRPr="00320F62" w:rsidRDefault="00B77F2D" w:rsidP="00320F62">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320F62">
        <w:rPr>
          <w:rFonts w:ascii="Times New Roman" w:eastAsia="Times New Roman" w:hAnsi="Times New Roman" w:cs="Times New Roman"/>
          <w:b/>
          <w:bCs/>
          <w:kern w:val="0"/>
          <w:sz w:val="24"/>
          <w:szCs w:val="24"/>
          <w14:ligatures w14:val="none"/>
        </w:rPr>
        <w:t>Key Assumptions</w:t>
      </w:r>
    </w:p>
    <w:p w14:paraId="6D9C2E98" w14:textId="1D9C92F7" w:rsidR="497B8DA2" w:rsidRPr="00086C22" w:rsidRDefault="1A38DF2D" w:rsidP="00086C22">
      <w:pPr>
        <w:spacing w:after="0" w:line="360" w:lineRule="auto"/>
        <w:ind w:firstLine="720"/>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We make the following assumptions about the data: the dependent variable (2100 temperature increase) and the independent variables (carbon price, renewable energy subsidies, coal tax, oil tax, transportation energy efficiency, building energy efficiency, and methane reduction) are accurate and dependable. Additionally, to model these variables' impact on temperature rise, we suggest a linear link between them.</w:t>
      </w:r>
    </w:p>
    <w:p w14:paraId="5846EF1D" w14:textId="6E5C1707" w:rsidR="497B8DA2" w:rsidRPr="00086C22" w:rsidRDefault="1A38DF2D" w:rsidP="00086C22">
      <w:pPr>
        <w:spacing w:after="0" w:line="360" w:lineRule="auto"/>
        <w:ind w:firstLine="720"/>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We keep other contributing variables as they are to concentrate on the consequences of a certain policy. It is predicted that by the year 2100, these policies will be put into place separately, continue to have the same impacts over time and produce the same results worldwide.</w:t>
      </w:r>
    </w:p>
    <w:p w14:paraId="2591E740" w14:textId="60121D0E" w:rsidR="1A38DF2D" w:rsidRPr="00320F62" w:rsidRDefault="1A38DF2D" w:rsidP="00086C22">
      <w:pPr>
        <w:spacing w:after="75" w:line="360" w:lineRule="auto"/>
        <w:ind w:firstLine="720"/>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 xml:space="preserve">We predict that the climate system will react significantly to fluctuations in greenhouse gas emissions in the future, based on the most recent scientific data. It is believed that the suggested global emissions reduction plan, which makes use of additional renewable energy sources and carbon pricing, may be put into action with enough money and political support. </w:t>
      </w:r>
      <w:r w:rsidRPr="00320F62">
        <w:rPr>
          <w:rFonts w:ascii="Times New Roman" w:hAnsi="Times New Roman" w:cs="Times New Roman"/>
          <w:sz w:val="24"/>
          <w:szCs w:val="24"/>
        </w:rPr>
        <w:br/>
      </w:r>
      <w:r w:rsidR="00086C22">
        <w:rPr>
          <w:rFonts w:ascii="Times New Roman" w:eastAsia="Times New Roman" w:hAnsi="Times New Roman" w:cs="Times New Roman"/>
          <w:color w:val="000000" w:themeColor="text1"/>
          <w:sz w:val="24"/>
          <w:szCs w:val="24"/>
        </w:rPr>
        <w:lastRenderedPageBreak/>
        <w:tab/>
      </w:r>
      <w:r w:rsidRPr="00320F62">
        <w:rPr>
          <w:rFonts w:ascii="Times New Roman" w:eastAsia="Times New Roman" w:hAnsi="Times New Roman" w:cs="Times New Roman"/>
          <w:color w:val="000000" w:themeColor="text1"/>
          <w:sz w:val="24"/>
          <w:szCs w:val="24"/>
        </w:rPr>
        <w:t>Finally, we expect that cutting emissions will have a noticeable effect on global temperatures and other climate indicators, even though these advantages might not be felt immediately. Considering how urgently climate change needs to be addressed, acting on these assumptions is both necessary and reasonable.</w:t>
      </w:r>
    </w:p>
    <w:p w14:paraId="515CDD1E" w14:textId="77777777" w:rsidR="00136123" w:rsidRPr="00320F62" w:rsidRDefault="00136123"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Analysis</w:t>
      </w:r>
    </w:p>
    <w:p w14:paraId="500D6DFB" w14:textId="64133ECB" w:rsidR="00FF18E7" w:rsidRPr="00320F62" w:rsidRDefault="00C61D84" w:rsidP="00320F62">
      <w:pPr>
        <w:spacing w:line="360" w:lineRule="auto"/>
        <w:ind w:firstLine="720"/>
        <w:jc w:val="both"/>
        <w:rPr>
          <w:rFonts w:ascii="Times New Roman" w:eastAsia="Times New Roman" w:hAnsi="Times New Roman" w:cs="Times New Roman"/>
          <w:b/>
          <w:sz w:val="24"/>
          <w:szCs w:val="24"/>
        </w:rPr>
      </w:pPr>
      <w:r w:rsidRPr="00320F62">
        <w:rPr>
          <w:rFonts w:ascii="Times New Roman" w:eastAsia="Times New Roman" w:hAnsi="Times New Roman" w:cs="Times New Roman"/>
          <w:sz w:val="24"/>
          <w:szCs w:val="24"/>
        </w:rPr>
        <w:t>By utilizing historical climate data, current policy</w:t>
      </w:r>
      <w:r w:rsidR="006F039A" w:rsidRPr="00320F62">
        <w:rPr>
          <w:rFonts w:ascii="Times New Roman" w:eastAsia="Times New Roman" w:hAnsi="Times New Roman" w:cs="Times New Roman"/>
          <w:sz w:val="24"/>
          <w:szCs w:val="24"/>
        </w:rPr>
        <w:t xml:space="preserve"> and greenhouse gas emissions </w:t>
      </w:r>
      <w:r w:rsidR="00971D51" w:rsidRPr="00320F62">
        <w:rPr>
          <w:rFonts w:ascii="Times New Roman" w:eastAsia="Times New Roman" w:hAnsi="Times New Roman" w:cs="Times New Roman"/>
          <w:sz w:val="24"/>
          <w:szCs w:val="24"/>
        </w:rPr>
        <w:t>based on</w:t>
      </w:r>
      <w:r w:rsidR="006F039A" w:rsidRPr="00320F62">
        <w:rPr>
          <w:rFonts w:ascii="Times New Roman" w:eastAsia="Times New Roman" w:hAnsi="Times New Roman" w:cs="Times New Roman"/>
          <w:sz w:val="24"/>
          <w:szCs w:val="24"/>
        </w:rPr>
        <w:t xml:space="preserve"> EN-roads</w:t>
      </w:r>
      <w:r w:rsidR="00A96AAD" w:rsidRPr="00320F62">
        <w:rPr>
          <w:rFonts w:ascii="Times New Roman" w:eastAsia="Times New Roman" w:hAnsi="Times New Roman" w:cs="Times New Roman"/>
          <w:sz w:val="24"/>
          <w:szCs w:val="24"/>
        </w:rPr>
        <w:t xml:space="preserve"> </w:t>
      </w:r>
      <w:r w:rsidR="00FB54ED" w:rsidRPr="00320F62">
        <w:rPr>
          <w:rFonts w:ascii="Times New Roman" w:eastAsia="Times New Roman" w:hAnsi="Times New Roman" w:cs="Times New Roman"/>
          <w:sz w:val="24"/>
          <w:szCs w:val="24"/>
        </w:rPr>
        <w:t xml:space="preserve">we are analyzed the </w:t>
      </w:r>
      <w:r w:rsidR="00B80159" w:rsidRPr="00320F62">
        <w:rPr>
          <w:rFonts w:ascii="Times New Roman" w:eastAsia="Times New Roman" w:hAnsi="Times New Roman" w:cs="Times New Roman"/>
          <w:sz w:val="24"/>
          <w:szCs w:val="24"/>
        </w:rPr>
        <w:t>da</w:t>
      </w:r>
      <w:r w:rsidR="00B91B55" w:rsidRPr="00320F62">
        <w:rPr>
          <w:rFonts w:ascii="Times New Roman" w:eastAsia="Times New Roman" w:hAnsi="Times New Roman" w:cs="Times New Roman"/>
          <w:sz w:val="24"/>
          <w:szCs w:val="24"/>
        </w:rPr>
        <w:t xml:space="preserve">ta and this data </w:t>
      </w:r>
      <w:r w:rsidR="00CA43BD" w:rsidRPr="00320F62">
        <w:rPr>
          <w:rFonts w:ascii="Times New Roman" w:eastAsia="Times New Roman" w:hAnsi="Times New Roman" w:cs="Times New Roman"/>
          <w:sz w:val="24"/>
          <w:szCs w:val="24"/>
        </w:rPr>
        <w:t>analyzed into</w:t>
      </w:r>
      <w:r w:rsidR="00BB3621" w:rsidRPr="00320F62">
        <w:rPr>
          <w:rFonts w:ascii="Times New Roman" w:eastAsia="Times New Roman" w:hAnsi="Times New Roman" w:cs="Times New Roman"/>
          <w:sz w:val="24"/>
          <w:szCs w:val="24"/>
        </w:rPr>
        <w:t xml:space="preserve"> 6 tools they are Decision Analysis, Linear Regression, </w:t>
      </w:r>
      <w:r w:rsidR="00971D51" w:rsidRPr="00320F62">
        <w:rPr>
          <w:rFonts w:ascii="Times New Roman" w:eastAsia="Times New Roman" w:hAnsi="Times New Roman" w:cs="Times New Roman"/>
          <w:sz w:val="24"/>
          <w:szCs w:val="24"/>
        </w:rPr>
        <w:t>Forecasting, Optimization, Probability and Statistics, Sensitive Analysis</w:t>
      </w:r>
      <w:r w:rsidR="00F30D89" w:rsidRPr="00320F62">
        <w:rPr>
          <w:rFonts w:ascii="Times New Roman" w:eastAsia="Times New Roman" w:hAnsi="Times New Roman" w:cs="Times New Roman"/>
          <w:sz w:val="24"/>
          <w:szCs w:val="24"/>
        </w:rPr>
        <w:t xml:space="preserve">. </w:t>
      </w:r>
      <w:r w:rsidR="00D9561F" w:rsidRPr="00320F62">
        <w:rPr>
          <w:rFonts w:ascii="Times New Roman" w:eastAsia="Times New Roman" w:hAnsi="Times New Roman" w:cs="Times New Roman"/>
          <w:sz w:val="24"/>
          <w:szCs w:val="24"/>
        </w:rPr>
        <w:t>Below</w:t>
      </w:r>
      <w:r w:rsidR="00F30D89" w:rsidRPr="00320F62">
        <w:rPr>
          <w:rFonts w:ascii="Times New Roman" w:eastAsia="Times New Roman" w:hAnsi="Times New Roman" w:cs="Times New Roman"/>
          <w:sz w:val="24"/>
          <w:szCs w:val="24"/>
        </w:rPr>
        <w:t xml:space="preserve"> part</w:t>
      </w:r>
      <w:r w:rsidR="004542E2" w:rsidRPr="00320F62">
        <w:rPr>
          <w:rFonts w:ascii="Times New Roman" w:eastAsia="Times New Roman" w:hAnsi="Times New Roman" w:cs="Times New Roman"/>
          <w:sz w:val="24"/>
          <w:szCs w:val="24"/>
        </w:rPr>
        <w:t xml:space="preserve"> </w:t>
      </w:r>
      <w:r w:rsidR="00F30D89" w:rsidRPr="00320F62">
        <w:rPr>
          <w:rFonts w:ascii="Times New Roman" w:eastAsia="Times New Roman" w:hAnsi="Times New Roman" w:cs="Times New Roman"/>
          <w:sz w:val="24"/>
          <w:szCs w:val="24"/>
        </w:rPr>
        <w:t>briefly</w:t>
      </w:r>
      <w:r w:rsidR="004542E2" w:rsidRPr="00320F62">
        <w:rPr>
          <w:rFonts w:ascii="Times New Roman" w:eastAsia="Times New Roman" w:hAnsi="Times New Roman" w:cs="Times New Roman"/>
          <w:sz w:val="24"/>
          <w:szCs w:val="24"/>
        </w:rPr>
        <w:t xml:space="preserve"> </w:t>
      </w:r>
      <w:r w:rsidR="5D2C56BC" w:rsidRPr="00320F62">
        <w:rPr>
          <w:rFonts w:ascii="Times New Roman" w:eastAsia="Times New Roman" w:hAnsi="Times New Roman" w:cs="Times New Roman"/>
          <w:sz w:val="24"/>
          <w:szCs w:val="24"/>
        </w:rPr>
        <w:t>describes</w:t>
      </w:r>
      <w:r w:rsidR="00F30D89" w:rsidRPr="00320F62">
        <w:rPr>
          <w:rFonts w:ascii="Times New Roman" w:eastAsia="Times New Roman" w:hAnsi="Times New Roman" w:cs="Times New Roman"/>
          <w:sz w:val="24"/>
          <w:szCs w:val="24"/>
        </w:rPr>
        <w:t xml:space="preserve"> </w:t>
      </w:r>
      <w:r w:rsidR="004542E2" w:rsidRPr="00320F62">
        <w:rPr>
          <w:rFonts w:ascii="Times New Roman" w:eastAsia="Times New Roman" w:hAnsi="Times New Roman" w:cs="Times New Roman"/>
          <w:sz w:val="24"/>
          <w:szCs w:val="24"/>
        </w:rPr>
        <w:t>each</w:t>
      </w:r>
      <w:r w:rsidR="00F30D89" w:rsidRPr="00320F62">
        <w:rPr>
          <w:rFonts w:ascii="Times New Roman" w:eastAsia="Times New Roman" w:hAnsi="Times New Roman" w:cs="Times New Roman"/>
          <w:sz w:val="24"/>
          <w:szCs w:val="24"/>
        </w:rPr>
        <w:t xml:space="preserve"> </w:t>
      </w:r>
      <w:r w:rsidR="00CA43BD" w:rsidRPr="00320F62">
        <w:rPr>
          <w:rFonts w:ascii="Times New Roman" w:eastAsia="Times New Roman" w:hAnsi="Times New Roman" w:cs="Times New Roman"/>
          <w:sz w:val="24"/>
          <w:szCs w:val="24"/>
        </w:rPr>
        <w:t xml:space="preserve">tool </w:t>
      </w:r>
      <w:r w:rsidR="00F30D89" w:rsidRPr="00320F62">
        <w:rPr>
          <w:rFonts w:ascii="Times New Roman" w:eastAsia="Times New Roman" w:hAnsi="Times New Roman" w:cs="Times New Roman"/>
          <w:sz w:val="24"/>
          <w:szCs w:val="24"/>
        </w:rPr>
        <w:t>used</w:t>
      </w:r>
      <w:r w:rsidR="00CA43BD" w:rsidRPr="00320F62">
        <w:rPr>
          <w:rFonts w:ascii="Times New Roman" w:eastAsia="Times New Roman" w:hAnsi="Times New Roman" w:cs="Times New Roman"/>
          <w:sz w:val="24"/>
          <w:szCs w:val="24"/>
        </w:rPr>
        <w:t xml:space="preserve"> by excel.</w:t>
      </w:r>
    </w:p>
    <w:p w14:paraId="30C29642" w14:textId="24A2B4CB" w:rsidR="482D9E80" w:rsidRPr="00320F62" w:rsidRDefault="482D9E80" w:rsidP="06802218">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Decision Analysis</w:t>
      </w:r>
    </w:p>
    <w:p w14:paraId="790E47A3" w14:textId="77777777" w:rsidR="00AB0B7E" w:rsidRPr="00320F62" w:rsidRDefault="00ED319F"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Decision analysis is a method used in decision-making processes to evaluate and compare various options or methods. Using the En-ROADS simulation model, a thorough decision analysis of several climate policy possibilities is presented in this document. The main goal of this analysis is to assess the degree to which various policy options </w:t>
      </w:r>
      <w:r w:rsidR="00ED20AE" w:rsidRPr="00320F62">
        <w:rPr>
          <w:rFonts w:ascii="Times New Roman" w:eastAsia="Times New Roman" w:hAnsi="Times New Roman" w:cs="Times New Roman"/>
          <w:kern w:val="0"/>
          <w:sz w:val="24"/>
          <w:szCs w:val="24"/>
          <w14:ligatures w14:val="none"/>
        </w:rPr>
        <w:t>are to</w:t>
      </w:r>
      <w:r w:rsidRPr="00320F62">
        <w:rPr>
          <w:rFonts w:ascii="Times New Roman" w:eastAsia="Times New Roman" w:hAnsi="Times New Roman" w:cs="Times New Roman"/>
          <w:kern w:val="0"/>
          <w:sz w:val="24"/>
          <w:szCs w:val="24"/>
          <w14:ligatures w14:val="none"/>
        </w:rPr>
        <w:t xml:space="preserve"> reduce global sources energy for gas emissions like CO2, M</w:t>
      </w:r>
      <w:r w:rsidR="005658A7" w:rsidRPr="00320F62">
        <w:rPr>
          <w:rFonts w:ascii="Times New Roman" w:eastAsia="Times New Roman" w:hAnsi="Times New Roman" w:cs="Times New Roman"/>
          <w:kern w:val="0"/>
          <w:sz w:val="24"/>
          <w:szCs w:val="24"/>
          <w14:ligatures w14:val="none"/>
        </w:rPr>
        <w:t>ethane</w:t>
      </w:r>
      <w:r w:rsidRPr="00320F62">
        <w:rPr>
          <w:rFonts w:ascii="Times New Roman" w:eastAsia="Times New Roman" w:hAnsi="Times New Roman" w:cs="Times New Roman"/>
          <w:kern w:val="0"/>
          <w:sz w:val="24"/>
          <w:szCs w:val="24"/>
          <w14:ligatures w14:val="none"/>
        </w:rPr>
        <w:t xml:space="preserve">, </w:t>
      </w:r>
      <w:r w:rsidR="005658A7" w:rsidRPr="00320F62">
        <w:rPr>
          <w:rFonts w:ascii="Times New Roman" w:eastAsia="Times New Roman" w:hAnsi="Times New Roman" w:cs="Times New Roman"/>
          <w:kern w:val="0"/>
          <w:sz w:val="24"/>
          <w:szCs w:val="24"/>
          <w14:ligatures w14:val="none"/>
        </w:rPr>
        <w:t>C</w:t>
      </w:r>
      <w:r w:rsidRPr="00320F62">
        <w:rPr>
          <w:rFonts w:ascii="Times New Roman" w:eastAsia="Times New Roman" w:hAnsi="Times New Roman" w:cs="Times New Roman"/>
          <w:kern w:val="0"/>
          <w:sz w:val="24"/>
          <w:szCs w:val="24"/>
          <w14:ligatures w14:val="none"/>
        </w:rPr>
        <w:t xml:space="preserve">oal, </w:t>
      </w:r>
      <w:r w:rsidR="005658A7" w:rsidRPr="00320F62">
        <w:rPr>
          <w:rFonts w:ascii="Times New Roman" w:eastAsia="Times New Roman" w:hAnsi="Times New Roman" w:cs="Times New Roman"/>
          <w:kern w:val="0"/>
          <w:sz w:val="24"/>
          <w:szCs w:val="24"/>
          <w14:ligatures w14:val="none"/>
        </w:rPr>
        <w:t>O</w:t>
      </w:r>
      <w:r w:rsidRPr="00320F62">
        <w:rPr>
          <w:rFonts w:ascii="Times New Roman" w:eastAsia="Times New Roman" w:hAnsi="Times New Roman" w:cs="Times New Roman"/>
          <w:kern w:val="0"/>
          <w:sz w:val="24"/>
          <w:szCs w:val="24"/>
          <w14:ligatures w14:val="none"/>
        </w:rPr>
        <w:t>il</w:t>
      </w:r>
      <w:r w:rsidR="00400A52" w:rsidRPr="00320F62">
        <w:rPr>
          <w:rFonts w:ascii="Times New Roman" w:eastAsia="Times New Roman" w:hAnsi="Times New Roman" w:cs="Times New Roman"/>
          <w:kern w:val="0"/>
          <w:sz w:val="24"/>
          <w:szCs w:val="24"/>
          <w14:ligatures w14:val="none"/>
        </w:rPr>
        <w:t xml:space="preserve">, </w:t>
      </w:r>
      <w:r w:rsidR="005658A7" w:rsidRPr="00320F62">
        <w:rPr>
          <w:rFonts w:ascii="Times New Roman" w:eastAsia="Times New Roman" w:hAnsi="Times New Roman" w:cs="Times New Roman"/>
          <w:kern w:val="0"/>
          <w:sz w:val="24"/>
          <w:szCs w:val="24"/>
          <w14:ligatures w14:val="none"/>
        </w:rPr>
        <w:t>Bioenergy, Nuclear</w:t>
      </w:r>
      <w:r w:rsidR="003D6B26" w:rsidRPr="00320F62">
        <w:rPr>
          <w:rFonts w:ascii="Times New Roman" w:eastAsia="Times New Roman" w:hAnsi="Times New Roman" w:cs="Times New Roman"/>
          <w:kern w:val="0"/>
          <w:sz w:val="24"/>
          <w:szCs w:val="24"/>
          <w14:ligatures w14:val="none"/>
        </w:rPr>
        <w:t>, Renewables.</w:t>
      </w:r>
    </w:p>
    <w:p w14:paraId="1689C6ED" w14:textId="77777777" w:rsidR="00AB0B7E" w:rsidRPr="00320F62" w:rsidRDefault="00AB0B7E" w:rsidP="00320F62">
      <w:pPr>
        <w:spacing w:after="0" w:line="360" w:lineRule="auto"/>
        <w:jc w:val="both"/>
        <w:rPr>
          <w:rFonts w:ascii="Times New Roman" w:eastAsia="Times New Roman" w:hAnsi="Times New Roman" w:cs="Times New Roman"/>
          <w:kern w:val="0"/>
          <w:sz w:val="24"/>
          <w:szCs w:val="24"/>
          <w14:ligatures w14:val="none"/>
        </w:rPr>
      </w:pPr>
    </w:p>
    <w:p w14:paraId="631E6590" w14:textId="2C79AFB2" w:rsidR="006B7E52" w:rsidRPr="00320F62" w:rsidRDefault="00ED319F" w:rsidP="00320F62">
      <w:pPr>
        <w:spacing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By keeping the temperature at +2.0</w:t>
      </w:r>
      <w:r w:rsidRPr="00320F62">
        <w:rPr>
          <w:rFonts w:ascii="Times New Roman" w:eastAsia="Symbol" w:hAnsi="Times New Roman" w:cs="Times New Roman"/>
          <w:kern w:val="0"/>
          <w:sz w:val="24"/>
          <w:szCs w:val="24"/>
          <w14:ligatures w14:val="none"/>
        </w:rPr>
        <w:sym w:font="Symbol" w:char="F0B0"/>
      </w:r>
      <w:r w:rsidRPr="00320F62">
        <w:rPr>
          <w:rFonts w:ascii="Times New Roman" w:eastAsia="Times New Roman" w:hAnsi="Times New Roman" w:cs="Times New Roman"/>
          <w:kern w:val="0"/>
          <w:sz w:val="24"/>
          <w:szCs w:val="24"/>
          <w14:ligatures w14:val="none"/>
        </w:rPr>
        <w:t xml:space="preserve">C, evaluating the financial costs and advantages of each, detect possible dangers and possibilities, and offer practical recommendations for minimizing climate change. </w:t>
      </w:r>
      <w:r w:rsidR="007B4BC8" w:rsidRPr="00320F62">
        <w:rPr>
          <w:rFonts w:ascii="Times New Roman" w:eastAsia="Times New Roman" w:hAnsi="Times New Roman" w:cs="Times New Roman"/>
          <w:kern w:val="0"/>
          <w:sz w:val="24"/>
          <w:szCs w:val="24"/>
          <w14:ligatures w14:val="none"/>
        </w:rPr>
        <w:t>There is an initial increase in emissions or energy use,</w:t>
      </w:r>
      <w:r w:rsidR="00FD5CAB" w:rsidRPr="00320F62">
        <w:rPr>
          <w:rFonts w:ascii="Times New Roman" w:eastAsia="Times New Roman" w:hAnsi="Times New Roman" w:cs="Times New Roman"/>
          <w:kern w:val="0"/>
          <w:sz w:val="24"/>
          <w:szCs w:val="24"/>
          <w14:ligatures w14:val="none"/>
        </w:rPr>
        <w:t xml:space="preserve"> peaking</w:t>
      </w:r>
      <w:r w:rsidR="007B4BC8" w:rsidRPr="00320F62">
        <w:rPr>
          <w:rFonts w:ascii="Times New Roman" w:eastAsia="Times New Roman" w:hAnsi="Times New Roman" w:cs="Times New Roman"/>
          <w:kern w:val="0"/>
          <w:sz w:val="24"/>
          <w:szCs w:val="24"/>
          <w14:ligatures w14:val="none"/>
        </w:rPr>
        <w:t xml:space="preserve"> around 2020.</w:t>
      </w:r>
      <w:r w:rsidR="00105DEB" w:rsidRPr="00320F62">
        <w:rPr>
          <w:rFonts w:ascii="Times New Roman" w:eastAsia="Times New Roman" w:hAnsi="Times New Roman" w:cs="Times New Roman"/>
          <w:kern w:val="0"/>
          <w:sz w:val="24"/>
          <w:szCs w:val="24"/>
          <w14:ligatures w14:val="none"/>
        </w:rPr>
        <w:t xml:space="preserve"> </w:t>
      </w:r>
      <w:r w:rsidR="004047DB" w:rsidRPr="00320F62">
        <w:rPr>
          <w:rFonts w:ascii="Times New Roman" w:eastAsia="Times New Roman" w:hAnsi="Times New Roman" w:cs="Times New Roman"/>
          <w:kern w:val="0"/>
          <w:sz w:val="24"/>
          <w:szCs w:val="24"/>
          <w14:ligatures w14:val="none"/>
        </w:rPr>
        <w:t>A significant decrease in emissions or energy consumption, indicating the effects of policy changes or an evolution toward more environmentally friendly energy sources</w:t>
      </w:r>
      <w:r w:rsidR="006D0061" w:rsidRPr="00320F62">
        <w:rPr>
          <w:rFonts w:ascii="Times New Roman" w:eastAsia="Times New Roman" w:hAnsi="Times New Roman" w:cs="Times New Roman"/>
          <w:kern w:val="0"/>
          <w:sz w:val="24"/>
          <w:szCs w:val="24"/>
          <w14:ligatures w14:val="none"/>
        </w:rPr>
        <w:t xml:space="preserve"> </w:t>
      </w:r>
      <w:r w:rsidR="00105DEB" w:rsidRPr="00320F62">
        <w:rPr>
          <w:rFonts w:ascii="Times New Roman" w:eastAsia="Times New Roman" w:hAnsi="Times New Roman" w:cs="Times New Roman"/>
          <w:kern w:val="0"/>
          <w:sz w:val="24"/>
          <w:szCs w:val="24"/>
          <w14:ligatures w14:val="none"/>
        </w:rPr>
        <w:t>between</w:t>
      </w:r>
      <w:r w:rsidR="004C13B2" w:rsidRPr="00320F62">
        <w:rPr>
          <w:rFonts w:ascii="Times New Roman" w:eastAsia="Times New Roman" w:hAnsi="Times New Roman" w:cs="Times New Roman"/>
          <w:kern w:val="0"/>
          <w:sz w:val="24"/>
          <w:szCs w:val="24"/>
          <w14:ligatures w14:val="none"/>
        </w:rPr>
        <w:t xml:space="preserve"> 2020-2050.</w:t>
      </w:r>
      <w:r w:rsidR="006B7E52" w:rsidRPr="00320F62">
        <w:rPr>
          <w:rFonts w:ascii="Times New Roman" w:eastAsia="Times New Roman" w:hAnsi="Times New Roman" w:cs="Times New Roman"/>
          <w:sz w:val="24"/>
          <w:szCs w:val="24"/>
        </w:rPr>
        <w:t xml:space="preserve"> After 2050</w:t>
      </w:r>
      <w:r w:rsidR="00502AC9" w:rsidRPr="00320F62">
        <w:rPr>
          <w:rFonts w:ascii="Times New Roman" w:eastAsia="Times New Roman" w:hAnsi="Times New Roman" w:cs="Times New Roman"/>
          <w:sz w:val="24"/>
          <w:szCs w:val="24"/>
        </w:rPr>
        <w:t>,</w:t>
      </w:r>
      <w:r w:rsidR="006B7E52" w:rsidRPr="00320F62">
        <w:rPr>
          <w:rFonts w:ascii="Times New Roman" w:eastAsia="Times New Roman" w:hAnsi="Times New Roman" w:cs="Times New Roman"/>
          <w:kern w:val="0"/>
          <w:sz w:val="24"/>
          <w:szCs w:val="24"/>
          <w14:ligatures w14:val="none"/>
        </w:rPr>
        <w:t xml:space="preserve"> the long-term effects of sustained policy or technological developments are indicated by energy use or emissions stable or slightly increasing.</w:t>
      </w:r>
    </w:p>
    <w:p w14:paraId="025DC468" w14:textId="0A6B1405" w:rsidR="00777EE0" w:rsidRPr="00320F62" w:rsidRDefault="00777EE0" w:rsidP="00320F62">
      <w:pPr>
        <w:spacing w:after="240" w:line="360" w:lineRule="auto"/>
        <w:ind w:firstLine="36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These projections </w:t>
      </w:r>
      <w:r w:rsidR="00085C90" w:rsidRPr="00320F62">
        <w:rPr>
          <w:rFonts w:ascii="Times New Roman" w:eastAsia="Times New Roman" w:hAnsi="Times New Roman" w:cs="Times New Roman"/>
          <w:kern w:val="0"/>
          <w:sz w:val="24"/>
          <w:szCs w:val="24"/>
          <w14:ligatures w14:val="none"/>
        </w:rPr>
        <w:t>allow decision-makers</w:t>
      </w:r>
      <w:r w:rsidRPr="00320F62">
        <w:rPr>
          <w:rFonts w:ascii="Times New Roman" w:eastAsia="Times New Roman" w:hAnsi="Times New Roman" w:cs="Times New Roman"/>
          <w:kern w:val="0"/>
          <w:sz w:val="24"/>
          <w:szCs w:val="24"/>
          <w14:ligatures w14:val="none"/>
        </w:rPr>
        <w:t xml:space="preserve"> to plan for future energy needs, invest in sustainable energy technology, and develop plans to meet climate goals. Planning might help reduce possible problems associated with energy transitions, such as </w:t>
      </w:r>
      <w:r w:rsidR="00085C90" w:rsidRPr="00320F62">
        <w:rPr>
          <w:rFonts w:ascii="Times New Roman" w:eastAsia="Times New Roman" w:hAnsi="Times New Roman" w:cs="Times New Roman"/>
          <w:kern w:val="0"/>
          <w:sz w:val="24"/>
          <w:szCs w:val="24"/>
          <w14:ligatures w14:val="none"/>
        </w:rPr>
        <w:t>economic interruptions</w:t>
      </w:r>
      <w:r w:rsidRPr="00320F62">
        <w:rPr>
          <w:rFonts w:ascii="Times New Roman" w:eastAsia="Times New Roman" w:hAnsi="Times New Roman" w:cs="Times New Roman"/>
          <w:kern w:val="0"/>
          <w:sz w:val="24"/>
          <w:szCs w:val="24"/>
          <w14:ligatures w14:val="none"/>
        </w:rPr>
        <w:t xml:space="preserve"> or energy shortages. Sustaining long-term growth and environmental goals will require funding for research and development of new energy technologies. </w:t>
      </w:r>
      <w:r w:rsidR="00A7775E" w:rsidRPr="00320F62">
        <w:rPr>
          <w:rFonts w:ascii="Times New Roman" w:eastAsia="Times New Roman" w:hAnsi="Times New Roman" w:cs="Times New Roman"/>
          <w:kern w:val="0"/>
          <w:sz w:val="24"/>
          <w:szCs w:val="24"/>
          <w14:ligatures w14:val="none"/>
        </w:rPr>
        <w:t>The formula can be calculated as</w:t>
      </w:r>
    </w:p>
    <w:p w14:paraId="4FA50687" w14:textId="07D6E424" w:rsidR="00A7775E" w:rsidRPr="00320F62" w:rsidRDefault="00A7775E" w:rsidP="00320F62">
      <w:pPr>
        <w:pStyle w:val="ListParagraph"/>
        <w:numPr>
          <w:ilvl w:val="0"/>
          <w:numId w:val="1"/>
        </w:numPr>
        <w:spacing w:after="240" w:line="360" w:lineRule="auto"/>
        <w:jc w:val="both"/>
        <w:rPr>
          <w:rFonts w:ascii="Times New Roman" w:eastAsia="Times New Roman" w:hAnsi="Times New Roman" w:cs="Times New Roman"/>
          <w:b/>
          <w:bCs/>
          <w:kern w:val="0"/>
          <w:sz w:val="24"/>
          <w:szCs w:val="24"/>
          <w14:ligatures w14:val="none"/>
        </w:rPr>
      </w:pPr>
      <w:r w:rsidRPr="00320F62">
        <w:rPr>
          <w:rStyle w:val="mord"/>
          <w:rFonts w:ascii="Times New Roman" w:eastAsia="Times New Roman" w:hAnsi="Times New Roman" w:cs="Times New Roman"/>
          <w:b/>
          <w:sz w:val="24"/>
          <w:szCs w:val="24"/>
        </w:rPr>
        <w:t>EV</w:t>
      </w:r>
      <w:r w:rsidR="00243189" w:rsidRPr="00320F62">
        <w:rPr>
          <w:rStyle w:val="mrel"/>
          <w:rFonts w:ascii="Times New Roman" w:eastAsia="Times New Roman" w:hAnsi="Times New Roman" w:cs="Times New Roman"/>
          <w:b/>
          <w:sz w:val="24"/>
          <w:szCs w:val="24"/>
        </w:rPr>
        <w:t>=</w:t>
      </w:r>
      <w:r w:rsidR="00243189" w:rsidRPr="00320F62">
        <w:rPr>
          <w:rStyle w:val="mopen"/>
          <w:rFonts w:ascii="Times New Roman" w:eastAsia="Times New Roman" w:hAnsi="Times New Roman" w:cs="Times New Roman"/>
          <w:b/>
          <w:sz w:val="24"/>
          <w:szCs w:val="24"/>
        </w:rPr>
        <w:t xml:space="preserve"> (</w:t>
      </w:r>
      <w:r w:rsidRPr="00320F62">
        <w:rPr>
          <w:rStyle w:val="mord"/>
          <w:rFonts w:ascii="Times New Roman" w:eastAsia="Times New Roman" w:hAnsi="Times New Roman" w:cs="Times New Roman"/>
          <w:b/>
          <w:sz w:val="24"/>
          <w:szCs w:val="24"/>
        </w:rPr>
        <w:t>Probability A</w:t>
      </w:r>
      <w:r w:rsidR="00243189" w:rsidRPr="00320F62">
        <w:rPr>
          <w:rStyle w:val="mord"/>
          <w:rFonts w:ascii="Times New Roman" w:eastAsia="Times New Roman" w:hAnsi="Times New Roman" w:cs="Times New Roman"/>
          <w:b/>
          <w:sz w:val="24"/>
          <w:szCs w:val="24"/>
        </w:rPr>
        <w:t xml:space="preserve"> </w:t>
      </w:r>
      <w:r w:rsidRPr="00320F62">
        <w:rPr>
          <w:rStyle w:val="mbin"/>
          <w:rFonts w:ascii="Times New Roman" w:eastAsia="Times New Roman" w:hAnsi="Times New Roman" w:cs="Times New Roman"/>
          <w:b/>
          <w:sz w:val="24"/>
          <w:szCs w:val="24"/>
        </w:rPr>
        <w:t>×</w:t>
      </w:r>
      <w:r w:rsidR="00243189" w:rsidRPr="00320F62">
        <w:rPr>
          <w:rStyle w:val="mbin"/>
          <w:rFonts w:ascii="Times New Roman" w:eastAsia="Times New Roman" w:hAnsi="Times New Roman" w:cs="Times New Roman"/>
          <w:b/>
          <w:sz w:val="24"/>
          <w:szCs w:val="24"/>
        </w:rPr>
        <w:t xml:space="preserve"> </w:t>
      </w:r>
      <w:r w:rsidRPr="00320F62">
        <w:rPr>
          <w:rStyle w:val="mord"/>
          <w:rFonts w:ascii="Times New Roman" w:eastAsia="Times New Roman" w:hAnsi="Times New Roman" w:cs="Times New Roman"/>
          <w:b/>
          <w:sz w:val="24"/>
          <w:szCs w:val="24"/>
        </w:rPr>
        <w:t>Expected Payoff </w:t>
      </w:r>
      <w:proofErr w:type="gramStart"/>
      <w:r w:rsidRPr="00320F62">
        <w:rPr>
          <w:rStyle w:val="mord"/>
          <w:rFonts w:ascii="Times New Roman" w:eastAsia="Times New Roman" w:hAnsi="Times New Roman" w:cs="Times New Roman"/>
          <w:b/>
          <w:sz w:val="24"/>
          <w:szCs w:val="24"/>
        </w:rPr>
        <w:t>A</w:t>
      </w:r>
      <w:r w:rsidRPr="00320F62">
        <w:rPr>
          <w:rStyle w:val="mclose"/>
          <w:rFonts w:ascii="Times New Roman" w:eastAsia="Times New Roman" w:hAnsi="Times New Roman" w:cs="Times New Roman"/>
          <w:b/>
          <w:sz w:val="24"/>
          <w:szCs w:val="24"/>
        </w:rPr>
        <w:t>)</w:t>
      </w:r>
      <w:r w:rsidRPr="00320F62">
        <w:rPr>
          <w:rStyle w:val="mbin"/>
          <w:rFonts w:ascii="Times New Roman" w:eastAsia="Times New Roman" w:hAnsi="Times New Roman" w:cs="Times New Roman"/>
          <w:b/>
          <w:sz w:val="24"/>
          <w:szCs w:val="24"/>
        </w:rPr>
        <w:t>+</w:t>
      </w:r>
      <w:proofErr w:type="gramEnd"/>
      <w:r w:rsidRPr="00320F62">
        <w:rPr>
          <w:rStyle w:val="mopen"/>
          <w:rFonts w:ascii="Times New Roman" w:eastAsia="Times New Roman" w:hAnsi="Times New Roman" w:cs="Times New Roman"/>
          <w:b/>
          <w:sz w:val="24"/>
          <w:szCs w:val="24"/>
        </w:rPr>
        <w:t>(</w:t>
      </w:r>
      <w:r w:rsidRPr="00320F62">
        <w:rPr>
          <w:rStyle w:val="mord"/>
          <w:rFonts w:ascii="Times New Roman" w:eastAsia="Times New Roman" w:hAnsi="Times New Roman" w:cs="Times New Roman"/>
          <w:b/>
          <w:sz w:val="24"/>
          <w:szCs w:val="24"/>
        </w:rPr>
        <w:t>Probability B</w:t>
      </w:r>
      <w:r w:rsidR="00243189" w:rsidRPr="00320F62">
        <w:rPr>
          <w:rStyle w:val="mord"/>
          <w:rFonts w:ascii="Times New Roman" w:eastAsia="Times New Roman" w:hAnsi="Times New Roman" w:cs="Times New Roman"/>
          <w:b/>
          <w:sz w:val="24"/>
          <w:szCs w:val="24"/>
        </w:rPr>
        <w:t xml:space="preserve"> </w:t>
      </w:r>
      <w:r w:rsidRPr="00320F62">
        <w:rPr>
          <w:rStyle w:val="mbin"/>
          <w:rFonts w:ascii="Times New Roman" w:eastAsia="Times New Roman" w:hAnsi="Times New Roman" w:cs="Times New Roman"/>
          <w:b/>
          <w:sz w:val="24"/>
          <w:szCs w:val="24"/>
        </w:rPr>
        <w:t>×</w:t>
      </w:r>
      <w:r w:rsidR="00243189" w:rsidRPr="00320F62">
        <w:rPr>
          <w:rStyle w:val="mbin"/>
          <w:rFonts w:ascii="Times New Roman" w:eastAsia="Times New Roman" w:hAnsi="Times New Roman" w:cs="Times New Roman"/>
          <w:b/>
          <w:sz w:val="24"/>
          <w:szCs w:val="24"/>
        </w:rPr>
        <w:t xml:space="preserve"> </w:t>
      </w:r>
      <w:r w:rsidRPr="00320F62">
        <w:rPr>
          <w:rStyle w:val="mord"/>
          <w:rFonts w:ascii="Times New Roman" w:eastAsia="Times New Roman" w:hAnsi="Times New Roman" w:cs="Times New Roman"/>
          <w:b/>
          <w:sz w:val="24"/>
          <w:szCs w:val="24"/>
        </w:rPr>
        <w:t>Expected Payoff B</w:t>
      </w:r>
      <w:r w:rsidRPr="00320F62">
        <w:rPr>
          <w:rStyle w:val="mclose"/>
          <w:rFonts w:ascii="Times New Roman" w:eastAsia="Times New Roman" w:hAnsi="Times New Roman" w:cs="Times New Roman"/>
          <w:b/>
          <w:sz w:val="24"/>
          <w:szCs w:val="24"/>
        </w:rPr>
        <w:t>)</w:t>
      </w:r>
    </w:p>
    <w:p w14:paraId="0005BDEF" w14:textId="0F25982C" w:rsidR="5ACBD183" w:rsidRPr="00320F62" w:rsidRDefault="00E17907" w:rsidP="009F2F8E">
      <w:pPr>
        <w:spacing w:after="240" w:line="360" w:lineRule="auto"/>
        <w:rPr>
          <w:rFonts w:ascii="Times New Roman" w:eastAsia="Times New Roman" w:hAnsi="Times New Roman" w:cs="Times New Roman"/>
          <w:b/>
          <w:kern w:val="0"/>
          <w:sz w:val="24"/>
          <w:szCs w:val="24"/>
          <w14:ligatures w14:val="none"/>
        </w:rPr>
      </w:pPr>
      <w:r w:rsidRPr="00320F62">
        <w:rPr>
          <w:rFonts w:ascii="Times New Roman" w:eastAsia="Times New Roman" w:hAnsi="Times New Roman" w:cs="Times New Roman"/>
          <w:b/>
          <w:bCs/>
          <w:kern w:val="0"/>
          <w:sz w:val="24"/>
          <w:szCs w:val="24"/>
          <w14:ligatures w14:val="none"/>
        </w:rPr>
        <w:lastRenderedPageBreak/>
        <w:t>Sensitivity</w:t>
      </w:r>
      <w:r w:rsidR="00266CA6" w:rsidRPr="00320F62">
        <w:rPr>
          <w:rFonts w:ascii="Times New Roman" w:eastAsia="Times New Roman" w:hAnsi="Times New Roman" w:cs="Times New Roman"/>
          <w:b/>
          <w:bCs/>
          <w:kern w:val="0"/>
          <w:sz w:val="24"/>
          <w:szCs w:val="24"/>
          <w14:ligatures w14:val="none"/>
        </w:rPr>
        <w:t xml:space="preserve"> Graph</w:t>
      </w:r>
    </w:p>
    <w:p w14:paraId="21BBAD7F" w14:textId="28C6E538" w:rsidR="00B3129B" w:rsidRPr="00320F62" w:rsidRDefault="00F0018F"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The sensitivity graph highlights important changes in the energy </w:t>
      </w:r>
      <w:r w:rsidR="00085C90" w:rsidRPr="00320F62">
        <w:rPr>
          <w:rFonts w:ascii="Times New Roman" w:eastAsia="Times New Roman" w:hAnsi="Times New Roman" w:cs="Times New Roman"/>
          <w:kern w:val="0"/>
          <w:sz w:val="24"/>
          <w:szCs w:val="24"/>
          <w14:ligatures w14:val="none"/>
        </w:rPr>
        <w:t>combined</w:t>
      </w:r>
      <w:r w:rsidRPr="00320F62">
        <w:rPr>
          <w:rFonts w:ascii="Times New Roman" w:eastAsia="Times New Roman" w:hAnsi="Times New Roman" w:cs="Times New Roman"/>
          <w:kern w:val="0"/>
          <w:sz w:val="24"/>
          <w:szCs w:val="24"/>
          <w14:ligatures w14:val="none"/>
        </w:rPr>
        <w:t xml:space="preserve"> by showing the estimated use of different energy sources from 2000 to 2100. Both coal and oil </w:t>
      </w:r>
      <w:r w:rsidR="00085C90" w:rsidRPr="00320F62">
        <w:rPr>
          <w:rFonts w:ascii="Times New Roman" w:eastAsia="Times New Roman" w:hAnsi="Times New Roman" w:cs="Times New Roman"/>
          <w:kern w:val="0"/>
          <w:sz w:val="24"/>
          <w:szCs w:val="24"/>
          <w14:ligatures w14:val="none"/>
        </w:rPr>
        <w:t>increased</w:t>
      </w:r>
      <w:r w:rsidRPr="00320F62">
        <w:rPr>
          <w:rFonts w:ascii="Times New Roman" w:eastAsia="Times New Roman" w:hAnsi="Times New Roman" w:cs="Times New Roman"/>
          <w:kern w:val="0"/>
          <w:sz w:val="24"/>
          <w:szCs w:val="24"/>
          <w14:ligatures w14:val="none"/>
        </w:rPr>
        <w:t xml:space="preserve"> around 2015 and 2025, respectively, after beginning comparatively high in 2000, then rapidly falling and stabilizing at lower levels by the middle of the century. As until about 2025, gas is more stable. After that, it steadily drops and stabilizes.</w:t>
      </w:r>
    </w:p>
    <w:p w14:paraId="796C8A40" w14:textId="02439369" w:rsidR="008C4103" w:rsidRPr="00320F62" w:rsidRDefault="00B3129B"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In contrast, renewable energy sources have a low starting point but rapidly increase after 2020, taking the lead in energy production by 2040 and continuing to rise until they reach a high point by the end of the century. Nuclear energy and bioenergy both stay at comparatively low but stable levels over the course of the decade, with bioenergy showing some modest growth around 2030. </w:t>
      </w:r>
    </w:p>
    <w:p w14:paraId="7B6CD7D7" w14:textId="0470E64B" w:rsidR="007354E2" w:rsidRPr="000B59B6" w:rsidRDefault="008C4103" w:rsidP="000B59B6">
      <w:pPr>
        <w:spacing w:after="240" w:line="360" w:lineRule="auto"/>
        <w:jc w:val="both"/>
        <w:rPr>
          <w:rFonts w:ascii="Times New Roman" w:eastAsia="Times New Roman" w:hAnsi="Times New Roman" w:cs="Times New Roman"/>
          <w:kern w:val="0"/>
          <w:sz w:val="24"/>
          <w:szCs w:val="24"/>
          <w14:ligatures w14:val="none"/>
        </w:rPr>
      </w:pPr>
      <w:r w:rsidRPr="00320F62">
        <w:rPr>
          <w:rFonts w:ascii="Times New Roman" w:hAnsi="Times New Roman" w:cs="Times New Roman"/>
          <w:noProof/>
          <w:sz w:val="24"/>
          <w:szCs w:val="24"/>
        </w:rPr>
        <w:drawing>
          <wp:inline distT="0" distB="0" distL="0" distR="0" wp14:anchorId="178DD00C" wp14:editId="36731CB9">
            <wp:extent cx="5840954" cy="2670362"/>
            <wp:effectExtent l="0" t="0" r="7620" b="15875"/>
            <wp:docPr id="1942807494" name="Chart 2">
              <a:extLst xmlns:a="http://schemas.openxmlformats.org/drawingml/2006/main">
                <a:ext uri="{FF2B5EF4-FFF2-40B4-BE49-F238E27FC236}">
                  <a16:creationId xmlns:a16="http://schemas.microsoft.com/office/drawing/2014/main" id="{B3844E23-FC6A-B1C5-2512-0911FC308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CD7F66" w14:textId="3867A68A" w:rsidR="5ACBD183" w:rsidRPr="00320F62" w:rsidRDefault="482D9E80" w:rsidP="000F3C4A">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Linear Regression</w:t>
      </w:r>
    </w:p>
    <w:p w14:paraId="4ACA73A7" w14:textId="50BD0A16" w:rsidR="2EE170AA" w:rsidRPr="00320F62" w:rsidRDefault="2EE170AA" w:rsidP="00DD7FC2">
      <w:pPr>
        <w:spacing w:line="360" w:lineRule="auto"/>
        <w:ind w:firstLine="720"/>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sz w:val="24"/>
          <w:szCs w:val="24"/>
        </w:rPr>
        <w:t xml:space="preserve">Linear regression analysis uses another variable to predict the first one. The variable that is expected is called the dependent variable, and the variable that is used to create the prediction is called the independent variable. </w:t>
      </w:r>
      <w:r w:rsidRPr="00320F62">
        <w:rPr>
          <w:rFonts w:ascii="Times New Roman" w:hAnsi="Times New Roman" w:cs="Times New Roman"/>
          <w:sz w:val="24"/>
          <w:szCs w:val="24"/>
        </w:rPr>
        <w:br/>
      </w:r>
      <w:r w:rsidR="00DD7FC2">
        <w:rPr>
          <w:rFonts w:ascii="Times New Roman" w:eastAsia="Times New Roman" w:hAnsi="Times New Roman" w:cs="Times New Roman"/>
          <w:sz w:val="24"/>
          <w:szCs w:val="24"/>
        </w:rPr>
        <w:tab/>
      </w:r>
      <w:r w:rsidRPr="00320F62">
        <w:rPr>
          <w:rFonts w:ascii="Times New Roman" w:eastAsia="Times New Roman" w:hAnsi="Times New Roman" w:cs="Times New Roman"/>
          <w:sz w:val="24"/>
          <w:szCs w:val="24"/>
        </w:rPr>
        <w:t xml:space="preserve">This method uses one or more independent variables to estimate the values of a linear equation that most closely predicts the dependent variable. The best surface or straight line fit the data by linear regression by minimizing the difference between the expected and actual values. </w:t>
      </w:r>
      <w:r w:rsidRPr="00320F62">
        <w:rPr>
          <w:rFonts w:ascii="Times New Roman" w:hAnsi="Times New Roman" w:cs="Times New Roman"/>
          <w:sz w:val="24"/>
          <w:szCs w:val="24"/>
        </w:rPr>
        <w:br/>
      </w:r>
      <w:r w:rsidRPr="00320F62">
        <w:rPr>
          <w:rFonts w:ascii="Times New Roman" w:hAnsi="Times New Roman" w:cs="Times New Roman"/>
          <w:sz w:val="24"/>
          <w:szCs w:val="24"/>
        </w:rPr>
        <w:br/>
      </w:r>
      <w:r w:rsidRPr="000B59B6">
        <w:rPr>
          <w:rFonts w:ascii="Times New Roman" w:eastAsia="Times New Roman" w:hAnsi="Times New Roman" w:cs="Times New Roman"/>
          <w:sz w:val="24"/>
          <w:szCs w:val="24"/>
        </w:rPr>
        <w:lastRenderedPageBreak/>
        <w:t>Analysis:</w:t>
      </w:r>
      <w:r w:rsidRPr="00320F62">
        <w:rPr>
          <w:rFonts w:ascii="Times New Roman" w:eastAsia="Times New Roman" w:hAnsi="Times New Roman" w:cs="Times New Roman"/>
          <w:sz w:val="24"/>
          <w:szCs w:val="24"/>
        </w:rPr>
        <w:t xml:space="preserve"> </w:t>
      </w:r>
      <w:r w:rsidRPr="00320F62">
        <w:rPr>
          <w:rFonts w:ascii="Times New Roman" w:hAnsi="Times New Roman" w:cs="Times New Roman"/>
          <w:sz w:val="24"/>
          <w:szCs w:val="24"/>
        </w:rPr>
        <w:br/>
      </w:r>
      <w:r w:rsidRPr="00320F62">
        <w:rPr>
          <w:rFonts w:ascii="Times New Roman" w:eastAsia="Times New Roman" w:hAnsi="Times New Roman" w:cs="Times New Roman"/>
          <w:sz w:val="24"/>
          <w:szCs w:val="24"/>
        </w:rPr>
        <w:t xml:space="preserve"> We are interested in determining the degree to which the baseline emissions and the emissions of greenhouse gases in the current scenario are related. The regression equation that the data produced is as follows: </w:t>
      </w:r>
    </w:p>
    <w:p w14:paraId="11E875FA" w14:textId="67E2B55B" w:rsidR="1817B39B" w:rsidRPr="00DD7FC2" w:rsidRDefault="2EE170AA" w:rsidP="00320F62">
      <w:pPr>
        <w:spacing w:line="360" w:lineRule="auto"/>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sz w:val="24"/>
          <w:szCs w:val="24"/>
        </w:rPr>
        <w:t>Current Scenario emissions = 127.6808 - 1.4843 x Baseline Emissions</w:t>
      </w:r>
    </w:p>
    <w:p w14:paraId="3B589F5D" w14:textId="5DAE8ECE" w:rsidR="1817B39B" w:rsidRPr="00DD7FC2" w:rsidRDefault="00DD7FC2" w:rsidP="00320F6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r>
      <w:r w:rsidR="2EE170AA" w:rsidRPr="00320F62">
        <w:rPr>
          <w:rFonts w:ascii="Times New Roman" w:eastAsia="Times New Roman" w:hAnsi="Times New Roman" w:cs="Times New Roman"/>
          <w:sz w:val="24"/>
          <w:szCs w:val="24"/>
        </w:rPr>
        <w:t>In this case, the emissions from the current scenario are the dependent variable, while the baseline emissions which are also measured in gigatons CO2 equivalent/year are the independent variable. The intercept of 127.6808 represents the expected current scenario emissions when baseline emissions are zero. The slope of -1.4843 shows that for every Gigaton CO2 equivalent/year increase in baseline emissions, current scenario emissions are predicted to decrease by around 1.4843 gigatons.</w:t>
      </w:r>
    </w:p>
    <w:p w14:paraId="7F54BE2B" w14:textId="0CA962E9" w:rsidR="2EE170AA" w:rsidRPr="00320F62" w:rsidRDefault="00DD7FC2" w:rsidP="00320F6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r>
      <w:r w:rsidR="2EE170AA" w:rsidRPr="00320F62">
        <w:rPr>
          <w:rFonts w:ascii="Times New Roman" w:eastAsia="Times New Roman" w:hAnsi="Times New Roman" w:cs="Times New Roman"/>
          <w:sz w:val="24"/>
          <w:szCs w:val="24"/>
        </w:rPr>
        <w:t>Simple linear regression R-squared values normally vary from 0 to 1, so the statistical summary's R-squared value of -0.7836 is unexpected. A negative R-squared score indicates that outliers or data scalability issues could be causing issues for the regression model. The model's parameters are provided by the t-statistics, p-values, standard errors, and coefficient estimates. The 95% confidence interval for the intercept's forecast, which ranges from 112.5252 to 142.8363, is 127.6808. The t-statistic is 16.716, the standard error is 7.638, and the p-value is 1.38 × 10⁻³⁰. The estimated slope is -1.4843, and the 95% confidence interval includes values between -1.7189 and -1.2496. Its p-value is 3.48 × 10⁻²², t-statistic is -12.549, and its standard error is 0.118.</w:t>
      </w:r>
    </w:p>
    <w:p w14:paraId="26ACB69F" w14:textId="5944319A" w:rsidR="2EE170AA" w:rsidRPr="00320F62" w:rsidRDefault="00DD7FC2" w:rsidP="00320F6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r>
      <w:r w:rsidR="2EE170AA" w:rsidRPr="00320F62">
        <w:rPr>
          <w:rFonts w:ascii="Times New Roman" w:eastAsia="Times New Roman" w:hAnsi="Times New Roman" w:cs="Times New Roman"/>
          <w:sz w:val="24"/>
          <w:szCs w:val="24"/>
        </w:rPr>
        <w:t>The alternative hypothesis (H1) says that there is a relationship between baseline emissions and current scenario emissions, opposite to the null hypothesis (H0), which argues that there is no relationship at all. This is the slope's hypothesis test. With a p-value of 3.48 × 10⁻²² and a t-statistic of -12.549 for the slope, the relationship is statistically important and strongly opposes the null hypothesis.</w:t>
      </w:r>
    </w:p>
    <w:p w14:paraId="371F3469" w14:textId="7293C678" w:rsidR="551E7416" w:rsidRPr="000B59B6" w:rsidRDefault="00DD7FC2" w:rsidP="00320F6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r>
      <w:r w:rsidR="2EE170AA" w:rsidRPr="00320F62">
        <w:rPr>
          <w:rFonts w:ascii="Times New Roman" w:eastAsia="Times New Roman" w:hAnsi="Times New Roman" w:cs="Times New Roman"/>
          <w:sz w:val="24"/>
          <w:szCs w:val="24"/>
        </w:rPr>
        <w:t xml:space="preserve">Regression analysis results indicate a significant negative relationship between baseline emissions and current scenario emissions. According to this, emissions in the current scenario decrease as baseline emissions increase. The application of such observations is necessary to understand emission trends and develop effective emission reduction programs. </w:t>
      </w:r>
      <w:proofErr w:type="gramStart"/>
      <w:r w:rsidR="2EE170AA" w:rsidRPr="00320F62">
        <w:rPr>
          <w:rFonts w:ascii="Times New Roman" w:eastAsia="Times New Roman" w:hAnsi="Times New Roman" w:cs="Times New Roman"/>
          <w:sz w:val="24"/>
          <w:szCs w:val="24"/>
        </w:rPr>
        <w:t>In spite of</w:t>
      </w:r>
      <w:proofErr w:type="gramEnd"/>
      <w:r w:rsidR="2EE170AA" w:rsidRPr="00320F62">
        <w:rPr>
          <w:rFonts w:ascii="Times New Roman" w:eastAsia="Times New Roman" w:hAnsi="Times New Roman" w:cs="Times New Roman"/>
          <w:sz w:val="24"/>
          <w:szCs w:val="24"/>
        </w:rPr>
        <w:t xml:space="preserve"> this, </w:t>
      </w:r>
      <w:r w:rsidR="2EE170AA" w:rsidRPr="00320F62">
        <w:rPr>
          <w:rFonts w:ascii="Times New Roman" w:eastAsia="Times New Roman" w:hAnsi="Times New Roman" w:cs="Times New Roman"/>
          <w:sz w:val="24"/>
          <w:szCs w:val="24"/>
        </w:rPr>
        <w:lastRenderedPageBreak/>
        <w:t>the negative R-squared result suggests more investigation into the data, or the model used, as it may indicate the necessity for a different modeling approach or adjustments to the data. The total significant negative slope highlights the effect of baseline emissions on current scenario emissions, showing the importance of targeted emission reduction programs.</w:t>
      </w:r>
    </w:p>
    <w:p w14:paraId="457E0AD2" w14:textId="7C2943BD" w:rsidR="00D61FFD" w:rsidRPr="00320F62" w:rsidRDefault="00A62238" w:rsidP="00320F62">
      <w:pPr>
        <w:spacing w:line="360" w:lineRule="auto"/>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                  </w:t>
      </w:r>
      <w:r w:rsidRPr="00320F62">
        <w:rPr>
          <w:rFonts w:ascii="Times New Roman" w:hAnsi="Times New Roman" w:cs="Times New Roman"/>
          <w:noProof/>
          <w:sz w:val="24"/>
          <w:szCs w:val="24"/>
        </w:rPr>
        <w:drawing>
          <wp:inline distT="0" distB="0" distL="0" distR="0" wp14:anchorId="3D743B90" wp14:editId="573197FA">
            <wp:extent cx="4030980" cy="2080260"/>
            <wp:effectExtent l="0" t="0" r="7620" b="15240"/>
            <wp:docPr id="830567022" name="Chart 1">
              <a:extLst xmlns:a="http://schemas.openxmlformats.org/drawingml/2006/main">
                <a:ext uri="{FF2B5EF4-FFF2-40B4-BE49-F238E27FC236}">
                  <a16:creationId xmlns:a16="http://schemas.microsoft.com/office/drawing/2014/main" id="{1718147A-554D-4951-87C3-097AFB207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DFF378" w14:textId="0F720165" w:rsidR="5ACBD183" w:rsidRPr="00320F62" w:rsidRDefault="66728A3F" w:rsidP="06802218">
      <w:pPr>
        <w:spacing w:line="360" w:lineRule="auto"/>
        <w:rPr>
          <w:rFonts w:ascii="Times New Roman" w:eastAsia="Times New Roman" w:hAnsi="Times New Roman" w:cs="Times New Roman"/>
          <w:sz w:val="24"/>
          <w:szCs w:val="24"/>
        </w:rPr>
      </w:pPr>
      <w:r w:rsidRPr="00320F62">
        <w:rPr>
          <w:rFonts w:ascii="Times New Roman" w:eastAsia="Times New Roman" w:hAnsi="Times New Roman" w:cs="Times New Roman"/>
          <w:b/>
          <w:sz w:val="24"/>
          <w:szCs w:val="24"/>
        </w:rPr>
        <w:t>Forecasting</w:t>
      </w:r>
    </w:p>
    <w:p w14:paraId="4A2B6991" w14:textId="0F4D58F2" w:rsidR="00F50C26" w:rsidRPr="00320F62" w:rsidRDefault="00F50C26"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The process of predicting future patterns or occurrences by analyzing information and data from previous periods is known as forecasting. It involves determining the probability of future outcomes using a variety of statistical, mathematical, and computer techniques. Forecasting is a common tool used to help strategic planning and decision-making in a wide range of fields, including business, finance, economics, and weather prediction.</w:t>
      </w:r>
    </w:p>
    <w:p w14:paraId="60D8E3E8" w14:textId="26876255" w:rsidR="00DE398A" w:rsidRPr="00320F62" w:rsidRDefault="00D33C38" w:rsidP="005A5C6E">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In this document, the Simple Moving Average (SMA) and Single Exponential Smoothing (SES) forecasting tools are used to analyze CO2 reduction data from 2000 to 2030. The ability to forecast future CO2 reduction and to analyze the pattern is critical for environmental management planning and making decisions.</w:t>
      </w:r>
    </w:p>
    <w:p w14:paraId="31F3530B" w14:textId="3BDD7253" w:rsidR="00DE398A" w:rsidRPr="00320F62" w:rsidRDefault="00DE398A" w:rsidP="00320F62">
      <w:pPr>
        <w:spacing w:after="0" w:line="360" w:lineRule="auto"/>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lastRenderedPageBreak/>
        <w:t xml:space="preserve">          </w:t>
      </w:r>
      <w:r w:rsidRPr="00320F62">
        <w:rPr>
          <w:rFonts w:ascii="Times New Roman" w:hAnsi="Times New Roman" w:cs="Times New Roman"/>
          <w:noProof/>
          <w:sz w:val="24"/>
          <w:szCs w:val="24"/>
        </w:rPr>
        <w:drawing>
          <wp:inline distT="0" distB="0" distL="0" distR="0" wp14:anchorId="414E1B6C" wp14:editId="183E6015">
            <wp:extent cx="4572000" cy="2743200"/>
            <wp:effectExtent l="0" t="0" r="0" b="0"/>
            <wp:docPr id="1438722571" name="Chart 1">
              <a:extLst xmlns:a="http://schemas.openxmlformats.org/drawingml/2006/main">
                <a:ext uri="{FF2B5EF4-FFF2-40B4-BE49-F238E27FC236}">
                  <a16:creationId xmlns:a16="http://schemas.microsoft.com/office/drawing/2014/main" id="{3D4AB97C-AF12-E4FE-13FB-4C52CC41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C310EC" w14:textId="1052301D" w:rsidR="00E2592C" w:rsidRPr="00320F62" w:rsidRDefault="00756C9C" w:rsidP="00320F62">
      <w:pPr>
        <w:spacing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The chart illustrates the actual CO2 reduction values, the SMA, and SES forecasts. The SMA line is smoother but </w:t>
      </w:r>
      <w:r w:rsidR="00322173" w:rsidRPr="00320F62">
        <w:rPr>
          <w:rFonts w:ascii="Times New Roman" w:eastAsia="Times New Roman" w:hAnsi="Times New Roman" w:cs="Times New Roman"/>
          <w:kern w:val="0"/>
          <w:sz w:val="24"/>
          <w:szCs w:val="24"/>
          <w14:ligatures w14:val="none"/>
        </w:rPr>
        <w:t>lags</w:t>
      </w:r>
      <w:r w:rsidRPr="00320F62">
        <w:rPr>
          <w:rFonts w:ascii="Times New Roman" w:eastAsia="Times New Roman" w:hAnsi="Times New Roman" w:cs="Times New Roman"/>
          <w:kern w:val="0"/>
          <w:sz w:val="24"/>
          <w:szCs w:val="24"/>
          <w14:ligatures w14:val="none"/>
        </w:rPr>
        <w:t>, while the SES line closely follows the actual data trend.</w:t>
      </w:r>
    </w:p>
    <w:p w14:paraId="58CD203F" w14:textId="4F6D0A06" w:rsidR="006C2415" w:rsidRPr="00320F62" w:rsidRDefault="00322173" w:rsidP="00320F62">
      <w:pPr>
        <w:spacing w:line="360" w:lineRule="auto"/>
        <w:jc w:val="both"/>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 xml:space="preserve">1.Simple Moving Average (SMA): </w:t>
      </w:r>
    </w:p>
    <w:p w14:paraId="4877C8C6" w14:textId="4DC605F0" w:rsidR="002C5F6B" w:rsidRPr="00320F62" w:rsidRDefault="00714B65" w:rsidP="00320F62">
      <w:pPr>
        <w:spacing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sz w:val="24"/>
          <w:szCs w:val="24"/>
        </w:rPr>
        <w:t>The Simple Moving Average (SMA) is a method that calculates the average of a specified number of data points.</w:t>
      </w:r>
      <w:r w:rsidR="002C5F6B" w:rsidRPr="00320F62">
        <w:rPr>
          <w:rFonts w:ascii="Times New Roman" w:eastAsia="Times New Roman" w:hAnsi="Times New Roman" w:cs="Times New Roman"/>
          <w:sz w:val="24"/>
          <w:szCs w:val="24"/>
        </w:rPr>
        <w:t xml:space="preserve"> </w:t>
      </w:r>
      <w:r w:rsidR="002C5F6B" w:rsidRPr="00320F62">
        <w:rPr>
          <w:rFonts w:ascii="Times New Roman" w:eastAsia="Times New Roman" w:hAnsi="Times New Roman" w:cs="Times New Roman"/>
          <w:kern w:val="0"/>
          <w:sz w:val="24"/>
          <w:szCs w:val="24"/>
          <w14:ligatures w14:val="none"/>
        </w:rPr>
        <w:t xml:space="preserve">Since a three-year SMA was used in this study, each expected result is the average of the CO2 reduction figures from the </w:t>
      </w:r>
      <w:r w:rsidR="2885BA01" w:rsidRPr="00320F62">
        <w:rPr>
          <w:rFonts w:ascii="Times New Roman" w:eastAsia="Times New Roman" w:hAnsi="Times New Roman" w:cs="Times New Roman"/>
          <w:kern w:val="0"/>
          <w:sz w:val="24"/>
          <w:szCs w:val="24"/>
          <w14:ligatures w14:val="none"/>
        </w:rPr>
        <w:t xml:space="preserve">past </w:t>
      </w:r>
      <w:r w:rsidR="002C5F6B" w:rsidRPr="00320F62">
        <w:rPr>
          <w:rFonts w:ascii="Times New Roman" w:eastAsia="Times New Roman" w:hAnsi="Times New Roman" w:cs="Times New Roman"/>
          <w:kern w:val="0"/>
          <w:sz w:val="24"/>
          <w:szCs w:val="24"/>
          <w14:ligatures w14:val="none"/>
        </w:rPr>
        <w:t>three years.</w:t>
      </w:r>
    </w:p>
    <w:p w14:paraId="4E6E2348" w14:textId="300761DF" w:rsidR="0073055E" w:rsidRPr="00320F62" w:rsidRDefault="006602A0" w:rsidP="00320F62">
      <w:pPr>
        <w:spacing w:after="0" w:line="360" w:lineRule="auto"/>
        <w:jc w:val="both"/>
        <w:rPr>
          <w:rFonts w:ascii="Times New Roman" w:eastAsia="Times New Roman" w:hAnsi="Times New Roman" w:cs="Times New Roman"/>
          <w:b/>
          <w:bCs/>
          <w:kern w:val="0"/>
          <w:sz w:val="24"/>
          <w:szCs w:val="24"/>
          <w14:ligatures w14:val="none"/>
        </w:rPr>
      </w:pPr>
      <w:r w:rsidRPr="00320F62">
        <w:rPr>
          <w:rFonts w:ascii="Times New Roman" w:eastAsia="Times New Roman" w:hAnsi="Times New Roman" w:cs="Times New Roman"/>
          <w:b/>
          <w:bCs/>
          <w:kern w:val="0"/>
          <w:sz w:val="24"/>
          <w:szCs w:val="24"/>
          <w14:ligatures w14:val="none"/>
        </w:rPr>
        <w:t>Calculation:</w:t>
      </w:r>
      <w:r w:rsidR="00FD0055" w:rsidRPr="00320F62">
        <w:rPr>
          <w:rFonts w:ascii="Times New Roman" w:eastAsia="Times New Roman" w:hAnsi="Times New Roman" w:cs="Times New Roman"/>
          <w:b/>
          <w:bCs/>
          <w:kern w:val="0"/>
          <w:sz w:val="24"/>
          <w:szCs w:val="24"/>
          <w14:ligatures w14:val="none"/>
        </w:rPr>
        <w:t xml:space="preserve"> </w:t>
      </w:r>
      <w:r w:rsidR="0049624C" w:rsidRPr="00320F62">
        <w:rPr>
          <w:rFonts w:ascii="Times New Roman" w:eastAsia="Times New Roman" w:hAnsi="Times New Roman" w:cs="Times New Roman"/>
          <w:kern w:val="0"/>
          <w:sz w:val="24"/>
          <w:szCs w:val="24"/>
          <w14:ligatures w14:val="none"/>
        </w:rPr>
        <w:t xml:space="preserve">The </w:t>
      </w:r>
      <w:r w:rsidRPr="00320F62">
        <w:rPr>
          <w:rFonts w:ascii="Times New Roman" w:eastAsia="Times New Roman" w:hAnsi="Times New Roman" w:cs="Times New Roman"/>
          <w:kern w:val="0"/>
          <w:sz w:val="24"/>
          <w:szCs w:val="24"/>
          <w14:ligatures w14:val="none"/>
        </w:rPr>
        <w:t>average</w:t>
      </w:r>
      <w:r w:rsidR="0049624C" w:rsidRPr="00320F62">
        <w:rPr>
          <w:rFonts w:ascii="Times New Roman" w:eastAsia="Times New Roman" w:hAnsi="Times New Roman" w:cs="Times New Roman"/>
          <w:kern w:val="0"/>
          <w:sz w:val="24"/>
          <w:szCs w:val="24"/>
          <w14:ligatures w14:val="none"/>
        </w:rPr>
        <w:t xml:space="preserve"> function in Excel may be used to determine the 3-year SMA. Assume that, beginning with cell B2 for the year 2000, your CO2 reduction data is in column B. Here's how to go about it:</w:t>
      </w:r>
      <w:r w:rsidR="00964A47" w:rsidRPr="00320F62">
        <w:rPr>
          <w:rFonts w:ascii="Times New Roman" w:eastAsia="Times New Roman" w:hAnsi="Times New Roman" w:cs="Times New Roman"/>
          <w:kern w:val="0"/>
          <w:sz w:val="24"/>
          <w:szCs w:val="24"/>
          <w14:ligatures w14:val="none"/>
        </w:rPr>
        <w:t xml:space="preserve"> </w:t>
      </w:r>
      <w:r w:rsidR="009B4EC5" w:rsidRPr="00320F62">
        <w:rPr>
          <w:rFonts w:ascii="Times New Roman" w:eastAsia="Times New Roman" w:hAnsi="Times New Roman" w:cs="Times New Roman"/>
          <w:kern w:val="0"/>
          <w:sz w:val="24"/>
          <w:szCs w:val="24"/>
          <w14:ligatures w14:val="none"/>
        </w:rPr>
        <w:t xml:space="preserve">   </w:t>
      </w:r>
      <w:r w:rsidR="0049624C" w:rsidRPr="00320F62">
        <w:rPr>
          <w:rFonts w:ascii="Times New Roman" w:eastAsia="Times New Roman" w:hAnsi="Times New Roman" w:cs="Times New Roman"/>
          <w:b/>
          <w:bCs/>
          <w:kern w:val="0"/>
          <w:sz w:val="24"/>
          <w:szCs w:val="24"/>
          <w14:ligatures w14:val="none"/>
        </w:rPr>
        <w:t>SMA = Average</w:t>
      </w:r>
      <w:r w:rsidRPr="00320F62">
        <w:rPr>
          <w:rFonts w:ascii="Times New Roman" w:eastAsia="Times New Roman" w:hAnsi="Times New Roman" w:cs="Times New Roman"/>
          <w:b/>
          <w:bCs/>
          <w:kern w:val="0"/>
          <w:sz w:val="24"/>
          <w:szCs w:val="24"/>
          <w14:ligatures w14:val="none"/>
        </w:rPr>
        <w:t>/3</w:t>
      </w:r>
      <w:r w:rsidR="006E0924" w:rsidRPr="00320F62">
        <w:rPr>
          <w:rFonts w:ascii="Times New Roman" w:eastAsia="Times New Roman" w:hAnsi="Times New Roman" w:cs="Times New Roman"/>
          <w:kern w:val="0"/>
          <w:sz w:val="24"/>
          <w:szCs w:val="24"/>
          <w14:ligatures w14:val="none"/>
        </w:rPr>
        <w:t xml:space="preserve"> </w:t>
      </w:r>
      <w:r w:rsidR="00571C52" w:rsidRPr="00320F62">
        <w:rPr>
          <w:rFonts w:ascii="Times New Roman" w:eastAsia="Times New Roman" w:hAnsi="Times New Roman" w:cs="Times New Roman"/>
          <w:kern w:val="0"/>
          <w:sz w:val="24"/>
          <w:szCs w:val="24"/>
          <w14:ligatures w14:val="none"/>
        </w:rPr>
        <w:t>where</w:t>
      </w:r>
      <w:r w:rsidR="00B458F2" w:rsidRPr="00320F62">
        <w:rPr>
          <w:rFonts w:ascii="Times New Roman" w:eastAsia="Times New Roman" w:hAnsi="Times New Roman" w:cs="Times New Roman"/>
          <w:sz w:val="24"/>
          <w:szCs w:val="24"/>
        </w:rPr>
        <w:t xml:space="preserve"> </w:t>
      </w:r>
      <w:proofErr w:type="gramStart"/>
      <w:r w:rsidR="00B458F2" w:rsidRPr="00320F62">
        <w:rPr>
          <w:rStyle w:val="katex-mathml"/>
          <w:rFonts w:ascii="Times New Roman" w:eastAsia="Times New Roman" w:hAnsi="Times New Roman" w:cs="Times New Roman"/>
          <w:sz w:val="24"/>
          <w:szCs w:val="24"/>
        </w:rPr>
        <w:t>Y,</w:t>
      </w:r>
      <w:proofErr w:type="gramEnd"/>
      <w:r w:rsidR="00B458F2" w:rsidRPr="00320F62">
        <w:rPr>
          <w:rFonts w:ascii="Times New Roman" w:eastAsia="Times New Roman" w:hAnsi="Times New Roman" w:cs="Times New Roman"/>
          <w:sz w:val="24"/>
          <w:szCs w:val="24"/>
        </w:rPr>
        <w:t xml:space="preserve"> represents the CO2 reduction value.</w:t>
      </w:r>
    </w:p>
    <w:p w14:paraId="3F541555" w14:textId="339C869E" w:rsidR="00F64D01" w:rsidRPr="00320F62" w:rsidRDefault="00CC0447" w:rsidP="00320F62">
      <w:pPr>
        <w:spacing w:after="0" w:line="360" w:lineRule="auto"/>
        <w:jc w:val="both"/>
        <w:rPr>
          <w:rFonts w:ascii="Times New Roman" w:eastAsia="Times New Roman" w:hAnsi="Times New Roman" w:cs="Times New Roman"/>
          <w:sz w:val="24"/>
          <w:szCs w:val="24"/>
        </w:rPr>
      </w:pPr>
      <w:r w:rsidRPr="00320F62">
        <w:rPr>
          <w:rFonts w:ascii="Times New Roman" w:eastAsia="Times New Roman" w:hAnsi="Times New Roman" w:cs="Times New Roman"/>
          <w:b/>
          <w:sz w:val="24"/>
          <w:szCs w:val="24"/>
        </w:rPr>
        <w:t>2.</w:t>
      </w:r>
      <w:r w:rsidRPr="00320F62">
        <w:rPr>
          <w:rFonts w:ascii="Times New Roman" w:eastAsia="Times New Roman" w:hAnsi="Times New Roman" w:cs="Times New Roman"/>
          <w:sz w:val="24"/>
          <w:szCs w:val="24"/>
        </w:rPr>
        <w:t xml:space="preserve"> </w:t>
      </w:r>
      <w:r w:rsidR="00E12AC8" w:rsidRPr="00320F62">
        <w:rPr>
          <w:rStyle w:val="Strong"/>
          <w:rFonts w:ascii="Times New Roman" w:eastAsia="Times New Roman" w:hAnsi="Times New Roman" w:cs="Times New Roman"/>
          <w:sz w:val="24"/>
          <w:szCs w:val="24"/>
        </w:rPr>
        <w:t>Single Exponential Smoothing (SES)</w:t>
      </w:r>
      <w:r w:rsidR="00E12AC8" w:rsidRPr="00320F62">
        <w:rPr>
          <w:rFonts w:ascii="Times New Roman" w:eastAsia="Times New Roman" w:hAnsi="Times New Roman" w:cs="Times New Roman"/>
          <w:sz w:val="24"/>
          <w:szCs w:val="24"/>
        </w:rPr>
        <w:t>:</w:t>
      </w:r>
    </w:p>
    <w:p w14:paraId="45C0569E" w14:textId="2377D166" w:rsidR="0073055E" w:rsidRPr="00320F62" w:rsidRDefault="00F64D01"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SES is a weighted moving average of historical observations, with the weights decreasing exponentially with the age of the observations, used in time series forecasting for multivariate data.</w:t>
      </w:r>
    </w:p>
    <w:p w14:paraId="0019D33D" w14:textId="3B0BA381" w:rsidR="00AA769E" w:rsidRPr="00320F62" w:rsidRDefault="002539EE" w:rsidP="00320F62">
      <w:pPr>
        <w:spacing w:after="0" w:line="360" w:lineRule="auto"/>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b/>
          <w:bCs/>
          <w:kern w:val="0"/>
          <w:sz w:val="24"/>
          <w:szCs w:val="24"/>
          <w14:ligatures w14:val="none"/>
        </w:rPr>
        <w:t>Calculation:</w:t>
      </w:r>
      <w:r w:rsidRPr="00320F62">
        <w:rPr>
          <w:rFonts w:ascii="Times New Roman" w:eastAsia="Times New Roman" w:hAnsi="Times New Roman" w:cs="Times New Roman"/>
          <w:kern w:val="0"/>
          <w:sz w:val="24"/>
          <w:szCs w:val="24"/>
          <w14:ligatures w14:val="none"/>
        </w:rPr>
        <w:t xml:space="preserve"> </w:t>
      </w:r>
      <w:r w:rsidR="00FD0055" w:rsidRPr="00320F62">
        <w:rPr>
          <w:rFonts w:ascii="Times New Roman" w:eastAsia="Times New Roman" w:hAnsi="Times New Roman" w:cs="Times New Roman"/>
          <w:kern w:val="0"/>
          <w:sz w:val="24"/>
          <w:szCs w:val="24"/>
          <w14:ligatures w14:val="none"/>
        </w:rPr>
        <w:t xml:space="preserve"> </w:t>
      </w:r>
      <w:r w:rsidRPr="00320F62">
        <w:rPr>
          <w:rFonts w:ascii="Times New Roman" w:eastAsia="Times New Roman" w:hAnsi="Times New Roman" w:cs="Times New Roman"/>
          <w:kern w:val="0"/>
          <w:sz w:val="24"/>
          <w:szCs w:val="24"/>
          <w14:ligatures w14:val="none"/>
        </w:rPr>
        <w:t>To give more weight to recent observations, SES is used with a smoothing parameter (α) = 0.2.</w:t>
      </w:r>
      <w:r w:rsidR="00D9561F" w:rsidRPr="00320F62">
        <w:rPr>
          <w:rFonts w:ascii="Times New Roman" w:eastAsia="Times New Roman" w:hAnsi="Times New Roman" w:cs="Times New Roman"/>
          <w:kern w:val="0"/>
          <w:sz w:val="24"/>
          <w:szCs w:val="24"/>
          <w14:ligatures w14:val="none"/>
        </w:rPr>
        <w:t xml:space="preserve"> </w:t>
      </w:r>
      <w:r w:rsidR="00F844E2" w:rsidRPr="00320F62">
        <w:rPr>
          <w:rFonts w:ascii="Times New Roman" w:eastAsia="Times New Roman" w:hAnsi="Times New Roman" w:cs="Times New Roman"/>
          <w:kern w:val="0"/>
          <w:sz w:val="24"/>
          <w:szCs w:val="24"/>
          <w14:ligatures w14:val="none"/>
        </w:rPr>
        <w:t xml:space="preserve">The graph </w:t>
      </w:r>
      <w:proofErr w:type="gramStart"/>
      <w:r w:rsidR="002344A9" w:rsidRPr="00320F62">
        <w:rPr>
          <w:rFonts w:ascii="Times New Roman" w:eastAsia="Times New Roman" w:hAnsi="Times New Roman" w:cs="Times New Roman"/>
          <w:kern w:val="0"/>
          <w:sz w:val="24"/>
          <w:szCs w:val="24"/>
          <w14:ligatures w14:val="none"/>
        </w:rPr>
        <w:t>indicates for</w:t>
      </w:r>
      <w:proofErr w:type="gramEnd"/>
      <w:r w:rsidR="002344A9" w:rsidRPr="00320F62">
        <w:rPr>
          <w:rFonts w:ascii="Times New Roman" w:eastAsia="Times New Roman" w:hAnsi="Times New Roman" w:cs="Times New Roman"/>
          <w:kern w:val="0"/>
          <w:sz w:val="24"/>
          <w:szCs w:val="24"/>
          <w14:ligatures w14:val="none"/>
        </w:rPr>
        <w:t xml:space="preserve"> the 5-year Weighted Moving Average (WMA) and the CO2 Reduction (Gt) from 2000 to 2030. CO2 reduction numbers are rising year, suggesting that carbon emissions are on the decline. This data is smoothed by the WMA, removing year-to-year variations to show a clearer underlying direction</w:t>
      </w:r>
      <w:r w:rsidR="00AA769E" w:rsidRPr="00320F62">
        <w:rPr>
          <w:rFonts w:ascii="Times New Roman" w:eastAsia="Times New Roman" w:hAnsi="Times New Roman" w:cs="Times New Roman"/>
          <w:kern w:val="0"/>
          <w:sz w:val="24"/>
          <w:szCs w:val="24"/>
          <w14:ligatures w14:val="none"/>
        </w:rPr>
        <w:t>.</w:t>
      </w:r>
    </w:p>
    <w:p w14:paraId="241B2E21" w14:textId="2DD8509A" w:rsidR="00D9561F" w:rsidRPr="00320F62" w:rsidRDefault="00D9561F" w:rsidP="00320F62">
      <w:pPr>
        <w:spacing w:after="0" w:line="360" w:lineRule="auto"/>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b/>
          <w:color w:val="000000"/>
          <w:kern w:val="0"/>
          <w:sz w:val="24"/>
          <w:szCs w:val="24"/>
          <w14:ligatures w14:val="none"/>
        </w:rPr>
        <w:t xml:space="preserve">                  </w:t>
      </w:r>
      <w:r w:rsidR="00AA769E" w:rsidRPr="00320F62">
        <w:rPr>
          <w:rFonts w:ascii="Times New Roman" w:eastAsia="Times New Roman" w:hAnsi="Times New Roman" w:cs="Times New Roman"/>
          <w:b/>
          <w:color w:val="000000"/>
          <w:kern w:val="0"/>
          <w:sz w:val="24"/>
          <w:szCs w:val="24"/>
          <w14:ligatures w14:val="none"/>
        </w:rPr>
        <w:t>WMA (5-year)</w:t>
      </w:r>
      <w:r w:rsidR="00363D58" w:rsidRPr="00320F62">
        <w:rPr>
          <w:rFonts w:ascii="Times New Roman" w:eastAsia="Times New Roman" w:hAnsi="Times New Roman" w:cs="Times New Roman"/>
          <w:b/>
          <w:color w:val="000000"/>
          <w:kern w:val="0"/>
          <w:sz w:val="24"/>
          <w:szCs w:val="24"/>
          <w14:ligatures w14:val="none"/>
        </w:rPr>
        <w:t xml:space="preserve"> </w:t>
      </w:r>
      <w:r w:rsidR="00363D58" w:rsidRPr="00320F62">
        <w:rPr>
          <w:rFonts w:ascii="Times New Roman" w:eastAsia="Times New Roman" w:hAnsi="Times New Roman" w:cs="Times New Roman"/>
          <w:kern w:val="0"/>
          <w:sz w:val="24"/>
          <w:szCs w:val="24"/>
          <w14:ligatures w14:val="none"/>
        </w:rPr>
        <w:t>=AVERAGE</w:t>
      </w:r>
      <w:r w:rsidR="006602A0" w:rsidRPr="00320F62">
        <w:rPr>
          <w:rFonts w:ascii="Times New Roman" w:eastAsia="Times New Roman" w:hAnsi="Times New Roman" w:cs="Times New Roman"/>
          <w:kern w:val="0"/>
          <w:sz w:val="24"/>
          <w:szCs w:val="24"/>
          <w14:ligatures w14:val="none"/>
        </w:rPr>
        <w:t>/5</w:t>
      </w:r>
    </w:p>
    <w:p w14:paraId="116D2221" w14:textId="008A39A7" w:rsidR="00881588" w:rsidRPr="00320F62" w:rsidRDefault="00F844E2" w:rsidP="00320F62">
      <w:pPr>
        <w:spacing w:line="360" w:lineRule="auto"/>
        <w:jc w:val="both"/>
        <w:rPr>
          <w:rFonts w:ascii="Times New Roman" w:eastAsia="Times New Roman" w:hAnsi="Times New Roman" w:cs="Times New Roman"/>
          <w:b/>
          <w:sz w:val="24"/>
          <w:szCs w:val="24"/>
        </w:rPr>
      </w:pPr>
      <w:r w:rsidRPr="00320F62">
        <w:rPr>
          <w:rFonts w:ascii="Times New Roman" w:hAnsi="Times New Roman" w:cs="Times New Roman"/>
          <w:noProof/>
          <w:sz w:val="24"/>
          <w:szCs w:val="24"/>
        </w:rPr>
        <w:lastRenderedPageBreak/>
        <w:drawing>
          <wp:inline distT="0" distB="0" distL="0" distR="0" wp14:anchorId="7415BCAC" wp14:editId="66D003D0">
            <wp:extent cx="4442460" cy="2270760"/>
            <wp:effectExtent l="0" t="0" r="15240" b="15240"/>
            <wp:docPr id="345927854" name="Chart 1">
              <a:extLst xmlns:a="http://schemas.openxmlformats.org/drawingml/2006/main">
                <a:ext uri="{FF2B5EF4-FFF2-40B4-BE49-F238E27FC236}">
                  <a16:creationId xmlns:a16="http://schemas.microsoft.com/office/drawing/2014/main" id="{8F169508-4A73-234D-AAF6-8D9B575CE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AAD04A" w14:textId="7B6DDE79" w:rsidR="000C444C" w:rsidRPr="00320F62" w:rsidRDefault="003F40C2" w:rsidP="00320F62">
      <w:pPr>
        <w:spacing w:after="0" w:line="360" w:lineRule="auto"/>
        <w:ind w:firstLine="720"/>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 xml:space="preserve">The lines show data on actual CO2 reduction as well as a future that is predicted from current trends. The </w:t>
      </w:r>
      <w:r w:rsidR="00085C90" w:rsidRPr="00320F62">
        <w:rPr>
          <w:rFonts w:ascii="Times New Roman" w:eastAsia="Times New Roman" w:hAnsi="Times New Roman" w:cs="Times New Roman"/>
          <w:kern w:val="0"/>
          <w:sz w:val="24"/>
          <w:szCs w:val="24"/>
          <w14:ligatures w14:val="none"/>
        </w:rPr>
        <w:t>projection</w:t>
      </w:r>
      <w:r w:rsidRPr="00320F62">
        <w:rPr>
          <w:rFonts w:ascii="Times New Roman" w:eastAsia="Times New Roman" w:hAnsi="Times New Roman" w:cs="Times New Roman"/>
          <w:kern w:val="0"/>
          <w:sz w:val="24"/>
          <w:szCs w:val="24"/>
          <w14:ligatures w14:val="none"/>
        </w:rPr>
        <w:t>, shown by the flat line, indicates that the rate of CO2 reduction might not increase further if no major adjustments are made. The forecast's range of uncertainty is shown by the confidence limits, which also include the lowest and highest projected values. Because it assists in projecting future events and provides information for policy choices, this type of forecasting is essential for environmental planning.</w:t>
      </w:r>
      <w:r w:rsidR="000C444C" w:rsidRPr="00320F62">
        <w:rPr>
          <w:rFonts w:ascii="Times New Roman" w:eastAsia="Times New Roman" w:hAnsi="Times New Roman" w:cs="Times New Roman"/>
          <w:kern w:val="0"/>
          <w:sz w:val="24"/>
          <w:szCs w:val="24"/>
          <w14:ligatures w14:val="none"/>
        </w:rPr>
        <w:t xml:space="preserve"> For excel</w:t>
      </w:r>
      <w:r w:rsidR="00085C90" w:rsidRPr="00320F62">
        <w:rPr>
          <w:rFonts w:ascii="Times New Roman" w:eastAsia="Times New Roman" w:hAnsi="Times New Roman" w:cs="Times New Roman"/>
          <w:kern w:val="0"/>
          <w:sz w:val="24"/>
          <w:szCs w:val="24"/>
          <w14:ligatures w14:val="none"/>
        </w:rPr>
        <w:t>,</w:t>
      </w:r>
      <w:r w:rsidR="000C444C" w:rsidRPr="00320F62">
        <w:rPr>
          <w:rFonts w:ascii="Times New Roman" w:eastAsia="Times New Roman" w:hAnsi="Times New Roman" w:cs="Times New Roman"/>
          <w:kern w:val="0"/>
          <w:sz w:val="24"/>
          <w:szCs w:val="24"/>
          <w14:ligatures w14:val="none"/>
        </w:rPr>
        <w:t xml:space="preserve"> the formula can be calculated for </w:t>
      </w:r>
      <w:r w:rsidR="00085C90" w:rsidRPr="00320F62">
        <w:rPr>
          <w:rFonts w:ascii="Times New Roman" w:eastAsia="Times New Roman" w:hAnsi="Times New Roman" w:cs="Times New Roman"/>
          <w:kern w:val="0"/>
          <w:sz w:val="24"/>
          <w:szCs w:val="24"/>
          <w14:ligatures w14:val="none"/>
        </w:rPr>
        <w:t xml:space="preserve">the </w:t>
      </w:r>
      <w:r w:rsidR="000C444C" w:rsidRPr="00320F62">
        <w:rPr>
          <w:rFonts w:ascii="Times New Roman" w:eastAsia="Times New Roman" w:hAnsi="Times New Roman" w:cs="Times New Roman"/>
          <w:kern w:val="0"/>
          <w:sz w:val="24"/>
          <w:szCs w:val="24"/>
          <w14:ligatures w14:val="none"/>
        </w:rPr>
        <w:t>current sce</w:t>
      </w:r>
      <w:r w:rsidR="004A7CB4" w:rsidRPr="00320F62">
        <w:rPr>
          <w:rFonts w:ascii="Times New Roman" w:eastAsia="Times New Roman" w:hAnsi="Times New Roman" w:cs="Times New Roman"/>
          <w:kern w:val="0"/>
          <w:sz w:val="24"/>
          <w:szCs w:val="24"/>
          <w14:ligatures w14:val="none"/>
        </w:rPr>
        <w:t xml:space="preserve">nario </w:t>
      </w:r>
      <w:r w:rsidR="00062583" w:rsidRPr="00320F62">
        <w:rPr>
          <w:rFonts w:ascii="Times New Roman" w:eastAsia="Times New Roman" w:hAnsi="Times New Roman" w:cs="Times New Roman"/>
          <w:kern w:val="0"/>
          <w:sz w:val="24"/>
          <w:szCs w:val="24"/>
          <w14:ligatures w14:val="none"/>
        </w:rPr>
        <w:t>i.</w:t>
      </w:r>
      <w:r w:rsidR="00062583" w:rsidRPr="00320F62">
        <w:rPr>
          <w:rFonts w:ascii="Times New Roman" w:eastAsia="Times New Roman" w:hAnsi="Times New Roman" w:cs="Times New Roman"/>
          <w:b/>
          <w:bCs/>
          <w:kern w:val="0"/>
          <w:sz w:val="24"/>
          <w:szCs w:val="24"/>
          <w14:ligatures w14:val="none"/>
        </w:rPr>
        <w:t>e.</w:t>
      </w:r>
      <w:r w:rsidR="004A7CB4" w:rsidRPr="00320F62">
        <w:rPr>
          <w:rFonts w:ascii="Times New Roman" w:eastAsia="Times New Roman" w:hAnsi="Times New Roman" w:cs="Times New Roman"/>
          <w:b/>
          <w:bCs/>
          <w:kern w:val="0"/>
          <w:sz w:val="24"/>
          <w:szCs w:val="24"/>
          <w14:ligatures w14:val="none"/>
        </w:rPr>
        <w:t xml:space="preserve">  </w:t>
      </w:r>
      <w:r w:rsidR="00E528F3" w:rsidRPr="00320F62">
        <w:rPr>
          <w:rFonts w:ascii="Times New Roman" w:eastAsia="Times New Roman" w:hAnsi="Times New Roman" w:cs="Times New Roman"/>
          <w:b/>
          <w:bCs/>
          <w:kern w:val="0"/>
          <w:sz w:val="24"/>
          <w:szCs w:val="24"/>
          <w14:ligatures w14:val="none"/>
        </w:rPr>
        <w:t>=FORECAST.ETS</w:t>
      </w:r>
      <w:r w:rsidR="00573143" w:rsidRPr="00320F62">
        <w:rPr>
          <w:rFonts w:ascii="Times New Roman" w:eastAsia="Times New Roman" w:hAnsi="Times New Roman" w:cs="Times New Roman"/>
          <w:kern w:val="0"/>
          <w:sz w:val="24"/>
          <w:szCs w:val="24"/>
          <w14:ligatures w14:val="none"/>
        </w:rPr>
        <w:t xml:space="preserve"> and for calculating</w:t>
      </w:r>
      <w:r w:rsidR="00B3709F" w:rsidRPr="00320F62">
        <w:rPr>
          <w:rFonts w:ascii="Times New Roman" w:eastAsia="Times New Roman" w:hAnsi="Times New Roman" w:cs="Times New Roman"/>
          <w:kern w:val="0"/>
          <w:sz w:val="24"/>
          <w:szCs w:val="24"/>
          <w14:ligatures w14:val="none"/>
        </w:rPr>
        <w:t xml:space="preserve"> lower confidence </w:t>
      </w:r>
      <w:r w:rsidR="00062583" w:rsidRPr="00320F62">
        <w:rPr>
          <w:rFonts w:ascii="Times New Roman" w:eastAsia="Times New Roman" w:hAnsi="Times New Roman" w:cs="Times New Roman"/>
          <w:kern w:val="0"/>
          <w:sz w:val="24"/>
          <w:szCs w:val="24"/>
          <w14:ligatures w14:val="none"/>
        </w:rPr>
        <w:t>bound (</w:t>
      </w:r>
      <w:r w:rsidR="00B3709F" w:rsidRPr="00320F62">
        <w:rPr>
          <w:rFonts w:ascii="Times New Roman" w:eastAsia="Times New Roman" w:hAnsi="Times New Roman" w:cs="Times New Roman"/>
          <w:kern w:val="0"/>
          <w:sz w:val="24"/>
          <w:szCs w:val="24"/>
          <w14:ligatures w14:val="none"/>
        </w:rPr>
        <w:t>current scenario)</w:t>
      </w:r>
      <w:r w:rsidR="004A7CB4" w:rsidRPr="00320F62">
        <w:rPr>
          <w:rFonts w:ascii="Times New Roman" w:eastAsia="Times New Roman" w:hAnsi="Times New Roman" w:cs="Times New Roman"/>
          <w:kern w:val="0"/>
          <w:sz w:val="24"/>
          <w:szCs w:val="24"/>
          <w14:ligatures w14:val="none"/>
        </w:rPr>
        <w:t xml:space="preserve"> </w:t>
      </w:r>
      <w:r w:rsidR="00B3709F" w:rsidRPr="00320F62">
        <w:rPr>
          <w:rFonts w:ascii="Times New Roman" w:eastAsia="Times New Roman" w:hAnsi="Times New Roman" w:cs="Times New Roman"/>
          <w:kern w:val="0"/>
          <w:sz w:val="24"/>
          <w:szCs w:val="24"/>
          <w14:ligatures w14:val="none"/>
        </w:rPr>
        <w:t xml:space="preserve">the formula is </w:t>
      </w:r>
      <w:r w:rsidR="00062583" w:rsidRPr="00320F62">
        <w:rPr>
          <w:rFonts w:ascii="Times New Roman" w:eastAsia="Times New Roman" w:hAnsi="Times New Roman" w:cs="Times New Roman"/>
          <w:kern w:val="0"/>
          <w:sz w:val="24"/>
          <w:szCs w:val="24"/>
          <w14:ligatures w14:val="none"/>
        </w:rPr>
        <w:t>i.e.</w:t>
      </w:r>
      <w:r w:rsidR="00B3709F" w:rsidRPr="00320F62">
        <w:rPr>
          <w:rFonts w:ascii="Times New Roman" w:eastAsia="Times New Roman" w:hAnsi="Times New Roman" w:cs="Times New Roman"/>
          <w:kern w:val="0"/>
          <w:sz w:val="24"/>
          <w:szCs w:val="24"/>
          <w14:ligatures w14:val="none"/>
        </w:rPr>
        <w:t xml:space="preserve"> </w:t>
      </w:r>
      <w:r w:rsidR="00E528F3" w:rsidRPr="00320F62">
        <w:rPr>
          <w:rFonts w:ascii="Times New Roman" w:eastAsia="Times New Roman" w:hAnsi="Times New Roman" w:cs="Times New Roman"/>
          <w:b/>
          <w:bCs/>
          <w:kern w:val="0"/>
          <w:sz w:val="24"/>
          <w:szCs w:val="24"/>
          <w14:ligatures w14:val="none"/>
        </w:rPr>
        <w:t>=C96-FORECAST.ETS.CONFINT</w:t>
      </w:r>
      <w:r w:rsidR="00DF1726" w:rsidRPr="00320F62">
        <w:rPr>
          <w:rFonts w:ascii="Times New Roman" w:eastAsia="Times New Roman" w:hAnsi="Times New Roman" w:cs="Times New Roman"/>
          <w:kern w:val="0"/>
          <w:sz w:val="24"/>
          <w:szCs w:val="24"/>
          <w14:ligatures w14:val="none"/>
        </w:rPr>
        <w:t xml:space="preserve"> is calculated for the reduction of the lower CO2 reduction which reduces and for the upper confidence bound (current scenario) the formula </w:t>
      </w:r>
      <w:r w:rsidR="00062583" w:rsidRPr="00320F62">
        <w:rPr>
          <w:rFonts w:ascii="Times New Roman" w:eastAsia="Times New Roman" w:hAnsi="Times New Roman" w:cs="Times New Roman"/>
          <w:kern w:val="0"/>
          <w:sz w:val="24"/>
          <w:szCs w:val="24"/>
          <w14:ligatures w14:val="none"/>
        </w:rPr>
        <w:t>i.e.</w:t>
      </w:r>
      <w:r w:rsidR="00DF1726" w:rsidRPr="00320F62">
        <w:rPr>
          <w:rFonts w:ascii="Times New Roman" w:eastAsia="Times New Roman" w:hAnsi="Times New Roman" w:cs="Times New Roman"/>
          <w:kern w:val="0"/>
          <w:sz w:val="24"/>
          <w:szCs w:val="24"/>
          <w14:ligatures w14:val="none"/>
        </w:rPr>
        <w:t xml:space="preserve">  </w:t>
      </w:r>
      <w:r w:rsidR="000C444C" w:rsidRPr="00320F62">
        <w:rPr>
          <w:rFonts w:ascii="Times New Roman" w:eastAsia="Times New Roman" w:hAnsi="Times New Roman" w:cs="Times New Roman"/>
          <w:b/>
          <w:bCs/>
          <w:kern w:val="0"/>
          <w:sz w:val="24"/>
          <w:szCs w:val="24"/>
          <w14:ligatures w14:val="none"/>
        </w:rPr>
        <w:t>=C96+FORECAST.ETS.CONFINT</w:t>
      </w:r>
      <w:r w:rsidR="00DF1726" w:rsidRPr="00320F62">
        <w:rPr>
          <w:rFonts w:ascii="Times New Roman" w:eastAsia="Times New Roman" w:hAnsi="Times New Roman" w:cs="Times New Roman"/>
          <w:kern w:val="0"/>
          <w:sz w:val="24"/>
          <w:szCs w:val="24"/>
          <w14:ligatures w14:val="none"/>
        </w:rPr>
        <w:t xml:space="preserve"> </w:t>
      </w:r>
      <w:r w:rsidR="008544B0" w:rsidRPr="00320F62">
        <w:rPr>
          <w:rFonts w:ascii="Times New Roman" w:eastAsia="Times New Roman" w:hAnsi="Times New Roman" w:cs="Times New Roman"/>
          <w:kern w:val="0"/>
          <w:sz w:val="24"/>
          <w:szCs w:val="24"/>
          <w14:ligatures w14:val="none"/>
        </w:rPr>
        <w:t xml:space="preserve">by using this formula the upper bound is calculated in </w:t>
      </w:r>
      <w:r w:rsidR="00085C90" w:rsidRPr="00320F62">
        <w:rPr>
          <w:rFonts w:ascii="Times New Roman" w:eastAsia="Times New Roman" w:hAnsi="Times New Roman" w:cs="Times New Roman"/>
          <w:kern w:val="0"/>
          <w:sz w:val="24"/>
          <w:szCs w:val="24"/>
          <w14:ligatures w14:val="none"/>
        </w:rPr>
        <w:t xml:space="preserve">the </w:t>
      </w:r>
      <w:r w:rsidR="008544B0" w:rsidRPr="00320F62">
        <w:rPr>
          <w:rFonts w:ascii="Times New Roman" w:eastAsia="Times New Roman" w:hAnsi="Times New Roman" w:cs="Times New Roman"/>
          <w:kern w:val="0"/>
          <w:sz w:val="24"/>
          <w:szCs w:val="24"/>
          <w14:ligatures w14:val="none"/>
        </w:rPr>
        <w:t xml:space="preserve">graph it shows </w:t>
      </w:r>
      <w:r w:rsidR="00991553" w:rsidRPr="00320F62">
        <w:rPr>
          <w:rFonts w:ascii="Times New Roman" w:eastAsia="Times New Roman" w:hAnsi="Times New Roman" w:cs="Times New Roman"/>
          <w:kern w:val="0"/>
          <w:sz w:val="24"/>
          <w:szCs w:val="24"/>
          <w14:ligatures w14:val="none"/>
        </w:rPr>
        <w:t>increasing of CO2 reduction.</w:t>
      </w:r>
    </w:p>
    <w:p w14:paraId="0E106E2F" w14:textId="72D58E01" w:rsidR="00714288" w:rsidRPr="00320F62" w:rsidRDefault="004A7CB4" w:rsidP="00320F62">
      <w:pPr>
        <w:spacing w:after="0" w:line="360" w:lineRule="auto"/>
        <w:jc w:val="both"/>
        <w:rPr>
          <w:rFonts w:ascii="Times New Roman" w:eastAsia="Times New Roman" w:hAnsi="Times New Roman" w:cs="Times New Roman"/>
          <w:kern w:val="0"/>
          <w:sz w:val="24"/>
          <w:szCs w:val="24"/>
          <w14:ligatures w14:val="none"/>
        </w:rPr>
      </w:pPr>
      <w:r w:rsidRPr="00320F62">
        <w:rPr>
          <w:rFonts w:ascii="Times New Roman" w:eastAsia="Times New Roman" w:hAnsi="Times New Roman" w:cs="Times New Roman"/>
          <w:kern w:val="0"/>
          <w:sz w:val="24"/>
          <w:szCs w:val="24"/>
          <w14:ligatures w14:val="none"/>
        </w:rPr>
        <w:t>Excel can predict future values by requesting the chosen forecast period and previous data, which may help evaluate long-term environmental plans.</w:t>
      </w:r>
    </w:p>
    <w:p w14:paraId="20C4E8EC" w14:textId="77777777" w:rsidR="00062583" w:rsidRPr="00320F62" w:rsidRDefault="00881588" w:rsidP="00320F62">
      <w:pPr>
        <w:spacing w:line="360" w:lineRule="auto"/>
        <w:jc w:val="both"/>
        <w:rPr>
          <w:rFonts w:ascii="Times New Roman" w:eastAsia="Times New Roman" w:hAnsi="Times New Roman" w:cs="Times New Roman"/>
          <w:b/>
          <w:sz w:val="24"/>
          <w:szCs w:val="24"/>
        </w:rPr>
      </w:pPr>
      <w:r w:rsidRPr="00320F62">
        <w:rPr>
          <w:rFonts w:ascii="Times New Roman" w:hAnsi="Times New Roman" w:cs="Times New Roman"/>
          <w:noProof/>
          <w:sz w:val="24"/>
          <w:szCs w:val="24"/>
        </w:rPr>
        <w:drawing>
          <wp:inline distT="0" distB="0" distL="0" distR="0" wp14:anchorId="25D680EA" wp14:editId="1275D84D">
            <wp:extent cx="5943600" cy="2035810"/>
            <wp:effectExtent l="0" t="0" r="0" b="2540"/>
            <wp:docPr id="1766469979" name="Chart 1">
              <a:extLst xmlns:a="http://schemas.openxmlformats.org/drawingml/2006/main">
                <a:ext uri="{FF2B5EF4-FFF2-40B4-BE49-F238E27FC236}">
                  <a16:creationId xmlns:a16="http://schemas.microsoft.com/office/drawing/2014/main" id="{778BD765-235C-E0F0-B382-346C887C5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C7A029" w14:textId="5D52B799" w:rsidR="5ACBD183" w:rsidRPr="00320F62" w:rsidRDefault="66728A3F" w:rsidP="06802218">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lastRenderedPageBreak/>
        <w:t>Optimization</w:t>
      </w:r>
    </w:p>
    <w:p w14:paraId="496536AA" w14:textId="23100AE6" w:rsidR="5ACBD183" w:rsidRPr="00320F62" w:rsidRDefault="51AC4FEB"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In data modeling, optimization involves choosing the most effective way to organize and analyze data to meet specified </w:t>
      </w:r>
      <w:r w:rsidR="5BD57343" w:rsidRPr="00320F62">
        <w:rPr>
          <w:rFonts w:ascii="Times New Roman" w:eastAsia="Times New Roman" w:hAnsi="Times New Roman" w:cs="Times New Roman"/>
          <w:sz w:val="24"/>
          <w:szCs w:val="24"/>
        </w:rPr>
        <w:t>aims</w:t>
      </w:r>
      <w:r w:rsidRPr="00320F62">
        <w:rPr>
          <w:rFonts w:ascii="Times New Roman" w:eastAsia="Times New Roman" w:hAnsi="Times New Roman" w:cs="Times New Roman"/>
          <w:sz w:val="24"/>
          <w:szCs w:val="24"/>
        </w:rPr>
        <w:t xml:space="preserve">, such as improved performance or accuracy. This method </w:t>
      </w:r>
      <w:r w:rsidR="6303642C" w:rsidRPr="00320F62">
        <w:rPr>
          <w:rFonts w:ascii="Times New Roman" w:eastAsia="Times New Roman" w:hAnsi="Times New Roman" w:cs="Times New Roman"/>
          <w:sz w:val="24"/>
          <w:szCs w:val="24"/>
        </w:rPr>
        <w:t>includes</w:t>
      </w:r>
      <w:r w:rsidRPr="00320F62">
        <w:rPr>
          <w:rFonts w:ascii="Times New Roman" w:eastAsia="Times New Roman" w:hAnsi="Times New Roman" w:cs="Times New Roman"/>
          <w:sz w:val="24"/>
          <w:szCs w:val="24"/>
        </w:rPr>
        <w:t xml:space="preserve"> techniques for streamlining operations, reducing errors, and maximizing resource </w:t>
      </w:r>
      <w:r w:rsidR="2E0187A7" w:rsidRPr="00320F62">
        <w:rPr>
          <w:rFonts w:ascii="Times New Roman" w:eastAsia="Times New Roman" w:hAnsi="Times New Roman" w:cs="Times New Roman"/>
          <w:sz w:val="24"/>
          <w:szCs w:val="24"/>
        </w:rPr>
        <w:t>use</w:t>
      </w:r>
      <w:r w:rsidRPr="00320F62">
        <w:rPr>
          <w:rFonts w:ascii="Times New Roman" w:eastAsia="Times New Roman" w:hAnsi="Times New Roman" w:cs="Times New Roman"/>
          <w:sz w:val="24"/>
          <w:szCs w:val="24"/>
        </w:rPr>
        <w:t>, ultimately making data analysis faster and more effective.</w:t>
      </w:r>
    </w:p>
    <w:p w14:paraId="3A8C68F5" w14:textId="700C496E" w:rsidR="5ACBD183" w:rsidRPr="00320F62" w:rsidRDefault="130866FB"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In the context of climate change analysis, optimization is focused on finding the most efficient human behavioral and policy adjustments for reducing greenhouse gas emissions and keeping global temperature rise to 2°C by 2100. Optimization helps figure out the best combination of measures to achieve this goal efficiently and effectively, providing a sustainable future for the world.</w:t>
      </w:r>
    </w:p>
    <w:p w14:paraId="14ACB066" w14:textId="6000B067" w:rsidR="5ACBD183" w:rsidRPr="00320F62" w:rsidRDefault="0AC1D399"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The data collection was evaluated to identify variables that could influence the final temperature and help meet the 2°C target. Maximum values for each independent variable were chosen based on observations to ensure that the final temperature did not exceed the limitations. Each variable was carefully entered into the </w:t>
      </w:r>
      <w:proofErr w:type="spellStart"/>
      <w:r w:rsidRPr="00320F62">
        <w:rPr>
          <w:rFonts w:ascii="Times New Roman" w:eastAsia="Times New Roman" w:hAnsi="Times New Roman" w:cs="Times New Roman"/>
          <w:sz w:val="24"/>
          <w:szCs w:val="24"/>
        </w:rPr>
        <w:t>Enroads</w:t>
      </w:r>
      <w:proofErr w:type="spellEnd"/>
      <w:r w:rsidRPr="00320F62">
        <w:rPr>
          <w:rFonts w:ascii="Times New Roman" w:eastAsia="Times New Roman" w:hAnsi="Times New Roman" w:cs="Times New Roman"/>
          <w:sz w:val="24"/>
          <w:szCs w:val="24"/>
        </w:rPr>
        <w:t xml:space="preserve"> Model to determine its effect on the final temperature.</w:t>
      </w:r>
    </w:p>
    <w:p w14:paraId="7565F1C0" w14:textId="4A0683BA" w:rsidR="5ACBD183" w:rsidRPr="00320F62" w:rsidRDefault="00DD7FC2" w:rsidP="00320F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7A98FBF8" w:rsidRPr="00320F62">
        <w:rPr>
          <w:rFonts w:ascii="Times New Roman" w:eastAsia="Times New Roman" w:hAnsi="Times New Roman" w:cs="Times New Roman"/>
          <w:sz w:val="24"/>
          <w:szCs w:val="24"/>
        </w:rPr>
        <w:t xml:space="preserve">The solution was </w:t>
      </w:r>
      <w:bookmarkStart w:id="0" w:name="_Int_ttk2FvJD"/>
      <w:r w:rsidR="7A98FBF8" w:rsidRPr="00320F62">
        <w:rPr>
          <w:rFonts w:ascii="Times New Roman" w:eastAsia="Times New Roman" w:hAnsi="Times New Roman" w:cs="Times New Roman"/>
          <w:sz w:val="24"/>
          <w:szCs w:val="24"/>
        </w:rPr>
        <w:t>u</w:t>
      </w:r>
      <w:r w:rsidR="1A28D6A4" w:rsidRPr="00320F62">
        <w:rPr>
          <w:rFonts w:ascii="Times New Roman" w:eastAsia="Times New Roman" w:hAnsi="Times New Roman" w:cs="Times New Roman"/>
          <w:sz w:val="24"/>
          <w:szCs w:val="24"/>
        </w:rPr>
        <w:t>sed</w:t>
      </w:r>
      <w:bookmarkEnd w:id="0"/>
      <w:r w:rsidR="7A98FBF8" w:rsidRPr="00320F62">
        <w:rPr>
          <w:rFonts w:ascii="Times New Roman" w:eastAsia="Times New Roman" w:hAnsi="Times New Roman" w:cs="Times New Roman"/>
          <w:sz w:val="24"/>
          <w:szCs w:val="24"/>
        </w:rPr>
        <w:t xml:space="preserve"> to optimize the combination of variables that resulted in the target temperature of 2°C. The dependent variable (final temperature) was assigned to the objective cell, with constraints ensuring that the temperature remained an integer equal to or greater than the base temperatures calculated from the variables' maximum values. After the solution finished its computations, the disparities between the base and new temperature values were added to ensure that the target temperature of 2°C was met.</w:t>
      </w:r>
    </w:p>
    <w:p w14:paraId="4F1B2E41" w14:textId="39A87A57" w:rsidR="5ACBD183" w:rsidRPr="00320F62" w:rsidRDefault="3E5B8C18" w:rsidP="00320F62">
      <w:pPr>
        <w:spacing w:line="360" w:lineRule="auto"/>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The final values derived from the solution </w:t>
      </w:r>
      <w:r w:rsidR="59639589" w:rsidRPr="00320F62">
        <w:rPr>
          <w:rFonts w:ascii="Times New Roman" w:eastAsia="Times New Roman" w:hAnsi="Times New Roman" w:cs="Times New Roman"/>
          <w:sz w:val="24"/>
          <w:szCs w:val="24"/>
        </w:rPr>
        <w:t>were</w:t>
      </w:r>
      <w:r w:rsidRPr="00320F62">
        <w:rPr>
          <w:rFonts w:ascii="Times New Roman" w:eastAsia="Times New Roman" w:hAnsi="Times New Roman" w:cs="Times New Roman"/>
          <w:sz w:val="24"/>
          <w:szCs w:val="24"/>
        </w:rPr>
        <w:t xml:space="preserve"> then reinstated into the En</w:t>
      </w:r>
      <w:r w:rsidR="00163B72" w:rsidRPr="00320F62">
        <w:rPr>
          <w:rFonts w:ascii="Times New Roman" w:eastAsia="Times New Roman" w:hAnsi="Times New Roman" w:cs="Times New Roman"/>
          <w:sz w:val="24"/>
          <w:szCs w:val="24"/>
        </w:rPr>
        <w:t>-ROADS</w:t>
      </w:r>
      <w:r w:rsidRPr="00320F62">
        <w:rPr>
          <w:rFonts w:ascii="Times New Roman" w:eastAsia="Times New Roman" w:hAnsi="Times New Roman" w:cs="Times New Roman"/>
          <w:sz w:val="24"/>
          <w:szCs w:val="24"/>
        </w:rPr>
        <w:t xml:space="preserve"> Model to make sure that they delivered a temperature near 2°C.</w:t>
      </w:r>
    </w:p>
    <w:p w14:paraId="7D494CF6" w14:textId="2451647E" w:rsidR="5ACBD183" w:rsidRPr="00320F62" w:rsidRDefault="01348145" w:rsidP="06802218">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Probability and Statistics</w:t>
      </w:r>
    </w:p>
    <w:p w14:paraId="3B60BB58" w14:textId="26A53193" w:rsidR="0D2BC0E1" w:rsidRPr="00320F62" w:rsidRDefault="0D2BC0E1"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Predicting global mean temperature rise is critical for formulating climate policies t</w:t>
      </w:r>
      <w:r w:rsidR="416EB10A" w:rsidRPr="00320F62">
        <w:rPr>
          <w:rFonts w:ascii="Times New Roman" w:eastAsia="Times New Roman" w:hAnsi="Times New Roman" w:cs="Times New Roman"/>
          <w:sz w:val="24"/>
          <w:szCs w:val="24"/>
        </w:rPr>
        <w:t>o reduce</w:t>
      </w:r>
      <w:r w:rsidRPr="00320F62">
        <w:rPr>
          <w:rFonts w:ascii="Times New Roman" w:eastAsia="Times New Roman" w:hAnsi="Times New Roman" w:cs="Times New Roman"/>
          <w:sz w:val="24"/>
          <w:szCs w:val="24"/>
        </w:rPr>
        <w:t xml:space="preserve"> the severe impacts of climate change. This research analyzes statistical probabilities relating to the expected increase of 2 degrees Celsius using hypothesis testing. The established null hypothesis (H0) posits that the predicted global mean temperature increase is exactly 2 degrees </w:t>
      </w:r>
      <w:r w:rsidRPr="00320F62">
        <w:rPr>
          <w:rFonts w:ascii="Times New Roman" w:eastAsia="Times New Roman" w:hAnsi="Times New Roman" w:cs="Times New Roman"/>
          <w:sz w:val="24"/>
          <w:szCs w:val="24"/>
        </w:rPr>
        <w:lastRenderedPageBreak/>
        <w:t>Celsius (H0: µ = 2), while the alternative hypothesis (Ha) contests this prediction (Ha: µ ≠ 2). To test these, a two-sample t-test with unequal variances and an ANOVA were applied to the data.</w:t>
      </w:r>
    </w:p>
    <w:p w14:paraId="52A8CAA1" w14:textId="7E8D54AE" w:rsidR="0D2BC0E1" w:rsidRPr="00320F62" w:rsidRDefault="0D2BC0E1"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The t-test produced a p-value of approximately 0.</w:t>
      </w:r>
      <w:r w:rsidR="17DFF27E" w:rsidRPr="00320F62">
        <w:rPr>
          <w:rFonts w:ascii="Times New Roman" w:eastAsia="Times New Roman" w:hAnsi="Times New Roman" w:cs="Times New Roman"/>
          <w:sz w:val="24"/>
          <w:szCs w:val="24"/>
        </w:rPr>
        <w:t xml:space="preserve"> Predicting global mean temperature rise is critical for formulating climate policies targeted at reducing the severe impacts of climate change. This research analyzes statistical probabilities relating to the expected increase of 2 degrees Celsius using hypothesis testing. The established null hypothesis (H0) posits that the predicted global mean temperature increase is exactly 2 degrees Celsius (H0: µ = 2), while the alternative hypothesis (Ha) contests this prediction (Ha: µ ≠ 2). To test these, a two-sample t-test with unequal variances and an ANOVA were applied to the data.</w:t>
      </w:r>
    </w:p>
    <w:p w14:paraId="257B25B7" w14:textId="75D880E8" w:rsidR="17DFF27E" w:rsidRPr="00320F62" w:rsidRDefault="17DFF27E"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The t-test produced a p-value of approximately 0.963 for the two-tailed test, which is significantly higher than common levels of significance, leading to a retention of the null hypothesis. However, the applicability of the hypothesized mean difference to the actual expected temperature increase raises concerns. In contrast, the ANOVA outcomes signaled a statistically significant discrepancy between baseline and current scenario groups, indicated by an exceedingly low p-value of roughly 1.02E-41, which reflects a negation of the null hypothesis and denotes significant temperature changes. Confidence intervals from both groups bolster these findings by revealing non-overlapping ranges.</w:t>
      </w:r>
    </w:p>
    <w:p w14:paraId="4DB9AD7C" w14:textId="3EB40AF9" w:rsidR="17DFF27E" w:rsidRPr="00320F62" w:rsidRDefault="17DFF27E"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Considering the ANOVA results, the indication of a substantial deviation from the anticipated 2 degrees Celsius increase suggests an urgent scenario where actual temperature changes may exceed this boundary. The sensitivity of outcomes to carbon pricing adjustments imparts the importance of such policy tools, signifying the need for their decisive implementation. Coupled with this, the statistical significance of the results calls for a comprehensive strategy that includes the promotion of carbon dioxide removal (CDR) technologies through supportive global policies.</w:t>
      </w:r>
    </w:p>
    <w:p w14:paraId="15645EBF" w14:textId="1B341362" w:rsidR="17DFF27E" w:rsidRPr="00320F62" w:rsidRDefault="32B4DAAC"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T</w:t>
      </w:r>
      <w:r w:rsidR="17DFF27E" w:rsidRPr="00320F62">
        <w:rPr>
          <w:rFonts w:ascii="Times New Roman" w:eastAsia="Times New Roman" w:hAnsi="Times New Roman" w:cs="Times New Roman"/>
          <w:sz w:val="24"/>
          <w:szCs w:val="24"/>
        </w:rPr>
        <w:t>he data presents a persuasive likelihood that the global mean temperature rise could surpass the 2 degrees Celsius threshold, with significant policy ramifications. Establishing actionable policies supported by statistical evidence will involve a multifaceted approach that encompasses economic considerations and global fairness. While the statistical analysis provides clear indicators, the formation of policies must still accommodate the intricate socio-economic and geopolitical context to ensure a sustainable and climate-change</w:t>
      </w:r>
      <w:r w:rsidR="00EF7736" w:rsidRPr="00320F62">
        <w:rPr>
          <w:rFonts w:ascii="Times New Roman" w:eastAsia="Times New Roman" w:hAnsi="Times New Roman" w:cs="Times New Roman"/>
          <w:sz w:val="24"/>
          <w:szCs w:val="24"/>
        </w:rPr>
        <w:t>-</w:t>
      </w:r>
      <w:r w:rsidR="17DFF27E" w:rsidRPr="00320F62">
        <w:rPr>
          <w:rFonts w:ascii="Times New Roman" w:eastAsia="Times New Roman" w:hAnsi="Times New Roman" w:cs="Times New Roman"/>
          <w:sz w:val="24"/>
          <w:szCs w:val="24"/>
        </w:rPr>
        <w:t xml:space="preserve">resilient future. </w:t>
      </w:r>
    </w:p>
    <w:p w14:paraId="23DF3322" w14:textId="425AADAE" w:rsidR="0D2BC0E1" w:rsidRPr="00320F62" w:rsidRDefault="0D2BC0E1"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lastRenderedPageBreak/>
        <w:t>963 for the two-tailed test, which is significantly higher than common levels of significance, leading to a retention of the null hypothesis. However, the applicability of the hypothesized mean difference to the actual expected temperature increase raises concerns. In contrast, the ANOVA outcomes signaled a statistically significant discrepancy between baseline and current scenario groups, indicated by an exceedingly low p-value of roughly 1.02E-41, which reflects a negation of the null hypothesis and denotes significant temperature changes. Confidence intervals from both groups bolster these findings by revealing non-overlapping ranges.</w:t>
      </w:r>
    </w:p>
    <w:p w14:paraId="07E627B3" w14:textId="54D6E33F" w:rsidR="76E91D65" w:rsidRPr="00320F62" w:rsidRDefault="0D2BC0E1"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Considering the ANOVA results, the indication of a substantial deviation from the anticipated 2 degrees Celsius increase suggests an urgent scenario where actual temperature changes may exceed this boundary. The sensitivity of outcomes to carbon pricing adjustments imparts the importance of such policy tools, signifying the need for their decisive implementation. Coupled with this, the statistical significance of the results calls for a comprehensive strategy that includes the promotion of carbon dioxide removal (CDR) technologies through supportive global policies.</w:t>
      </w:r>
    </w:p>
    <w:p w14:paraId="3E7C1EE1" w14:textId="55D28286" w:rsidR="6FB0021A" w:rsidRPr="00320F62" w:rsidRDefault="6FB0021A" w:rsidP="00320F62">
      <w:pPr>
        <w:spacing w:line="360" w:lineRule="auto"/>
        <w:jc w:val="both"/>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Carbon Dioxide Removal</w:t>
      </w:r>
    </w:p>
    <w:p w14:paraId="569E5AA8" w14:textId="7791AEF1" w:rsidR="0CC62049" w:rsidRPr="00320F62" w:rsidRDefault="0CC62049"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Reaching 40% of the maximum potential of net CO2 removal through (CDR) technologies including direct air capture and enhanced mineralization would need a comprehensive suite of global policies. These technologies are energy-intensive and costly; therefore, policies would need to focus on driving down costs, scaling up technology, ensuring the energy supply for these processes is sustainable, and providing economic incentives for their adoption. </w:t>
      </w:r>
      <w:r w:rsidR="74913351" w:rsidRPr="00320F62">
        <w:rPr>
          <w:rFonts w:ascii="Times New Roman" w:eastAsia="Times New Roman" w:hAnsi="Times New Roman" w:cs="Times New Roman"/>
          <w:sz w:val="24"/>
          <w:szCs w:val="24"/>
        </w:rPr>
        <w:t xml:space="preserve">To reach 40% of the maximum potential for net CO2 removal, a robust framework of global policies must be </w:t>
      </w:r>
      <w:r w:rsidR="21BA0E21" w:rsidRPr="00320F62">
        <w:rPr>
          <w:rFonts w:ascii="Times New Roman" w:eastAsia="Times New Roman" w:hAnsi="Times New Roman" w:cs="Times New Roman"/>
          <w:sz w:val="24"/>
          <w:szCs w:val="24"/>
        </w:rPr>
        <w:t>set up</w:t>
      </w:r>
      <w:r w:rsidR="74913351" w:rsidRPr="00320F62">
        <w:rPr>
          <w:rFonts w:ascii="Times New Roman" w:eastAsia="Times New Roman" w:hAnsi="Times New Roman" w:cs="Times New Roman"/>
          <w:sz w:val="24"/>
          <w:szCs w:val="24"/>
        </w:rPr>
        <w:t xml:space="preserve"> to support and promote</w:t>
      </w:r>
      <w:r w:rsidR="5E65703C" w:rsidRPr="00320F62">
        <w:rPr>
          <w:rFonts w:ascii="Times New Roman" w:eastAsia="Times New Roman" w:hAnsi="Times New Roman" w:cs="Times New Roman"/>
          <w:sz w:val="24"/>
          <w:szCs w:val="24"/>
        </w:rPr>
        <w:t xml:space="preserve"> </w:t>
      </w:r>
      <w:r w:rsidR="5EA921A6" w:rsidRPr="00320F62">
        <w:rPr>
          <w:rFonts w:ascii="Times New Roman" w:eastAsia="Times New Roman" w:hAnsi="Times New Roman" w:cs="Times New Roman"/>
          <w:sz w:val="24"/>
          <w:szCs w:val="24"/>
        </w:rPr>
        <w:t>(CDR)</w:t>
      </w:r>
      <w:r w:rsidR="74913351" w:rsidRPr="00320F62">
        <w:rPr>
          <w:rFonts w:ascii="Times New Roman" w:eastAsia="Times New Roman" w:hAnsi="Times New Roman" w:cs="Times New Roman"/>
          <w:sz w:val="24"/>
          <w:szCs w:val="24"/>
        </w:rPr>
        <w:t xml:space="preserve"> technologies such as direct air capture and enhanced mineralization. Such policies should encompass increased governmental investment in research and development to innovate and refine these energy-intensive technologies, as well as financial incentives like subsidies, tax breaks, and grants to foster private sector engagement and reduce economic barriers. </w:t>
      </w:r>
    </w:p>
    <w:p w14:paraId="2FBFA539" w14:textId="48E65E00" w:rsidR="5ACBD183" w:rsidRPr="00320F62" w:rsidRDefault="74913351"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Moreover, implementing carbon pricing mechanisms can catalyze industry investment in carbon capture and storage solutions by making emissions reduction financially attractive. Public-private partnerships will also be necessary to distribute the fiscal responsibilities and benefits of developing these technologies. Equally important is the commitment to green energy policies to ensure that the operation of CDR technologies is powered by sustainable energy sources, </w:t>
      </w:r>
      <w:r w:rsidRPr="00320F62">
        <w:rPr>
          <w:rFonts w:ascii="Times New Roman" w:eastAsia="Times New Roman" w:hAnsi="Times New Roman" w:cs="Times New Roman"/>
          <w:sz w:val="24"/>
          <w:szCs w:val="24"/>
        </w:rPr>
        <w:lastRenderedPageBreak/>
        <w:t xml:space="preserve">minimizing their environmental impact. In addition to facilitating the required carbon capture, transportation, and storage infrastructure, we must develop educational programs to cultivate a skilled workforce adept in these </w:t>
      </w:r>
      <w:r w:rsidR="2A33A32E" w:rsidRPr="00320F62">
        <w:rPr>
          <w:rFonts w:ascii="Times New Roman" w:eastAsia="Times New Roman" w:hAnsi="Times New Roman" w:cs="Times New Roman"/>
          <w:sz w:val="24"/>
          <w:szCs w:val="24"/>
        </w:rPr>
        <w:t>innovative technologies</w:t>
      </w:r>
      <w:r w:rsidRPr="00320F62">
        <w:rPr>
          <w:rFonts w:ascii="Times New Roman" w:eastAsia="Times New Roman" w:hAnsi="Times New Roman" w:cs="Times New Roman"/>
          <w:sz w:val="24"/>
          <w:szCs w:val="24"/>
        </w:rPr>
        <w:t xml:space="preserve">. International collaboration will be crucial to ensure that these initiatives gain traction globally, particularly within developing nations where economic constraints may impede progress. Encouraging the use of captured CO2 through the development of </w:t>
      </w:r>
      <w:r w:rsidR="03D8DB94" w:rsidRPr="00320F62">
        <w:rPr>
          <w:rFonts w:ascii="Times New Roman" w:eastAsia="Times New Roman" w:hAnsi="Times New Roman" w:cs="Times New Roman"/>
          <w:sz w:val="24"/>
          <w:szCs w:val="24"/>
        </w:rPr>
        <w:t>use</w:t>
      </w:r>
      <w:r w:rsidRPr="00320F62">
        <w:rPr>
          <w:rFonts w:ascii="Times New Roman" w:eastAsia="Times New Roman" w:hAnsi="Times New Roman" w:cs="Times New Roman"/>
          <w:sz w:val="24"/>
          <w:szCs w:val="24"/>
        </w:rPr>
        <w:t xml:space="preserve"> markets can further support the economic viability of these technologies. Lastly, the adoption of land use policies that complement natural carbon sequestration efforts, coupled with vigilance to uphold sustainability and prevent environmental degradation, will round out a comprehensive approach to advancing CDR technology and mitigating climate change.</w:t>
      </w:r>
    </w:p>
    <w:p w14:paraId="624ABCAD" w14:textId="546D9F62" w:rsidR="1FF693D5" w:rsidRPr="00320F62" w:rsidRDefault="1FF693D5" w:rsidP="000F3C4A">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Sensitive Analysis</w:t>
      </w:r>
    </w:p>
    <w:p w14:paraId="2E709DF6" w14:textId="76F84A90" w:rsidR="6428795A" w:rsidRPr="00320F62" w:rsidRDefault="00DD7FC2" w:rsidP="00320F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6428795A" w:rsidRPr="0592CF55">
        <w:rPr>
          <w:rFonts w:ascii="Times New Roman" w:eastAsia="Times New Roman" w:hAnsi="Times New Roman" w:cs="Times New Roman"/>
          <w:sz w:val="24"/>
          <w:szCs w:val="24"/>
        </w:rPr>
        <w:t>Sensitivity analysis is a method used to determine how modifications to input variables impact a model's or formula's output. Determining what components are most important involves altering the input parameters and analyzing the changes in the following results.</w:t>
      </w:r>
    </w:p>
    <w:p w14:paraId="220518C4" w14:textId="2E5167E8" w:rsidR="0592CF55" w:rsidRDefault="00DD7FC2" w:rsidP="00320F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753D480C" w:rsidRPr="0592CF55">
        <w:rPr>
          <w:rFonts w:ascii="Times New Roman" w:eastAsia="Times New Roman" w:hAnsi="Times New Roman" w:cs="Times New Roman"/>
          <w:sz w:val="24"/>
          <w:szCs w:val="24"/>
        </w:rPr>
        <w:t>It is essential for risk management, decision-making, and strategic planning in financial modeling, such as cost projection, to understand these sensitivities. Stakeholders may use it to predict a variety of possible outcomes and modify their strategy accordingly.</w:t>
      </w:r>
      <w:r w:rsidR="0027752B" w:rsidRPr="00320F62">
        <w:rPr>
          <w:rFonts w:ascii="Times New Roman" w:eastAsia="Times New Roman" w:hAnsi="Times New Roman" w:cs="Times New Roman"/>
          <w:sz w:val="24"/>
          <w:szCs w:val="24"/>
        </w:rPr>
        <w:t xml:space="preserve"> </w:t>
      </w:r>
      <w:r w:rsidR="1F23F8DB" w:rsidRPr="0592CF55">
        <w:rPr>
          <w:rFonts w:ascii="Times New Roman" w:eastAsia="Times New Roman" w:hAnsi="Times New Roman" w:cs="Times New Roman"/>
          <w:sz w:val="24"/>
          <w:szCs w:val="24"/>
        </w:rPr>
        <w:t xml:space="preserve">The impact of changes in four important factors—the coal tax, oil tax, renewable energy subsidies, and carbon price—was evaluated in this sensitivity analysis. We examined various degrees of variation for each element, holding all other factors constant, from significant increases up to 80% to major decreases down to -80%. This approach helps in separating each variable's impact on </w:t>
      </w:r>
      <w:r w:rsidR="7A861709" w:rsidRPr="0592CF55">
        <w:rPr>
          <w:rFonts w:ascii="Times New Roman" w:eastAsia="Times New Roman" w:hAnsi="Times New Roman" w:cs="Times New Roman"/>
          <w:sz w:val="24"/>
          <w:szCs w:val="24"/>
        </w:rPr>
        <w:t>the result</w:t>
      </w:r>
      <w:r w:rsidR="1F23F8DB" w:rsidRPr="0592CF55">
        <w:rPr>
          <w:rFonts w:ascii="Times New Roman" w:eastAsia="Times New Roman" w:hAnsi="Times New Roman" w:cs="Times New Roman"/>
          <w:sz w:val="24"/>
          <w:szCs w:val="24"/>
        </w:rPr>
        <w:t>.</w:t>
      </w:r>
      <w:r w:rsidR="0592CF55" w:rsidRPr="00320F62">
        <w:rPr>
          <w:rFonts w:ascii="Times New Roman" w:hAnsi="Times New Roman" w:cs="Times New Roman"/>
          <w:sz w:val="24"/>
          <w:szCs w:val="24"/>
        </w:rPr>
        <w:br/>
      </w:r>
      <w:r w:rsidR="7F12F9B7" w:rsidRPr="0592CF55">
        <w:rPr>
          <w:rFonts w:ascii="Times New Roman" w:eastAsia="Times New Roman" w:hAnsi="Times New Roman" w:cs="Times New Roman"/>
          <w:sz w:val="24"/>
          <w:szCs w:val="24"/>
        </w:rPr>
        <w:t>The results showed an important sensitivity to changes in the coal tax. A 20% increase in the coal tax had a slightly different outcome than a 40% increase. On the other hand, value increases were more significant when the coal tax was reduced by 20% and 40%. It suggests that reduced coal taxes might have a significant effect on the measured outcomes since this suggests that the system is more sensitive to decreases in coal tax.</w:t>
      </w:r>
    </w:p>
    <w:p w14:paraId="6CBDF2D1" w14:textId="040BF0D9" w:rsidR="42057A22" w:rsidRDefault="00DD7FC2" w:rsidP="00320F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42057A22" w:rsidRPr="0592CF55">
        <w:rPr>
          <w:rFonts w:ascii="Times New Roman" w:eastAsia="Times New Roman" w:hAnsi="Times New Roman" w:cs="Times New Roman"/>
          <w:sz w:val="24"/>
          <w:szCs w:val="24"/>
        </w:rPr>
        <w:t>The results showed that adjustments to the oil tax had a comparatively consistent effect. The same results were obtained with variations ranging from -80% to +80%, indicating minimal variation across the various oil tax modification levels. This stability indicates that the results of the system are less dependent on variations in the oil tax, suggesting that there may be a flexible link between the rates of oil tax and the outcomes that will be tracked.</w:t>
      </w:r>
    </w:p>
    <w:p w14:paraId="41363B3A" w14:textId="69181E8B" w:rsidR="2C4763B6" w:rsidRPr="00320F62" w:rsidRDefault="2C4763B6" w:rsidP="00320F62">
      <w:pPr>
        <w:spacing w:line="360" w:lineRule="auto"/>
        <w:jc w:val="both"/>
        <w:rPr>
          <w:rFonts w:ascii="Times New Roman" w:eastAsia="Times New Roman" w:hAnsi="Times New Roman" w:cs="Times New Roman"/>
          <w:sz w:val="24"/>
          <w:szCs w:val="24"/>
        </w:rPr>
      </w:pPr>
      <w:r w:rsidRPr="0592CF55">
        <w:rPr>
          <w:rFonts w:ascii="Times New Roman" w:eastAsia="Times New Roman" w:hAnsi="Times New Roman" w:cs="Times New Roman"/>
          <w:sz w:val="24"/>
          <w:szCs w:val="24"/>
        </w:rPr>
        <w:lastRenderedPageBreak/>
        <w:t xml:space="preserve">Moderate impacts were found in the sensitivity analysis of modifications in the </w:t>
      </w:r>
      <w:proofErr w:type="gramStart"/>
      <w:r w:rsidR="079A4DE5" w:rsidRPr="02F39C39">
        <w:rPr>
          <w:rFonts w:ascii="Times New Roman" w:eastAsia="Times New Roman" w:hAnsi="Times New Roman" w:cs="Times New Roman"/>
          <w:sz w:val="24"/>
          <w:szCs w:val="24"/>
        </w:rPr>
        <w:t>renewable's</w:t>
      </w:r>
      <w:proofErr w:type="gramEnd"/>
      <w:r w:rsidRPr="0592CF55">
        <w:rPr>
          <w:rFonts w:ascii="Times New Roman" w:eastAsia="Times New Roman" w:hAnsi="Times New Roman" w:cs="Times New Roman"/>
          <w:sz w:val="24"/>
          <w:szCs w:val="24"/>
        </w:rPr>
        <w:t xml:space="preserve"> subsidies. Values increased more when the subsidy was increased by 20% and 60%, while values decreased slightly when the subsidy was decreased by 40% and 60%. The results indicate that while subsidies for renewable energy do have an effect, it is not as great as increases in coal taxes. This may suggest that the current level of subsidies for renewable energy is approaching an ideal point, beyond which further increases or decreases have only a modest impact on the results.</w:t>
      </w:r>
    </w:p>
    <w:p w14:paraId="34182C79" w14:textId="592365D5" w:rsidR="2A380DDA" w:rsidRPr="00320F62" w:rsidRDefault="00DD7FC2" w:rsidP="00320F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2A380DDA" w:rsidRPr="0592CF55">
        <w:rPr>
          <w:rFonts w:ascii="Times New Roman" w:eastAsia="Times New Roman" w:hAnsi="Times New Roman" w:cs="Times New Roman"/>
          <w:sz w:val="24"/>
          <w:szCs w:val="24"/>
        </w:rPr>
        <w:t>The results were clearly and significantly impacted by variations in the price of carbon. Results consistently increased and became highly significant when the carbon price was raised by 20%, 40%, and 80%, whereas results significantly declined when the carbon price was lowered by 20%, 40%, and 60%. It is possible that carbon pricing is an important tool for altering the observed outcomes because of the significant sensitivity to changes in carbon prices that this shows.</w:t>
      </w:r>
    </w:p>
    <w:tbl>
      <w:tblPr>
        <w:tblW w:w="0" w:type="auto"/>
        <w:tblLayout w:type="fixed"/>
        <w:tblLook w:val="06A0" w:firstRow="1" w:lastRow="0" w:firstColumn="1" w:lastColumn="0" w:noHBand="1" w:noVBand="1"/>
      </w:tblPr>
      <w:tblGrid>
        <w:gridCol w:w="1250"/>
        <w:gridCol w:w="1215"/>
        <w:gridCol w:w="1222"/>
        <w:gridCol w:w="1222"/>
      </w:tblGrid>
      <w:tr w:rsidR="0592CF55" w14:paraId="181316DA" w14:textId="77777777" w:rsidTr="0592CF55">
        <w:trPr>
          <w:trHeight w:val="645"/>
        </w:trPr>
        <w:tc>
          <w:tcPr>
            <w:tcW w:w="1250"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center"/>
          </w:tcPr>
          <w:p w14:paraId="148DB140" w14:textId="40CFC274" w:rsidR="0592CF55" w:rsidRPr="00320F62" w:rsidRDefault="0592CF55" w:rsidP="00320F62">
            <w:pPr>
              <w:spacing w:after="0" w:line="360" w:lineRule="auto"/>
              <w:jc w:val="both"/>
              <w:rPr>
                <w:rFonts w:ascii="Times New Roman" w:eastAsia="Times New Roman" w:hAnsi="Times New Roman" w:cs="Times New Roman"/>
                <w:b/>
                <w:color w:val="000000" w:themeColor="text1"/>
                <w:sz w:val="24"/>
                <w:szCs w:val="24"/>
              </w:rPr>
            </w:pPr>
            <w:r w:rsidRPr="00320F62">
              <w:rPr>
                <w:rFonts w:ascii="Times New Roman" w:eastAsia="Times New Roman" w:hAnsi="Times New Roman" w:cs="Times New Roman"/>
                <w:b/>
                <w:color w:val="000000" w:themeColor="text1"/>
                <w:sz w:val="24"/>
                <w:szCs w:val="24"/>
              </w:rPr>
              <w:t>Every variable altered</w:t>
            </w:r>
          </w:p>
        </w:tc>
        <w:tc>
          <w:tcPr>
            <w:tcW w:w="1215"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center"/>
          </w:tcPr>
          <w:p w14:paraId="156D90D1" w14:textId="4DB4640F" w:rsidR="0592CF55" w:rsidRPr="00320F62" w:rsidRDefault="0592CF55" w:rsidP="00320F62">
            <w:pPr>
              <w:spacing w:after="0" w:line="360" w:lineRule="auto"/>
              <w:jc w:val="both"/>
              <w:rPr>
                <w:rFonts w:ascii="Times New Roman" w:eastAsia="Times New Roman" w:hAnsi="Times New Roman" w:cs="Times New Roman"/>
                <w:b/>
                <w:color w:val="000000" w:themeColor="text1"/>
                <w:sz w:val="24"/>
                <w:szCs w:val="24"/>
              </w:rPr>
            </w:pPr>
            <w:r w:rsidRPr="00320F62">
              <w:rPr>
                <w:rFonts w:ascii="Times New Roman" w:eastAsia="Times New Roman" w:hAnsi="Times New Roman" w:cs="Times New Roman"/>
                <w:b/>
                <w:color w:val="000000" w:themeColor="text1"/>
                <w:sz w:val="24"/>
                <w:szCs w:val="24"/>
              </w:rPr>
              <w:t xml:space="preserve"> </w:t>
            </w:r>
          </w:p>
        </w:tc>
        <w:tc>
          <w:tcPr>
            <w:tcW w:w="1222"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center"/>
          </w:tcPr>
          <w:p w14:paraId="46BF65FE" w14:textId="6C0E0E4D" w:rsidR="0592CF55" w:rsidRPr="00320F62" w:rsidRDefault="0592CF55" w:rsidP="00320F62">
            <w:pPr>
              <w:spacing w:after="0" w:line="360" w:lineRule="auto"/>
              <w:jc w:val="both"/>
              <w:rPr>
                <w:rFonts w:ascii="Times New Roman" w:eastAsia="Times New Roman" w:hAnsi="Times New Roman" w:cs="Times New Roman"/>
                <w:b/>
                <w:color w:val="000000" w:themeColor="text1"/>
                <w:sz w:val="24"/>
                <w:szCs w:val="24"/>
              </w:rPr>
            </w:pPr>
            <w:r w:rsidRPr="00320F62">
              <w:rPr>
                <w:rFonts w:ascii="Times New Roman" w:eastAsia="Times New Roman" w:hAnsi="Times New Roman" w:cs="Times New Roman"/>
                <w:b/>
                <w:color w:val="000000" w:themeColor="text1"/>
                <w:sz w:val="24"/>
                <w:szCs w:val="24"/>
              </w:rPr>
              <w:t xml:space="preserve"> </w:t>
            </w:r>
          </w:p>
        </w:tc>
        <w:tc>
          <w:tcPr>
            <w:tcW w:w="1222"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center"/>
          </w:tcPr>
          <w:p w14:paraId="61A333E9" w14:textId="7AA73FE1" w:rsidR="0592CF55" w:rsidRPr="00320F62" w:rsidRDefault="0592CF55" w:rsidP="00320F62">
            <w:pPr>
              <w:spacing w:after="0" w:line="360" w:lineRule="auto"/>
              <w:jc w:val="both"/>
              <w:rPr>
                <w:rFonts w:ascii="Times New Roman" w:eastAsia="Times New Roman" w:hAnsi="Times New Roman" w:cs="Times New Roman"/>
                <w:b/>
                <w:color w:val="000000" w:themeColor="text1"/>
                <w:sz w:val="24"/>
                <w:szCs w:val="24"/>
              </w:rPr>
            </w:pPr>
            <w:r w:rsidRPr="00320F62">
              <w:rPr>
                <w:rFonts w:ascii="Times New Roman" w:eastAsia="Times New Roman" w:hAnsi="Times New Roman" w:cs="Times New Roman"/>
                <w:b/>
                <w:color w:val="000000" w:themeColor="text1"/>
                <w:sz w:val="24"/>
                <w:szCs w:val="24"/>
              </w:rPr>
              <w:t xml:space="preserve"> </w:t>
            </w:r>
          </w:p>
        </w:tc>
      </w:tr>
      <w:tr w:rsidR="0592CF55" w14:paraId="1EDFC6B1" w14:textId="77777777" w:rsidTr="0592CF55">
        <w:trPr>
          <w:trHeight w:val="660"/>
        </w:trPr>
        <w:tc>
          <w:tcPr>
            <w:tcW w:w="1250"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04D8A913" w14:textId="693A1CF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20%</w:t>
            </w:r>
          </w:p>
        </w:tc>
        <w:tc>
          <w:tcPr>
            <w:tcW w:w="1215"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20871AD2" w14:textId="3B8B85B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40%</w:t>
            </w:r>
          </w:p>
        </w:tc>
        <w:tc>
          <w:tcPr>
            <w:tcW w:w="1222"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0F929EB4" w14:textId="099264E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-20%</w:t>
            </w:r>
          </w:p>
        </w:tc>
        <w:tc>
          <w:tcPr>
            <w:tcW w:w="1222"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4094F123" w14:textId="52CEABB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-40%</w:t>
            </w:r>
          </w:p>
        </w:tc>
      </w:tr>
      <w:tr w:rsidR="0592CF55" w14:paraId="477C3B83" w14:textId="77777777" w:rsidTr="0592CF55">
        <w:trPr>
          <w:trHeight w:val="285"/>
        </w:trPr>
        <w:tc>
          <w:tcPr>
            <w:tcW w:w="1250" w:type="dxa"/>
            <w:tcBorders>
              <w:top w:val="single" w:sz="4" w:space="0" w:color="auto"/>
              <w:left w:val="nil"/>
              <w:bottom w:val="nil"/>
              <w:right w:val="nil"/>
            </w:tcBorders>
            <w:tcMar>
              <w:top w:w="15" w:type="dxa"/>
              <w:left w:w="15" w:type="dxa"/>
              <w:right w:w="15" w:type="dxa"/>
            </w:tcMar>
            <w:vAlign w:val="bottom"/>
          </w:tcPr>
          <w:p w14:paraId="1CF7AA30" w14:textId="6B51E98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2.74</w:t>
            </w:r>
          </w:p>
        </w:tc>
        <w:tc>
          <w:tcPr>
            <w:tcW w:w="1215" w:type="dxa"/>
            <w:tcBorders>
              <w:top w:val="single" w:sz="4" w:space="0" w:color="auto"/>
              <w:left w:val="nil"/>
              <w:bottom w:val="nil"/>
              <w:right w:val="nil"/>
            </w:tcBorders>
            <w:tcMar>
              <w:top w:w="15" w:type="dxa"/>
              <w:left w:w="15" w:type="dxa"/>
              <w:right w:w="15" w:type="dxa"/>
            </w:tcMar>
            <w:vAlign w:val="bottom"/>
          </w:tcPr>
          <w:p w14:paraId="2CEB426C" w14:textId="521108C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2.48</w:t>
            </w:r>
          </w:p>
        </w:tc>
        <w:tc>
          <w:tcPr>
            <w:tcW w:w="1222" w:type="dxa"/>
            <w:tcBorders>
              <w:top w:val="single" w:sz="4" w:space="0" w:color="auto"/>
              <w:left w:val="nil"/>
              <w:bottom w:val="nil"/>
              <w:right w:val="nil"/>
            </w:tcBorders>
            <w:tcMar>
              <w:top w:w="15" w:type="dxa"/>
              <w:left w:w="15" w:type="dxa"/>
              <w:right w:w="15" w:type="dxa"/>
            </w:tcMar>
            <w:vAlign w:val="bottom"/>
          </w:tcPr>
          <w:p w14:paraId="493F585D" w14:textId="44C54B6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single" w:sz="4" w:space="0" w:color="auto"/>
              <w:left w:val="nil"/>
              <w:bottom w:val="nil"/>
              <w:right w:val="nil"/>
            </w:tcBorders>
            <w:tcMar>
              <w:top w:w="15" w:type="dxa"/>
              <w:left w:w="15" w:type="dxa"/>
              <w:right w:w="15" w:type="dxa"/>
            </w:tcMar>
            <w:vAlign w:val="bottom"/>
          </w:tcPr>
          <w:p w14:paraId="2F6727C1" w14:textId="2D09CFF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29FC77E1"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1ABE15E4" w14:textId="236B458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3.13</w:t>
            </w:r>
          </w:p>
        </w:tc>
        <w:tc>
          <w:tcPr>
            <w:tcW w:w="1215" w:type="dxa"/>
            <w:tcBorders>
              <w:top w:val="nil"/>
              <w:left w:val="nil"/>
              <w:bottom w:val="nil"/>
              <w:right w:val="nil"/>
            </w:tcBorders>
            <w:tcMar>
              <w:top w:w="15" w:type="dxa"/>
              <w:left w:w="15" w:type="dxa"/>
              <w:right w:w="15" w:type="dxa"/>
            </w:tcMar>
            <w:vAlign w:val="bottom"/>
          </w:tcPr>
          <w:p w14:paraId="0A371F0C" w14:textId="24E7556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2.99</w:t>
            </w:r>
          </w:p>
        </w:tc>
        <w:tc>
          <w:tcPr>
            <w:tcW w:w="1222" w:type="dxa"/>
            <w:tcBorders>
              <w:top w:val="nil"/>
              <w:left w:val="nil"/>
              <w:bottom w:val="nil"/>
              <w:right w:val="nil"/>
            </w:tcBorders>
            <w:tcMar>
              <w:top w:w="15" w:type="dxa"/>
              <w:left w:w="15" w:type="dxa"/>
              <w:right w:w="15" w:type="dxa"/>
            </w:tcMar>
            <w:vAlign w:val="bottom"/>
          </w:tcPr>
          <w:p w14:paraId="4F2C5518" w14:textId="0AFF026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c>
          <w:tcPr>
            <w:tcW w:w="1222" w:type="dxa"/>
            <w:tcBorders>
              <w:top w:val="nil"/>
              <w:left w:val="nil"/>
              <w:bottom w:val="nil"/>
              <w:right w:val="nil"/>
            </w:tcBorders>
            <w:tcMar>
              <w:top w:w="15" w:type="dxa"/>
              <w:left w:w="15" w:type="dxa"/>
              <w:right w:w="15" w:type="dxa"/>
            </w:tcMar>
            <w:vAlign w:val="bottom"/>
          </w:tcPr>
          <w:p w14:paraId="53467CF9" w14:textId="0D58068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r>
      <w:tr w:rsidR="0592CF55" w14:paraId="7BB1912A"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FDF4678" w14:textId="345B7F5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2.93</w:t>
            </w:r>
          </w:p>
        </w:tc>
        <w:tc>
          <w:tcPr>
            <w:tcW w:w="1215" w:type="dxa"/>
            <w:tcBorders>
              <w:top w:val="nil"/>
              <w:left w:val="nil"/>
              <w:bottom w:val="nil"/>
              <w:right w:val="nil"/>
            </w:tcBorders>
            <w:tcMar>
              <w:top w:w="15" w:type="dxa"/>
              <w:left w:w="15" w:type="dxa"/>
              <w:right w:w="15" w:type="dxa"/>
            </w:tcMar>
            <w:vAlign w:val="bottom"/>
          </w:tcPr>
          <w:p w14:paraId="2D48A704" w14:textId="1FF5D17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2.78</w:t>
            </w:r>
          </w:p>
        </w:tc>
        <w:tc>
          <w:tcPr>
            <w:tcW w:w="1222" w:type="dxa"/>
            <w:tcBorders>
              <w:top w:val="nil"/>
              <w:left w:val="nil"/>
              <w:bottom w:val="nil"/>
              <w:right w:val="nil"/>
            </w:tcBorders>
            <w:tcMar>
              <w:top w:w="15" w:type="dxa"/>
              <w:left w:w="15" w:type="dxa"/>
              <w:right w:w="15" w:type="dxa"/>
            </w:tcMar>
            <w:vAlign w:val="bottom"/>
          </w:tcPr>
          <w:p w14:paraId="7CFACEEB" w14:textId="7F556BD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c>
          <w:tcPr>
            <w:tcW w:w="1222" w:type="dxa"/>
            <w:tcBorders>
              <w:top w:val="nil"/>
              <w:left w:val="nil"/>
              <w:bottom w:val="nil"/>
              <w:right w:val="nil"/>
            </w:tcBorders>
            <w:tcMar>
              <w:top w:w="15" w:type="dxa"/>
              <w:left w:w="15" w:type="dxa"/>
              <w:right w:w="15" w:type="dxa"/>
            </w:tcMar>
            <w:vAlign w:val="bottom"/>
          </w:tcPr>
          <w:p w14:paraId="3E814AA8" w14:textId="7C1F169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3.16</w:t>
            </w:r>
          </w:p>
        </w:tc>
      </w:tr>
      <w:tr w:rsidR="0592CF55" w14:paraId="6B756D72"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19BB44F" w14:textId="4E61A59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2.60</w:t>
            </w:r>
          </w:p>
        </w:tc>
        <w:tc>
          <w:tcPr>
            <w:tcW w:w="1215" w:type="dxa"/>
            <w:tcBorders>
              <w:top w:val="nil"/>
              <w:left w:val="nil"/>
              <w:bottom w:val="nil"/>
              <w:right w:val="nil"/>
            </w:tcBorders>
            <w:tcMar>
              <w:top w:w="15" w:type="dxa"/>
              <w:left w:w="15" w:type="dxa"/>
              <w:right w:w="15" w:type="dxa"/>
            </w:tcMar>
            <w:vAlign w:val="bottom"/>
          </w:tcPr>
          <w:p w14:paraId="65E4896D" w14:textId="7E3321D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2.33</w:t>
            </w:r>
          </w:p>
        </w:tc>
        <w:tc>
          <w:tcPr>
            <w:tcW w:w="1222" w:type="dxa"/>
            <w:tcBorders>
              <w:top w:val="nil"/>
              <w:left w:val="nil"/>
              <w:bottom w:val="nil"/>
              <w:right w:val="nil"/>
            </w:tcBorders>
            <w:tcMar>
              <w:top w:w="15" w:type="dxa"/>
              <w:left w:w="15" w:type="dxa"/>
              <w:right w:w="15" w:type="dxa"/>
            </w:tcMar>
            <w:vAlign w:val="bottom"/>
          </w:tcPr>
          <w:p w14:paraId="6AC44CBF" w14:textId="2CA423F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2.94</w:t>
            </w:r>
          </w:p>
        </w:tc>
        <w:tc>
          <w:tcPr>
            <w:tcW w:w="1222" w:type="dxa"/>
            <w:tcBorders>
              <w:top w:val="nil"/>
              <w:left w:val="nil"/>
              <w:bottom w:val="nil"/>
              <w:right w:val="nil"/>
            </w:tcBorders>
            <w:tcMar>
              <w:top w:w="15" w:type="dxa"/>
              <w:left w:w="15" w:type="dxa"/>
              <w:right w:w="15" w:type="dxa"/>
            </w:tcMar>
            <w:vAlign w:val="bottom"/>
          </w:tcPr>
          <w:p w14:paraId="5D7A639F" w14:textId="1829A54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r>
      <w:tr w:rsidR="0592CF55" w14:paraId="00AE9921"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A73FE27" w14:textId="12C0C8F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2.76</w:t>
            </w:r>
          </w:p>
        </w:tc>
        <w:tc>
          <w:tcPr>
            <w:tcW w:w="1215" w:type="dxa"/>
            <w:tcBorders>
              <w:top w:val="nil"/>
              <w:left w:val="nil"/>
              <w:bottom w:val="nil"/>
              <w:right w:val="nil"/>
            </w:tcBorders>
            <w:tcMar>
              <w:top w:w="15" w:type="dxa"/>
              <w:left w:w="15" w:type="dxa"/>
              <w:right w:w="15" w:type="dxa"/>
            </w:tcMar>
            <w:vAlign w:val="bottom"/>
          </w:tcPr>
          <w:p w14:paraId="12A4360F" w14:textId="504C2EE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2.55</w:t>
            </w:r>
          </w:p>
        </w:tc>
        <w:tc>
          <w:tcPr>
            <w:tcW w:w="1222" w:type="dxa"/>
            <w:tcBorders>
              <w:top w:val="nil"/>
              <w:left w:val="nil"/>
              <w:bottom w:val="nil"/>
              <w:right w:val="nil"/>
            </w:tcBorders>
            <w:tcMar>
              <w:top w:w="15" w:type="dxa"/>
              <w:left w:w="15" w:type="dxa"/>
              <w:right w:w="15" w:type="dxa"/>
            </w:tcMar>
            <w:vAlign w:val="bottom"/>
          </w:tcPr>
          <w:p w14:paraId="21B1F54E" w14:textId="329490F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22" w:type="dxa"/>
            <w:tcBorders>
              <w:top w:val="nil"/>
              <w:left w:val="nil"/>
              <w:bottom w:val="nil"/>
              <w:right w:val="nil"/>
            </w:tcBorders>
            <w:tcMar>
              <w:top w:w="15" w:type="dxa"/>
              <w:left w:w="15" w:type="dxa"/>
              <w:right w:w="15" w:type="dxa"/>
            </w:tcMar>
            <w:vAlign w:val="bottom"/>
          </w:tcPr>
          <w:p w14:paraId="75921639" w14:textId="0CCF5B6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0BDE92C0"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E923DC9" w14:textId="2FDEBC8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c>
          <w:tcPr>
            <w:tcW w:w="1215" w:type="dxa"/>
            <w:tcBorders>
              <w:top w:val="nil"/>
              <w:left w:val="nil"/>
              <w:bottom w:val="nil"/>
              <w:right w:val="nil"/>
            </w:tcBorders>
            <w:tcMar>
              <w:top w:w="15" w:type="dxa"/>
              <w:left w:w="15" w:type="dxa"/>
              <w:right w:w="15" w:type="dxa"/>
            </w:tcMar>
            <w:vAlign w:val="bottom"/>
          </w:tcPr>
          <w:p w14:paraId="642B37FD" w14:textId="6609FB7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c>
          <w:tcPr>
            <w:tcW w:w="1222" w:type="dxa"/>
            <w:tcBorders>
              <w:top w:val="nil"/>
              <w:left w:val="nil"/>
              <w:bottom w:val="nil"/>
              <w:right w:val="nil"/>
            </w:tcBorders>
            <w:tcMar>
              <w:top w:w="15" w:type="dxa"/>
              <w:left w:w="15" w:type="dxa"/>
              <w:right w:w="15" w:type="dxa"/>
            </w:tcMar>
            <w:vAlign w:val="bottom"/>
          </w:tcPr>
          <w:p w14:paraId="4538BA08" w14:textId="50B7776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c>
          <w:tcPr>
            <w:tcW w:w="1222" w:type="dxa"/>
            <w:tcBorders>
              <w:top w:val="nil"/>
              <w:left w:val="nil"/>
              <w:bottom w:val="nil"/>
              <w:right w:val="nil"/>
            </w:tcBorders>
            <w:tcMar>
              <w:top w:w="15" w:type="dxa"/>
              <w:left w:w="15" w:type="dxa"/>
              <w:right w:w="15" w:type="dxa"/>
            </w:tcMar>
            <w:vAlign w:val="bottom"/>
          </w:tcPr>
          <w:p w14:paraId="143AEB2C" w14:textId="08CDA0B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3.20</w:t>
            </w:r>
          </w:p>
        </w:tc>
      </w:tr>
      <w:tr w:rsidR="0592CF55" w14:paraId="703BD4F6"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D8502B2" w14:textId="71FEB70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2.64</w:t>
            </w:r>
          </w:p>
        </w:tc>
        <w:tc>
          <w:tcPr>
            <w:tcW w:w="1215" w:type="dxa"/>
            <w:tcBorders>
              <w:top w:val="nil"/>
              <w:left w:val="nil"/>
              <w:bottom w:val="nil"/>
              <w:right w:val="nil"/>
            </w:tcBorders>
            <w:tcMar>
              <w:top w:w="15" w:type="dxa"/>
              <w:left w:w="15" w:type="dxa"/>
              <w:right w:w="15" w:type="dxa"/>
            </w:tcMar>
            <w:vAlign w:val="bottom"/>
          </w:tcPr>
          <w:p w14:paraId="4145A02A" w14:textId="7397F31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2.40</w:t>
            </w:r>
          </w:p>
        </w:tc>
        <w:tc>
          <w:tcPr>
            <w:tcW w:w="1222" w:type="dxa"/>
            <w:tcBorders>
              <w:top w:val="nil"/>
              <w:left w:val="nil"/>
              <w:bottom w:val="nil"/>
              <w:right w:val="nil"/>
            </w:tcBorders>
            <w:tcMar>
              <w:top w:w="15" w:type="dxa"/>
              <w:left w:w="15" w:type="dxa"/>
              <w:right w:w="15" w:type="dxa"/>
            </w:tcMar>
            <w:vAlign w:val="bottom"/>
          </w:tcPr>
          <w:p w14:paraId="284BC6B6" w14:textId="518D2A3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2.97</w:t>
            </w:r>
          </w:p>
        </w:tc>
        <w:tc>
          <w:tcPr>
            <w:tcW w:w="1222" w:type="dxa"/>
            <w:tcBorders>
              <w:top w:val="nil"/>
              <w:left w:val="nil"/>
              <w:bottom w:val="nil"/>
              <w:right w:val="nil"/>
            </w:tcBorders>
            <w:tcMar>
              <w:top w:w="15" w:type="dxa"/>
              <w:left w:w="15" w:type="dxa"/>
              <w:right w:w="15" w:type="dxa"/>
            </w:tcMar>
            <w:vAlign w:val="bottom"/>
          </w:tcPr>
          <w:p w14:paraId="2570FC8B" w14:textId="664A62F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34B4DE9F"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C6DB17B" w14:textId="1CB9431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2.56</w:t>
            </w:r>
          </w:p>
        </w:tc>
        <w:tc>
          <w:tcPr>
            <w:tcW w:w="1215" w:type="dxa"/>
            <w:tcBorders>
              <w:top w:val="nil"/>
              <w:left w:val="nil"/>
              <w:bottom w:val="nil"/>
              <w:right w:val="nil"/>
            </w:tcBorders>
            <w:tcMar>
              <w:top w:w="15" w:type="dxa"/>
              <w:left w:w="15" w:type="dxa"/>
              <w:right w:w="15" w:type="dxa"/>
            </w:tcMar>
            <w:vAlign w:val="bottom"/>
          </w:tcPr>
          <w:p w14:paraId="008BE553" w14:textId="5510547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2.30</w:t>
            </w:r>
          </w:p>
        </w:tc>
        <w:tc>
          <w:tcPr>
            <w:tcW w:w="1222" w:type="dxa"/>
            <w:tcBorders>
              <w:top w:val="nil"/>
              <w:left w:val="nil"/>
              <w:bottom w:val="nil"/>
              <w:right w:val="nil"/>
            </w:tcBorders>
            <w:tcMar>
              <w:top w:w="15" w:type="dxa"/>
              <w:left w:w="15" w:type="dxa"/>
              <w:right w:w="15" w:type="dxa"/>
            </w:tcMar>
            <w:vAlign w:val="bottom"/>
          </w:tcPr>
          <w:p w14:paraId="331C3E35" w14:textId="7553CE4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22" w:type="dxa"/>
            <w:tcBorders>
              <w:top w:val="nil"/>
              <w:left w:val="nil"/>
              <w:bottom w:val="nil"/>
              <w:right w:val="nil"/>
            </w:tcBorders>
            <w:tcMar>
              <w:top w:w="15" w:type="dxa"/>
              <w:left w:w="15" w:type="dxa"/>
              <w:right w:w="15" w:type="dxa"/>
            </w:tcMar>
            <w:vAlign w:val="bottom"/>
          </w:tcPr>
          <w:p w14:paraId="44965816" w14:textId="1BFC9E9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r>
      <w:tr w:rsidR="0592CF55" w14:paraId="1882C4B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0583BF7" w14:textId="1F5457C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2.69</w:t>
            </w:r>
          </w:p>
        </w:tc>
        <w:tc>
          <w:tcPr>
            <w:tcW w:w="1215" w:type="dxa"/>
            <w:tcBorders>
              <w:top w:val="nil"/>
              <w:left w:val="nil"/>
              <w:bottom w:val="nil"/>
              <w:right w:val="nil"/>
            </w:tcBorders>
            <w:tcMar>
              <w:top w:w="15" w:type="dxa"/>
              <w:left w:w="15" w:type="dxa"/>
              <w:right w:w="15" w:type="dxa"/>
            </w:tcMar>
            <w:vAlign w:val="bottom"/>
          </w:tcPr>
          <w:p w14:paraId="321BECF4" w14:textId="265F271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2.43</w:t>
            </w:r>
          </w:p>
        </w:tc>
        <w:tc>
          <w:tcPr>
            <w:tcW w:w="1222" w:type="dxa"/>
            <w:tcBorders>
              <w:top w:val="nil"/>
              <w:left w:val="nil"/>
              <w:bottom w:val="nil"/>
              <w:right w:val="nil"/>
            </w:tcBorders>
            <w:tcMar>
              <w:top w:w="15" w:type="dxa"/>
              <w:left w:w="15" w:type="dxa"/>
              <w:right w:w="15" w:type="dxa"/>
            </w:tcMar>
            <w:vAlign w:val="bottom"/>
          </w:tcPr>
          <w:p w14:paraId="52025801" w14:textId="39779CD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2.97</w:t>
            </w:r>
          </w:p>
        </w:tc>
        <w:tc>
          <w:tcPr>
            <w:tcW w:w="1222" w:type="dxa"/>
            <w:tcBorders>
              <w:top w:val="nil"/>
              <w:left w:val="nil"/>
              <w:bottom w:val="nil"/>
              <w:right w:val="nil"/>
            </w:tcBorders>
            <w:tcMar>
              <w:top w:w="15" w:type="dxa"/>
              <w:left w:w="15" w:type="dxa"/>
              <w:right w:w="15" w:type="dxa"/>
            </w:tcMar>
            <w:vAlign w:val="bottom"/>
          </w:tcPr>
          <w:p w14:paraId="2D8A5BD7" w14:textId="111F3E8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67B2F397"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4C8CBDA" w14:textId="7151CA0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2.70</w:t>
            </w:r>
          </w:p>
        </w:tc>
        <w:tc>
          <w:tcPr>
            <w:tcW w:w="1215" w:type="dxa"/>
            <w:tcBorders>
              <w:top w:val="nil"/>
              <w:left w:val="nil"/>
              <w:bottom w:val="nil"/>
              <w:right w:val="nil"/>
            </w:tcBorders>
            <w:tcMar>
              <w:top w:w="15" w:type="dxa"/>
              <w:left w:w="15" w:type="dxa"/>
              <w:right w:w="15" w:type="dxa"/>
            </w:tcMar>
            <w:vAlign w:val="bottom"/>
          </w:tcPr>
          <w:p w14:paraId="683F82D5" w14:textId="658D8B5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2.38</w:t>
            </w:r>
          </w:p>
        </w:tc>
        <w:tc>
          <w:tcPr>
            <w:tcW w:w="1222" w:type="dxa"/>
            <w:tcBorders>
              <w:top w:val="nil"/>
              <w:left w:val="nil"/>
              <w:bottom w:val="nil"/>
              <w:right w:val="nil"/>
            </w:tcBorders>
            <w:tcMar>
              <w:top w:w="15" w:type="dxa"/>
              <w:left w:w="15" w:type="dxa"/>
              <w:right w:w="15" w:type="dxa"/>
            </w:tcMar>
            <w:vAlign w:val="bottom"/>
          </w:tcPr>
          <w:p w14:paraId="78A2115B" w14:textId="524E4AA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22" w:type="dxa"/>
            <w:tcBorders>
              <w:top w:val="nil"/>
              <w:left w:val="nil"/>
              <w:bottom w:val="nil"/>
              <w:right w:val="nil"/>
            </w:tcBorders>
            <w:tcMar>
              <w:top w:w="15" w:type="dxa"/>
              <w:left w:w="15" w:type="dxa"/>
              <w:right w:w="15" w:type="dxa"/>
            </w:tcMar>
            <w:vAlign w:val="bottom"/>
          </w:tcPr>
          <w:p w14:paraId="7C8748A9" w14:textId="6EDA5EA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r>
      <w:tr w:rsidR="0592CF55" w14:paraId="5564AE5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4B7D03C" w14:textId="79B142E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15" w:type="dxa"/>
            <w:tcBorders>
              <w:top w:val="nil"/>
              <w:left w:val="nil"/>
              <w:bottom w:val="nil"/>
              <w:right w:val="nil"/>
            </w:tcBorders>
            <w:tcMar>
              <w:top w:w="15" w:type="dxa"/>
              <w:left w:w="15" w:type="dxa"/>
              <w:right w:w="15" w:type="dxa"/>
            </w:tcMar>
            <w:vAlign w:val="bottom"/>
          </w:tcPr>
          <w:p w14:paraId="1DB46D97" w14:textId="1E93C6F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2.89</w:t>
            </w:r>
          </w:p>
        </w:tc>
        <w:tc>
          <w:tcPr>
            <w:tcW w:w="1222" w:type="dxa"/>
            <w:tcBorders>
              <w:top w:val="nil"/>
              <w:left w:val="nil"/>
              <w:bottom w:val="nil"/>
              <w:right w:val="nil"/>
            </w:tcBorders>
            <w:tcMar>
              <w:top w:w="15" w:type="dxa"/>
              <w:left w:w="15" w:type="dxa"/>
              <w:right w:w="15" w:type="dxa"/>
            </w:tcMar>
            <w:vAlign w:val="bottom"/>
          </w:tcPr>
          <w:p w14:paraId="1E8B63E4" w14:textId="02BC6D9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c>
          <w:tcPr>
            <w:tcW w:w="1222" w:type="dxa"/>
            <w:tcBorders>
              <w:top w:val="nil"/>
              <w:left w:val="nil"/>
              <w:bottom w:val="nil"/>
              <w:right w:val="nil"/>
            </w:tcBorders>
            <w:tcMar>
              <w:top w:w="15" w:type="dxa"/>
              <w:left w:w="15" w:type="dxa"/>
              <w:right w:w="15" w:type="dxa"/>
            </w:tcMar>
            <w:vAlign w:val="bottom"/>
          </w:tcPr>
          <w:p w14:paraId="4BB9A58F" w14:textId="5868284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r>
      <w:tr w:rsidR="0592CF55" w14:paraId="196BE75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A19D7B5" w14:textId="1BFDE08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2.83</w:t>
            </w:r>
          </w:p>
        </w:tc>
        <w:tc>
          <w:tcPr>
            <w:tcW w:w="1215" w:type="dxa"/>
            <w:tcBorders>
              <w:top w:val="nil"/>
              <w:left w:val="nil"/>
              <w:bottom w:val="nil"/>
              <w:right w:val="nil"/>
            </w:tcBorders>
            <w:tcMar>
              <w:top w:w="15" w:type="dxa"/>
              <w:left w:w="15" w:type="dxa"/>
              <w:right w:w="15" w:type="dxa"/>
            </w:tcMar>
            <w:vAlign w:val="bottom"/>
          </w:tcPr>
          <w:p w14:paraId="56465CD0" w14:textId="42CBA38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2.55</w:t>
            </w:r>
          </w:p>
        </w:tc>
        <w:tc>
          <w:tcPr>
            <w:tcW w:w="1222" w:type="dxa"/>
            <w:tcBorders>
              <w:top w:val="nil"/>
              <w:left w:val="nil"/>
              <w:bottom w:val="nil"/>
              <w:right w:val="nil"/>
            </w:tcBorders>
            <w:tcMar>
              <w:top w:w="15" w:type="dxa"/>
              <w:left w:w="15" w:type="dxa"/>
              <w:right w:w="15" w:type="dxa"/>
            </w:tcMar>
            <w:vAlign w:val="bottom"/>
          </w:tcPr>
          <w:p w14:paraId="7179A165" w14:textId="7A5D601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384A1168" w14:textId="448E214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r>
      <w:tr w:rsidR="0592CF55" w14:paraId="77F0B67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ACDE507" w14:textId="448863A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2.81</w:t>
            </w:r>
          </w:p>
        </w:tc>
        <w:tc>
          <w:tcPr>
            <w:tcW w:w="1215" w:type="dxa"/>
            <w:tcBorders>
              <w:top w:val="nil"/>
              <w:left w:val="nil"/>
              <w:bottom w:val="nil"/>
              <w:right w:val="nil"/>
            </w:tcBorders>
            <w:tcMar>
              <w:top w:w="15" w:type="dxa"/>
              <w:left w:w="15" w:type="dxa"/>
              <w:right w:w="15" w:type="dxa"/>
            </w:tcMar>
            <w:vAlign w:val="bottom"/>
          </w:tcPr>
          <w:p w14:paraId="22F73297" w14:textId="389645F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2.49</w:t>
            </w:r>
          </w:p>
        </w:tc>
        <w:tc>
          <w:tcPr>
            <w:tcW w:w="1222" w:type="dxa"/>
            <w:tcBorders>
              <w:top w:val="nil"/>
              <w:left w:val="nil"/>
              <w:bottom w:val="nil"/>
              <w:right w:val="nil"/>
            </w:tcBorders>
            <w:tcMar>
              <w:top w:w="15" w:type="dxa"/>
              <w:left w:w="15" w:type="dxa"/>
              <w:right w:w="15" w:type="dxa"/>
            </w:tcMar>
            <w:vAlign w:val="bottom"/>
          </w:tcPr>
          <w:p w14:paraId="6D57315D" w14:textId="48D0B61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2.97</w:t>
            </w:r>
          </w:p>
        </w:tc>
        <w:tc>
          <w:tcPr>
            <w:tcW w:w="1222" w:type="dxa"/>
            <w:tcBorders>
              <w:top w:val="nil"/>
              <w:left w:val="nil"/>
              <w:bottom w:val="nil"/>
              <w:right w:val="nil"/>
            </w:tcBorders>
            <w:tcMar>
              <w:top w:w="15" w:type="dxa"/>
              <w:left w:w="15" w:type="dxa"/>
              <w:right w:w="15" w:type="dxa"/>
            </w:tcMar>
            <w:vAlign w:val="bottom"/>
          </w:tcPr>
          <w:p w14:paraId="21C5F424" w14:textId="3E75E25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r>
      <w:tr w:rsidR="0592CF55" w14:paraId="674D5613"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003B31C" w14:textId="196FBB7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2.88</w:t>
            </w:r>
          </w:p>
        </w:tc>
        <w:tc>
          <w:tcPr>
            <w:tcW w:w="1215" w:type="dxa"/>
            <w:tcBorders>
              <w:top w:val="nil"/>
              <w:left w:val="nil"/>
              <w:bottom w:val="nil"/>
              <w:right w:val="nil"/>
            </w:tcBorders>
            <w:tcMar>
              <w:top w:w="15" w:type="dxa"/>
              <w:left w:w="15" w:type="dxa"/>
              <w:right w:w="15" w:type="dxa"/>
            </w:tcMar>
            <w:vAlign w:val="bottom"/>
          </w:tcPr>
          <w:p w14:paraId="44FD1BE5" w14:textId="5E8C677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2.74</w:t>
            </w:r>
          </w:p>
        </w:tc>
        <w:tc>
          <w:tcPr>
            <w:tcW w:w="1222" w:type="dxa"/>
            <w:tcBorders>
              <w:top w:val="nil"/>
              <w:left w:val="nil"/>
              <w:bottom w:val="nil"/>
              <w:right w:val="nil"/>
            </w:tcBorders>
            <w:tcMar>
              <w:top w:w="15" w:type="dxa"/>
              <w:left w:w="15" w:type="dxa"/>
              <w:right w:w="15" w:type="dxa"/>
            </w:tcMar>
            <w:vAlign w:val="bottom"/>
          </w:tcPr>
          <w:p w14:paraId="5785C367" w14:textId="318958C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18D8C6B2" w14:textId="4570883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3.16</w:t>
            </w:r>
          </w:p>
        </w:tc>
      </w:tr>
      <w:tr w:rsidR="0592CF55" w14:paraId="05FC032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3B8EEC6" w14:textId="6A71756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lastRenderedPageBreak/>
              <w:t>2.62</w:t>
            </w:r>
          </w:p>
        </w:tc>
        <w:tc>
          <w:tcPr>
            <w:tcW w:w="1215" w:type="dxa"/>
            <w:tcBorders>
              <w:top w:val="nil"/>
              <w:left w:val="nil"/>
              <w:bottom w:val="nil"/>
              <w:right w:val="nil"/>
            </w:tcBorders>
            <w:tcMar>
              <w:top w:w="15" w:type="dxa"/>
              <w:left w:w="15" w:type="dxa"/>
              <w:right w:w="15" w:type="dxa"/>
            </w:tcMar>
            <w:vAlign w:val="bottom"/>
          </w:tcPr>
          <w:p w14:paraId="3DDCD7F9" w14:textId="2F9BAD9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2.31</w:t>
            </w:r>
          </w:p>
        </w:tc>
        <w:tc>
          <w:tcPr>
            <w:tcW w:w="1222" w:type="dxa"/>
            <w:tcBorders>
              <w:top w:val="nil"/>
              <w:left w:val="nil"/>
              <w:bottom w:val="nil"/>
              <w:right w:val="nil"/>
            </w:tcBorders>
            <w:tcMar>
              <w:top w:w="15" w:type="dxa"/>
              <w:left w:w="15" w:type="dxa"/>
              <w:right w:w="15" w:type="dxa"/>
            </w:tcMar>
            <w:vAlign w:val="bottom"/>
          </w:tcPr>
          <w:p w14:paraId="302A2797" w14:textId="571C9F4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2.90</w:t>
            </w:r>
          </w:p>
        </w:tc>
        <w:tc>
          <w:tcPr>
            <w:tcW w:w="1222" w:type="dxa"/>
            <w:tcBorders>
              <w:top w:val="nil"/>
              <w:left w:val="nil"/>
              <w:bottom w:val="nil"/>
              <w:right w:val="nil"/>
            </w:tcBorders>
            <w:tcMar>
              <w:top w:w="15" w:type="dxa"/>
              <w:left w:w="15" w:type="dxa"/>
              <w:right w:w="15" w:type="dxa"/>
            </w:tcMar>
            <w:vAlign w:val="bottom"/>
          </w:tcPr>
          <w:p w14:paraId="40C8367A" w14:textId="63135CD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r>
      <w:tr w:rsidR="0592CF55" w14:paraId="4970A757"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1C765A6" w14:textId="284A07A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2.74</w:t>
            </w:r>
          </w:p>
        </w:tc>
        <w:tc>
          <w:tcPr>
            <w:tcW w:w="1215" w:type="dxa"/>
            <w:tcBorders>
              <w:top w:val="nil"/>
              <w:left w:val="nil"/>
              <w:bottom w:val="nil"/>
              <w:right w:val="nil"/>
            </w:tcBorders>
            <w:tcMar>
              <w:top w:w="15" w:type="dxa"/>
              <w:left w:w="15" w:type="dxa"/>
              <w:right w:w="15" w:type="dxa"/>
            </w:tcMar>
            <w:vAlign w:val="bottom"/>
          </w:tcPr>
          <w:p w14:paraId="3EDC36A4" w14:textId="5EB8D51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2.54</w:t>
            </w:r>
          </w:p>
        </w:tc>
        <w:tc>
          <w:tcPr>
            <w:tcW w:w="1222" w:type="dxa"/>
            <w:tcBorders>
              <w:top w:val="nil"/>
              <w:left w:val="nil"/>
              <w:bottom w:val="nil"/>
              <w:right w:val="nil"/>
            </w:tcBorders>
            <w:tcMar>
              <w:top w:w="15" w:type="dxa"/>
              <w:left w:w="15" w:type="dxa"/>
              <w:right w:w="15" w:type="dxa"/>
            </w:tcMar>
            <w:vAlign w:val="bottom"/>
          </w:tcPr>
          <w:p w14:paraId="483DF59F" w14:textId="6A9D140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3.02</w:t>
            </w:r>
          </w:p>
        </w:tc>
        <w:tc>
          <w:tcPr>
            <w:tcW w:w="1222" w:type="dxa"/>
            <w:tcBorders>
              <w:top w:val="nil"/>
              <w:left w:val="nil"/>
              <w:bottom w:val="nil"/>
              <w:right w:val="nil"/>
            </w:tcBorders>
            <w:tcMar>
              <w:top w:w="15" w:type="dxa"/>
              <w:left w:w="15" w:type="dxa"/>
              <w:right w:w="15" w:type="dxa"/>
            </w:tcMar>
            <w:vAlign w:val="bottom"/>
          </w:tcPr>
          <w:p w14:paraId="5F2C1B37" w14:textId="46BD28E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119C94BA"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E07E665" w14:textId="242A9A0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c>
          <w:tcPr>
            <w:tcW w:w="1215" w:type="dxa"/>
            <w:tcBorders>
              <w:top w:val="nil"/>
              <w:left w:val="nil"/>
              <w:bottom w:val="nil"/>
              <w:right w:val="nil"/>
            </w:tcBorders>
            <w:tcMar>
              <w:top w:w="15" w:type="dxa"/>
              <w:left w:w="15" w:type="dxa"/>
              <w:right w:w="15" w:type="dxa"/>
            </w:tcMar>
            <w:vAlign w:val="bottom"/>
          </w:tcPr>
          <w:p w14:paraId="698D3E2D" w14:textId="4B4311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2.89</w:t>
            </w:r>
          </w:p>
        </w:tc>
        <w:tc>
          <w:tcPr>
            <w:tcW w:w="1222" w:type="dxa"/>
            <w:tcBorders>
              <w:top w:val="nil"/>
              <w:left w:val="nil"/>
              <w:bottom w:val="nil"/>
              <w:right w:val="nil"/>
            </w:tcBorders>
            <w:tcMar>
              <w:top w:w="15" w:type="dxa"/>
              <w:left w:w="15" w:type="dxa"/>
              <w:right w:w="15" w:type="dxa"/>
            </w:tcMar>
            <w:vAlign w:val="bottom"/>
          </w:tcPr>
          <w:p w14:paraId="71C7DC1C" w14:textId="60960F0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c>
          <w:tcPr>
            <w:tcW w:w="1222" w:type="dxa"/>
            <w:tcBorders>
              <w:top w:val="nil"/>
              <w:left w:val="nil"/>
              <w:bottom w:val="nil"/>
              <w:right w:val="nil"/>
            </w:tcBorders>
            <w:tcMar>
              <w:top w:w="15" w:type="dxa"/>
              <w:left w:w="15" w:type="dxa"/>
              <w:right w:w="15" w:type="dxa"/>
            </w:tcMar>
            <w:vAlign w:val="bottom"/>
          </w:tcPr>
          <w:p w14:paraId="5C341C64" w14:textId="2776B54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r>
      <w:tr w:rsidR="0592CF55" w14:paraId="77EDBF5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E783CE7" w14:textId="352C001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15" w:type="dxa"/>
            <w:tcBorders>
              <w:top w:val="nil"/>
              <w:left w:val="nil"/>
              <w:bottom w:val="nil"/>
              <w:right w:val="nil"/>
            </w:tcBorders>
            <w:tcMar>
              <w:top w:w="15" w:type="dxa"/>
              <w:left w:w="15" w:type="dxa"/>
              <w:right w:w="15" w:type="dxa"/>
            </w:tcMar>
            <w:vAlign w:val="bottom"/>
          </w:tcPr>
          <w:p w14:paraId="2FE77C30" w14:textId="5E91760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c>
          <w:tcPr>
            <w:tcW w:w="1222" w:type="dxa"/>
            <w:tcBorders>
              <w:top w:val="nil"/>
              <w:left w:val="nil"/>
              <w:bottom w:val="nil"/>
              <w:right w:val="nil"/>
            </w:tcBorders>
            <w:tcMar>
              <w:top w:w="15" w:type="dxa"/>
              <w:left w:w="15" w:type="dxa"/>
              <w:right w:w="15" w:type="dxa"/>
            </w:tcMar>
            <w:vAlign w:val="bottom"/>
          </w:tcPr>
          <w:p w14:paraId="4F18BBFB" w14:textId="2EF507F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c>
          <w:tcPr>
            <w:tcW w:w="1222" w:type="dxa"/>
            <w:tcBorders>
              <w:top w:val="nil"/>
              <w:left w:val="nil"/>
              <w:bottom w:val="nil"/>
              <w:right w:val="nil"/>
            </w:tcBorders>
            <w:tcMar>
              <w:top w:w="15" w:type="dxa"/>
              <w:left w:w="15" w:type="dxa"/>
              <w:right w:w="15" w:type="dxa"/>
            </w:tcMar>
            <w:vAlign w:val="bottom"/>
          </w:tcPr>
          <w:p w14:paraId="4819C8B3" w14:textId="1A4708B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3.21</w:t>
            </w:r>
          </w:p>
        </w:tc>
      </w:tr>
      <w:tr w:rsidR="0592CF55" w14:paraId="70CDC92D"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918D3D9" w14:textId="7ECF1F5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2.83</w:t>
            </w:r>
          </w:p>
        </w:tc>
        <w:tc>
          <w:tcPr>
            <w:tcW w:w="1215" w:type="dxa"/>
            <w:tcBorders>
              <w:top w:val="nil"/>
              <w:left w:val="nil"/>
              <w:bottom w:val="nil"/>
              <w:right w:val="nil"/>
            </w:tcBorders>
            <w:tcMar>
              <w:top w:w="15" w:type="dxa"/>
              <w:left w:w="15" w:type="dxa"/>
              <w:right w:w="15" w:type="dxa"/>
            </w:tcMar>
            <w:vAlign w:val="bottom"/>
          </w:tcPr>
          <w:p w14:paraId="4ECF75EF" w14:textId="5032467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2.67</w:t>
            </w:r>
          </w:p>
        </w:tc>
        <w:tc>
          <w:tcPr>
            <w:tcW w:w="1222" w:type="dxa"/>
            <w:tcBorders>
              <w:top w:val="nil"/>
              <w:left w:val="nil"/>
              <w:bottom w:val="nil"/>
              <w:right w:val="nil"/>
            </w:tcBorders>
            <w:tcMar>
              <w:top w:w="15" w:type="dxa"/>
              <w:left w:w="15" w:type="dxa"/>
              <w:right w:w="15" w:type="dxa"/>
            </w:tcMar>
            <w:vAlign w:val="bottom"/>
          </w:tcPr>
          <w:p w14:paraId="2B756DF4" w14:textId="39A83B4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22" w:type="dxa"/>
            <w:tcBorders>
              <w:top w:val="nil"/>
              <w:left w:val="nil"/>
              <w:bottom w:val="nil"/>
              <w:right w:val="nil"/>
            </w:tcBorders>
            <w:tcMar>
              <w:top w:w="15" w:type="dxa"/>
              <w:left w:w="15" w:type="dxa"/>
              <w:right w:w="15" w:type="dxa"/>
            </w:tcMar>
            <w:vAlign w:val="bottom"/>
          </w:tcPr>
          <w:p w14:paraId="340FB0E4" w14:textId="5F991A4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12D1422C"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791DA78" w14:textId="16D48EC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3.05</w:t>
            </w:r>
          </w:p>
        </w:tc>
        <w:tc>
          <w:tcPr>
            <w:tcW w:w="1215" w:type="dxa"/>
            <w:tcBorders>
              <w:top w:val="nil"/>
              <w:left w:val="nil"/>
              <w:bottom w:val="nil"/>
              <w:right w:val="nil"/>
            </w:tcBorders>
            <w:tcMar>
              <w:top w:w="15" w:type="dxa"/>
              <w:left w:w="15" w:type="dxa"/>
              <w:right w:w="15" w:type="dxa"/>
            </w:tcMar>
            <w:vAlign w:val="bottom"/>
          </w:tcPr>
          <w:p w14:paraId="4091E3B7" w14:textId="3A93BB5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13475A7A" w14:textId="5FB9D5F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41A6CE3B" w14:textId="27D802B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r>
      <w:tr w:rsidR="0592CF55" w14:paraId="5496F76D"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0B3FDE1" w14:textId="485B110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15" w:type="dxa"/>
            <w:tcBorders>
              <w:top w:val="nil"/>
              <w:left w:val="nil"/>
              <w:bottom w:val="nil"/>
              <w:right w:val="nil"/>
            </w:tcBorders>
            <w:tcMar>
              <w:top w:w="15" w:type="dxa"/>
              <w:left w:w="15" w:type="dxa"/>
              <w:right w:w="15" w:type="dxa"/>
            </w:tcMar>
            <w:vAlign w:val="bottom"/>
          </w:tcPr>
          <w:p w14:paraId="0AAE9252" w14:textId="4CBF7D0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2.69</w:t>
            </w:r>
          </w:p>
        </w:tc>
        <w:tc>
          <w:tcPr>
            <w:tcW w:w="1222" w:type="dxa"/>
            <w:tcBorders>
              <w:top w:val="nil"/>
              <w:left w:val="nil"/>
              <w:bottom w:val="nil"/>
              <w:right w:val="nil"/>
            </w:tcBorders>
            <w:tcMar>
              <w:top w:w="15" w:type="dxa"/>
              <w:left w:w="15" w:type="dxa"/>
              <w:right w:w="15" w:type="dxa"/>
            </w:tcMar>
            <w:vAlign w:val="bottom"/>
          </w:tcPr>
          <w:p w14:paraId="4B80F4A6" w14:textId="415EB78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22" w:type="dxa"/>
            <w:tcBorders>
              <w:top w:val="nil"/>
              <w:left w:val="nil"/>
              <w:bottom w:val="nil"/>
              <w:right w:val="nil"/>
            </w:tcBorders>
            <w:tcMar>
              <w:top w:w="15" w:type="dxa"/>
              <w:left w:w="15" w:type="dxa"/>
              <w:right w:w="15" w:type="dxa"/>
            </w:tcMar>
            <w:vAlign w:val="bottom"/>
          </w:tcPr>
          <w:p w14:paraId="0DA6C196" w14:textId="306345C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516F6E2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EA5F8BC" w14:textId="68586D8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2.77</w:t>
            </w:r>
          </w:p>
        </w:tc>
        <w:tc>
          <w:tcPr>
            <w:tcW w:w="1215" w:type="dxa"/>
            <w:tcBorders>
              <w:top w:val="nil"/>
              <w:left w:val="nil"/>
              <w:bottom w:val="nil"/>
              <w:right w:val="nil"/>
            </w:tcBorders>
            <w:tcMar>
              <w:top w:w="15" w:type="dxa"/>
              <w:left w:w="15" w:type="dxa"/>
              <w:right w:w="15" w:type="dxa"/>
            </w:tcMar>
            <w:vAlign w:val="bottom"/>
          </w:tcPr>
          <w:p w14:paraId="718B9112" w14:textId="0491DE6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2.51</w:t>
            </w:r>
          </w:p>
        </w:tc>
        <w:tc>
          <w:tcPr>
            <w:tcW w:w="1222" w:type="dxa"/>
            <w:tcBorders>
              <w:top w:val="nil"/>
              <w:left w:val="nil"/>
              <w:bottom w:val="nil"/>
              <w:right w:val="nil"/>
            </w:tcBorders>
            <w:tcMar>
              <w:top w:w="15" w:type="dxa"/>
              <w:left w:w="15" w:type="dxa"/>
              <w:right w:w="15" w:type="dxa"/>
            </w:tcMar>
            <w:vAlign w:val="bottom"/>
          </w:tcPr>
          <w:p w14:paraId="2B19524C" w14:textId="736ED41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231F66CA" w14:textId="59059EF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570E69A6"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3E80C0D" w14:textId="3934823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15" w:type="dxa"/>
            <w:tcBorders>
              <w:top w:val="nil"/>
              <w:left w:val="nil"/>
              <w:bottom w:val="nil"/>
              <w:right w:val="nil"/>
            </w:tcBorders>
            <w:tcMar>
              <w:top w:w="15" w:type="dxa"/>
              <w:left w:w="15" w:type="dxa"/>
              <w:right w:w="15" w:type="dxa"/>
            </w:tcMar>
            <w:vAlign w:val="bottom"/>
          </w:tcPr>
          <w:p w14:paraId="7D7B9DDE" w14:textId="15BD7AE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2.61</w:t>
            </w:r>
          </w:p>
        </w:tc>
        <w:tc>
          <w:tcPr>
            <w:tcW w:w="1222" w:type="dxa"/>
            <w:tcBorders>
              <w:top w:val="nil"/>
              <w:left w:val="nil"/>
              <w:bottom w:val="nil"/>
              <w:right w:val="nil"/>
            </w:tcBorders>
            <w:tcMar>
              <w:top w:w="15" w:type="dxa"/>
              <w:left w:w="15" w:type="dxa"/>
              <w:right w:w="15" w:type="dxa"/>
            </w:tcMar>
            <w:vAlign w:val="bottom"/>
          </w:tcPr>
          <w:p w14:paraId="26938062" w14:textId="34DF5B6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22" w:type="dxa"/>
            <w:tcBorders>
              <w:top w:val="nil"/>
              <w:left w:val="nil"/>
              <w:bottom w:val="nil"/>
              <w:right w:val="nil"/>
            </w:tcBorders>
            <w:tcMar>
              <w:top w:w="15" w:type="dxa"/>
              <w:left w:w="15" w:type="dxa"/>
              <w:right w:w="15" w:type="dxa"/>
            </w:tcMar>
            <w:vAlign w:val="bottom"/>
          </w:tcPr>
          <w:p w14:paraId="6ACF8BC9" w14:textId="47114FD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3.10</w:t>
            </w:r>
          </w:p>
        </w:tc>
      </w:tr>
      <w:tr w:rsidR="0592CF55" w14:paraId="3C81A876"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D0B33B1" w14:textId="2D55C17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2.82</w:t>
            </w:r>
          </w:p>
        </w:tc>
        <w:tc>
          <w:tcPr>
            <w:tcW w:w="1215" w:type="dxa"/>
            <w:tcBorders>
              <w:top w:val="nil"/>
              <w:left w:val="nil"/>
              <w:bottom w:val="nil"/>
              <w:right w:val="nil"/>
            </w:tcBorders>
            <w:tcMar>
              <w:top w:w="15" w:type="dxa"/>
              <w:left w:w="15" w:type="dxa"/>
              <w:right w:w="15" w:type="dxa"/>
            </w:tcMar>
            <w:vAlign w:val="bottom"/>
          </w:tcPr>
          <w:p w14:paraId="22B1B142" w14:textId="33B3760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2.57</w:t>
            </w:r>
          </w:p>
        </w:tc>
        <w:tc>
          <w:tcPr>
            <w:tcW w:w="1222" w:type="dxa"/>
            <w:tcBorders>
              <w:top w:val="nil"/>
              <w:left w:val="nil"/>
              <w:bottom w:val="nil"/>
              <w:right w:val="nil"/>
            </w:tcBorders>
            <w:tcMar>
              <w:top w:w="15" w:type="dxa"/>
              <w:left w:w="15" w:type="dxa"/>
              <w:right w:w="15" w:type="dxa"/>
            </w:tcMar>
            <w:vAlign w:val="bottom"/>
          </w:tcPr>
          <w:p w14:paraId="79A27B9F" w14:textId="4A7306F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78F1853C" w14:textId="5DB5ACF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r>
      <w:tr w:rsidR="0592CF55" w14:paraId="14B3F9FF"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7807C1F" w14:textId="7E14833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15" w:type="dxa"/>
            <w:tcBorders>
              <w:top w:val="nil"/>
              <w:left w:val="nil"/>
              <w:bottom w:val="nil"/>
              <w:right w:val="nil"/>
            </w:tcBorders>
            <w:tcMar>
              <w:top w:w="15" w:type="dxa"/>
              <w:left w:w="15" w:type="dxa"/>
              <w:right w:w="15" w:type="dxa"/>
            </w:tcMar>
            <w:vAlign w:val="bottom"/>
          </w:tcPr>
          <w:p w14:paraId="53DF2215" w14:textId="5503223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2.94</w:t>
            </w:r>
          </w:p>
        </w:tc>
        <w:tc>
          <w:tcPr>
            <w:tcW w:w="1222" w:type="dxa"/>
            <w:tcBorders>
              <w:top w:val="nil"/>
              <w:left w:val="nil"/>
              <w:bottom w:val="nil"/>
              <w:right w:val="nil"/>
            </w:tcBorders>
            <w:tcMar>
              <w:top w:w="15" w:type="dxa"/>
              <w:left w:w="15" w:type="dxa"/>
              <w:right w:w="15" w:type="dxa"/>
            </w:tcMar>
            <w:vAlign w:val="bottom"/>
          </w:tcPr>
          <w:p w14:paraId="1B5BF6CE" w14:textId="61C11EE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15826E54" w14:textId="05950E2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3.20</w:t>
            </w:r>
          </w:p>
        </w:tc>
      </w:tr>
      <w:tr w:rsidR="0592CF55" w14:paraId="6C346BDF"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D4FF12E" w14:textId="22AE468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3.13</w:t>
            </w:r>
          </w:p>
        </w:tc>
        <w:tc>
          <w:tcPr>
            <w:tcW w:w="1215" w:type="dxa"/>
            <w:tcBorders>
              <w:top w:val="nil"/>
              <w:left w:val="nil"/>
              <w:bottom w:val="nil"/>
              <w:right w:val="nil"/>
            </w:tcBorders>
            <w:tcMar>
              <w:top w:w="15" w:type="dxa"/>
              <w:left w:w="15" w:type="dxa"/>
              <w:right w:w="15" w:type="dxa"/>
            </w:tcMar>
            <w:vAlign w:val="bottom"/>
          </w:tcPr>
          <w:p w14:paraId="150765C3" w14:textId="3494C79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3.02</w:t>
            </w:r>
          </w:p>
        </w:tc>
        <w:tc>
          <w:tcPr>
            <w:tcW w:w="1222" w:type="dxa"/>
            <w:tcBorders>
              <w:top w:val="nil"/>
              <w:left w:val="nil"/>
              <w:bottom w:val="nil"/>
              <w:right w:val="nil"/>
            </w:tcBorders>
            <w:tcMar>
              <w:top w:w="15" w:type="dxa"/>
              <w:left w:w="15" w:type="dxa"/>
              <w:right w:w="15" w:type="dxa"/>
            </w:tcMar>
            <w:vAlign w:val="bottom"/>
          </w:tcPr>
          <w:p w14:paraId="1E39760F" w14:textId="0C05B8E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c>
          <w:tcPr>
            <w:tcW w:w="1222" w:type="dxa"/>
            <w:tcBorders>
              <w:top w:val="nil"/>
              <w:left w:val="nil"/>
              <w:bottom w:val="nil"/>
              <w:right w:val="nil"/>
            </w:tcBorders>
            <w:tcMar>
              <w:top w:w="15" w:type="dxa"/>
              <w:left w:w="15" w:type="dxa"/>
              <w:right w:w="15" w:type="dxa"/>
            </w:tcMar>
            <w:vAlign w:val="bottom"/>
          </w:tcPr>
          <w:p w14:paraId="0645117C" w14:textId="040F7A5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r>
      <w:tr w:rsidR="0592CF55" w14:paraId="2A449F73"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3CA1BEF" w14:textId="61CDC29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c>
          <w:tcPr>
            <w:tcW w:w="1215" w:type="dxa"/>
            <w:tcBorders>
              <w:top w:val="nil"/>
              <w:left w:val="nil"/>
              <w:bottom w:val="nil"/>
              <w:right w:val="nil"/>
            </w:tcBorders>
            <w:tcMar>
              <w:top w:w="15" w:type="dxa"/>
              <w:left w:w="15" w:type="dxa"/>
              <w:right w:w="15" w:type="dxa"/>
            </w:tcMar>
            <w:vAlign w:val="bottom"/>
          </w:tcPr>
          <w:p w14:paraId="4D962A03" w14:textId="68D0E97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2.95</w:t>
            </w:r>
          </w:p>
        </w:tc>
        <w:tc>
          <w:tcPr>
            <w:tcW w:w="1222" w:type="dxa"/>
            <w:tcBorders>
              <w:top w:val="nil"/>
              <w:left w:val="nil"/>
              <w:bottom w:val="nil"/>
              <w:right w:val="nil"/>
            </w:tcBorders>
            <w:tcMar>
              <w:top w:w="15" w:type="dxa"/>
              <w:left w:w="15" w:type="dxa"/>
              <w:right w:w="15" w:type="dxa"/>
            </w:tcMar>
            <w:vAlign w:val="bottom"/>
          </w:tcPr>
          <w:p w14:paraId="20DF89D1" w14:textId="160518C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3.13</w:t>
            </w:r>
          </w:p>
        </w:tc>
        <w:tc>
          <w:tcPr>
            <w:tcW w:w="1222" w:type="dxa"/>
            <w:tcBorders>
              <w:top w:val="nil"/>
              <w:left w:val="nil"/>
              <w:bottom w:val="nil"/>
              <w:right w:val="nil"/>
            </w:tcBorders>
            <w:tcMar>
              <w:top w:w="15" w:type="dxa"/>
              <w:left w:w="15" w:type="dxa"/>
              <w:right w:w="15" w:type="dxa"/>
            </w:tcMar>
            <w:vAlign w:val="bottom"/>
          </w:tcPr>
          <w:p w14:paraId="26E52612" w14:textId="5A15C1A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r>
      <w:tr w:rsidR="0592CF55" w14:paraId="4DBDC717"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6B56AE2" w14:textId="0E1797C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c>
          <w:tcPr>
            <w:tcW w:w="1215" w:type="dxa"/>
            <w:tcBorders>
              <w:top w:val="nil"/>
              <w:left w:val="nil"/>
              <w:bottom w:val="nil"/>
              <w:right w:val="nil"/>
            </w:tcBorders>
            <w:tcMar>
              <w:top w:w="15" w:type="dxa"/>
              <w:left w:w="15" w:type="dxa"/>
              <w:right w:w="15" w:type="dxa"/>
            </w:tcMar>
            <w:vAlign w:val="bottom"/>
          </w:tcPr>
          <w:p w14:paraId="231F0E80" w14:textId="7A858C6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702E750E" w14:textId="654CBD0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3.22</w:t>
            </w:r>
          </w:p>
        </w:tc>
        <w:tc>
          <w:tcPr>
            <w:tcW w:w="1222" w:type="dxa"/>
            <w:tcBorders>
              <w:top w:val="nil"/>
              <w:left w:val="nil"/>
              <w:bottom w:val="nil"/>
              <w:right w:val="nil"/>
            </w:tcBorders>
            <w:tcMar>
              <w:top w:w="15" w:type="dxa"/>
              <w:left w:w="15" w:type="dxa"/>
              <w:right w:w="15" w:type="dxa"/>
            </w:tcMar>
            <w:vAlign w:val="bottom"/>
          </w:tcPr>
          <w:p w14:paraId="4695A1F8" w14:textId="11A3558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3.24</w:t>
            </w:r>
          </w:p>
        </w:tc>
      </w:tr>
      <w:tr w:rsidR="0592CF55" w14:paraId="1BC050F9"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107CB1EF" w14:textId="7A83BBD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3.10</w:t>
            </w:r>
          </w:p>
        </w:tc>
        <w:tc>
          <w:tcPr>
            <w:tcW w:w="1215" w:type="dxa"/>
            <w:tcBorders>
              <w:top w:val="nil"/>
              <w:left w:val="nil"/>
              <w:bottom w:val="nil"/>
              <w:right w:val="nil"/>
            </w:tcBorders>
            <w:tcMar>
              <w:top w:w="15" w:type="dxa"/>
              <w:left w:w="15" w:type="dxa"/>
              <w:right w:w="15" w:type="dxa"/>
            </w:tcMar>
            <w:vAlign w:val="bottom"/>
          </w:tcPr>
          <w:p w14:paraId="0445FE82" w14:textId="7152BE3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4A51050C" w14:textId="611DD6A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3.13</w:t>
            </w:r>
          </w:p>
        </w:tc>
        <w:tc>
          <w:tcPr>
            <w:tcW w:w="1222" w:type="dxa"/>
            <w:tcBorders>
              <w:top w:val="nil"/>
              <w:left w:val="nil"/>
              <w:bottom w:val="nil"/>
              <w:right w:val="nil"/>
            </w:tcBorders>
            <w:tcMar>
              <w:top w:w="15" w:type="dxa"/>
              <w:left w:w="15" w:type="dxa"/>
              <w:right w:w="15" w:type="dxa"/>
            </w:tcMar>
            <w:vAlign w:val="bottom"/>
          </w:tcPr>
          <w:p w14:paraId="362B9062" w14:textId="1390B5F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r>
      <w:tr w:rsidR="0592CF55" w14:paraId="37CC08C3"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369744B" w14:textId="3B57CA8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3.16</w:t>
            </w:r>
          </w:p>
        </w:tc>
        <w:tc>
          <w:tcPr>
            <w:tcW w:w="1215" w:type="dxa"/>
            <w:tcBorders>
              <w:top w:val="nil"/>
              <w:left w:val="nil"/>
              <w:bottom w:val="nil"/>
              <w:right w:val="nil"/>
            </w:tcBorders>
            <w:tcMar>
              <w:top w:w="15" w:type="dxa"/>
              <w:left w:w="15" w:type="dxa"/>
              <w:right w:w="15" w:type="dxa"/>
            </w:tcMar>
            <w:vAlign w:val="bottom"/>
          </w:tcPr>
          <w:p w14:paraId="004B14C1" w14:textId="46F610F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3.01</w:t>
            </w:r>
          </w:p>
        </w:tc>
        <w:tc>
          <w:tcPr>
            <w:tcW w:w="1222" w:type="dxa"/>
            <w:tcBorders>
              <w:top w:val="nil"/>
              <w:left w:val="nil"/>
              <w:bottom w:val="nil"/>
              <w:right w:val="nil"/>
            </w:tcBorders>
            <w:tcMar>
              <w:top w:w="15" w:type="dxa"/>
              <w:left w:w="15" w:type="dxa"/>
              <w:right w:w="15" w:type="dxa"/>
            </w:tcMar>
            <w:vAlign w:val="bottom"/>
          </w:tcPr>
          <w:p w14:paraId="35783ED8" w14:textId="33EDE2E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24FF3ED4" w14:textId="58F4AD1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r>
      <w:tr w:rsidR="0592CF55" w14:paraId="13818C7F"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573419D" w14:textId="3F815F0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2.83</w:t>
            </w:r>
          </w:p>
        </w:tc>
        <w:tc>
          <w:tcPr>
            <w:tcW w:w="1215" w:type="dxa"/>
            <w:tcBorders>
              <w:top w:val="nil"/>
              <w:left w:val="nil"/>
              <w:bottom w:val="nil"/>
              <w:right w:val="nil"/>
            </w:tcBorders>
            <w:tcMar>
              <w:top w:w="15" w:type="dxa"/>
              <w:left w:w="15" w:type="dxa"/>
              <w:right w:w="15" w:type="dxa"/>
            </w:tcMar>
            <w:vAlign w:val="bottom"/>
          </w:tcPr>
          <w:p w14:paraId="69BCA559" w14:textId="2CB28AB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2.58</w:t>
            </w:r>
          </w:p>
        </w:tc>
        <w:tc>
          <w:tcPr>
            <w:tcW w:w="1222" w:type="dxa"/>
            <w:tcBorders>
              <w:top w:val="nil"/>
              <w:left w:val="nil"/>
              <w:bottom w:val="nil"/>
              <w:right w:val="nil"/>
            </w:tcBorders>
            <w:tcMar>
              <w:top w:w="15" w:type="dxa"/>
              <w:left w:w="15" w:type="dxa"/>
              <w:right w:w="15" w:type="dxa"/>
            </w:tcMar>
            <w:vAlign w:val="bottom"/>
          </w:tcPr>
          <w:p w14:paraId="6319356D" w14:textId="404015A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3.01</w:t>
            </w:r>
          </w:p>
        </w:tc>
        <w:tc>
          <w:tcPr>
            <w:tcW w:w="1222" w:type="dxa"/>
            <w:tcBorders>
              <w:top w:val="nil"/>
              <w:left w:val="nil"/>
              <w:bottom w:val="nil"/>
              <w:right w:val="nil"/>
            </w:tcBorders>
            <w:tcMar>
              <w:top w:w="15" w:type="dxa"/>
              <w:left w:w="15" w:type="dxa"/>
              <w:right w:w="15" w:type="dxa"/>
            </w:tcMar>
            <w:vAlign w:val="bottom"/>
          </w:tcPr>
          <w:p w14:paraId="48B55B48" w14:textId="18AF1F1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4B5036D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CC996F7" w14:textId="4C2ACF9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c>
          <w:tcPr>
            <w:tcW w:w="1215" w:type="dxa"/>
            <w:tcBorders>
              <w:top w:val="nil"/>
              <w:left w:val="nil"/>
              <w:bottom w:val="nil"/>
              <w:right w:val="nil"/>
            </w:tcBorders>
            <w:tcMar>
              <w:top w:w="15" w:type="dxa"/>
              <w:left w:w="15" w:type="dxa"/>
              <w:right w:w="15" w:type="dxa"/>
            </w:tcMar>
            <w:vAlign w:val="bottom"/>
          </w:tcPr>
          <w:p w14:paraId="50CFE435" w14:textId="0B02DCA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c>
          <w:tcPr>
            <w:tcW w:w="1222" w:type="dxa"/>
            <w:tcBorders>
              <w:top w:val="nil"/>
              <w:left w:val="nil"/>
              <w:bottom w:val="nil"/>
              <w:right w:val="nil"/>
            </w:tcBorders>
            <w:tcMar>
              <w:top w:w="15" w:type="dxa"/>
              <w:left w:w="15" w:type="dxa"/>
              <w:right w:w="15" w:type="dxa"/>
            </w:tcMar>
            <w:vAlign w:val="bottom"/>
          </w:tcPr>
          <w:p w14:paraId="1B7330DB" w14:textId="0FBF525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c>
          <w:tcPr>
            <w:tcW w:w="1222" w:type="dxa"/>
            <w:tcBorders>
              <w:top w:val="nil"/>
              <w:left w:val="nil"/>
              <w:bottom w:val="nil"/>
              <w:right w:val="nil"/>
            </w:tcBorders>
            <w:tcMar>
              <w:top w:w="15" w:type="dxa"/>
              <w:left w:w="15" w:type="dxa"/>
              <w:right w:w="15" w:type="dxa"/>
            </w:tcMar>
            <w:vAlign w:val="bottom"/>
          </w:tcPr>
          <w:p w14:paraId="358DA74C" w14:textId="080CF9E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3.20</w:t>
            </w:r>
          </w:p>
        </w:tc>
      </w:tr>
      <w:tr w:rsidR="0592CF55" w14:paraId="388264C1"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80602E9" w14:textId="79D8A5B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c>
          <w:tcPr>
            <w:tcW w:w="1215" w:type="dxa"/>
            <w:tcBorders>
              <w:top w:val="nil"/>
              <w:left w:val="nil"/>
              <w:bottom w:val="nil"/>
              <w:right w:val="nil"/>
            </w:tcBorders>
            <w:tcMar>
              <w:top w:w="15" w:type="dxa"/>
              <w:left w:w="15" w:type="dxa"/>
              <w:right w:w="15" w:type="dxa"/>
            </w:tcMar>
            <w:vAlign w:val="bottom"/>
          </w:tcPr>
          <w:p w14:paraId="356BAACD" w14:textId="742232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2.83</w:t>
            </w:r>
          </w:p>
        </w:tc>
        <w:tc>
          <w:tcPr>
            <w:tcW w:w="1222" w:type="dxa"/>
            <w:tcBorders>
              <w:top w:val="nil"/>
              <w:left w:val="nil"/>
              <w:bottom w:val="nil"/>
              <w:right w:val="nil"/>
            </w:tcBorders>
            <w:tcMar>
              <w:top w:w="15" w:type="dxa"/>
              <w:left w:w="15" w:type="dxa"/>
              <w:right w:w="15" w:type="dxa"/>
            </w:tcMar>
            <w:vAlign w:val="bottom"/>
          </w:tcPr>
          <w:p w14:paraId="68C6146C" w14:textId="27C266D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22" w:type="dxa"/>
            <w:tcBorders>
              <w:top w:val="nil"/>
              <w:left w:val="nil"/>
              <w:bottom w:val="nil"/>
              <w:right w:val="nil"/>
            </w:tcBorders>
            <w:tcMar>
              <w:top w:w="15" w:type="dxa"/>
              <w:left w:w="15" w:type="dxa"/>
              <w:right w:w="15" w:type="dxa"/>
            </w:tcMar>
            <w:vAlign w:val="bottom"/>
          </w:tcPr>
          <w:p w14:paraId="732222F4" w14:textId="4BD0AB6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5FDCAB5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04465DA" w14:textId="28AC6C1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2.69</w:t>
            </w:r>
          </w:p>
        </w:tc>
        <w:tc>
          <w:tcPr>
            <w:tcW w:w="1215" w:type="dxa"/>
            <w:tcBorders>
              <w:top w:val="nil"/>
              <w:left w:val="nil"/>
              <w:bottom w:val="nil"/>
              <w:right w:val="nil"/>
            </w:tcBorders>
            <w:tcMar>
              <w:top w:w="15" w:type="dxa"/>
              <w:left w:w="15" w:type="dxa"/>
              <w:right w:w="15" w:type="dxa"/>
            </w:tcMar>
            <w:vAlign w:val="bottom"/>
          </w:tcPr>
          <w:p w14:paraId="18E62D00" w14:textId="2A4086F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2.50</w:t>
            </w:r>
          </w:p>
        </w:tc>
        <w:tc>
          <w:tcPr>
            <w:tcW w:w="1222" w:type="dxa"/>
            <w:tcBorders>
              <w:top w:val="nil"/>
              <w:left w:val="nil"/>
              <w:bottom w:val="nil"/>
              <w:right w:val="nil"/>
            </w:tcBorders>
            <w:tcMar>
              <w:top w:w="15" w:type="dxa"/>
              <w:left w:w="15" w:type="dxa"/>
              <w:right w:w="15" w:type="dxa"/>
            </w:tcMar>
            <w:vAlign w:val="bottom"/>
          </w:tcPr>
          <w:p w14:paraId="4F251156" w14:textId="02F729A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74285F4F" w14:textId="7D6B737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19AB73F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604AA58" w14:textId="01A247A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2.81</w:t>
            </w:r>
          </w:p>
        </w:tc>
        <w:tc>
          <w:tcPr>
            <w:tcW w:w="1215" w:type="dxa"/>
            <w:tcBorders>
              <w:top w:val="nil"/>
              <w:left w:val="nil"/>
              <w:bottom w:val="nil"/>
              <w:right w:val="nil"/>
            </w:tcBorders>
            <w:tcMar>
              <w:top w:w="15" w:type="dxa"/>
              <w:left w:w="15" w:type="dxa"/>
              <w:right w:w="15" w:type="dxa"/>
            </w:tcMar>
            <w:vAlign w:val="bottom"/>
          </w:tcPr>
          <w:p w14:paraId="2DF19968" w14:textId="49B86F0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2.61</w:t>
            </w:r>
          </w:p>
        </w:tc>
        <w:tc>
          <w:tcPr>
            <w:tcW w:w="1222" w:type="dxa"/>
            <w:tcBorders>
              <w:top w:val="nil"/>
              <w:left w:val="nil"/>
              <w:bottom w:val="nil"/>
              <w:right w:val="nil"/>
            </w:tcBorders>
            <w:tcMar>
              <w:top w:w="15" w:type="dxa"/>
              <w:left w:w="15" w:type="dxa"/>
              <w:right w:w="15" w:type="dxa"/>
            </w:tcMar>
            <w:vAlign w:val="bottom"/>
          </w:tcPr>
          <w:p w14:paraId="69FDC72C" w14:textId="56A79AB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3.02</w:t>
            </w:r>
          </w:p>
        </w:tc>
        <w:tc>
          <w:tcPr>
            <w:tcW w:w="1222" w:type="dxa"/>
            <w:tcBorders>
              <w:top w:val="nil"/>
              <w:left w:val="nil"/>
              <w:bottom w:val="nil"/>
              <w:right w:val="nil"/>
            </w:tcBorders>
            <w:tcMar>
              <w:top w:w="15" w:type="dxa"/>
              <w:left w:w="15" w:type="dxa"/>
              <w:right w:w="15" w:type="dxa"/>
            </w:tcMar>
            <w:vAlign w:val="bottom"/>
          </w:tcPr>
          <w:p w14:paraId="0E6B1E81" w14:textId="3B2FE4A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078E5C8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05FAAD1" w14:textId="060142D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2.60</w:t>
            </w:r>
          </w:p>
        </w:tc>
        <w:tc>
          <w:tcPr>
            <w:tcW w:w="1215" w:type="dxa"/>
            <w:tcBorders>
              <w:top w:val="nil"/>
              <w:left w:val="nil"/>
              <w:bottom w:val="nil"/>
              <w:right w:val="nil"/>
            </w:tcBorders>
            <w:tcMar>
              <w:top w:w="15" w:type="dxa"/>
              <w:left w:w="15" w:type="dxa"/>
              <w:right w:w="15" w:type="dxa"/>
            </w:tcMar>
            <w:vAlign w:val="bottom"/>
          </w:tcPr>
          <w:p w14:paraId="44084F08" w14:textId="0B5B511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2.23</w:t>
            </w:r>
          </w:p>
        </w:tc>
        <w:tc>
          <w:tcPr>
            <w:tcW w:w="1222" w:type="dxa"/>
            <w:tcBorders>
              <w:top w:val="nil"/>
              <w:left w:val="nil"/>
              <w:bottom w:val="nil"/>
              <w:right w:val="nil"/>
            </w:tcBorders>
            <w:tcMar>
              <w:top w:w="15" w:type="dxa"/>
              <w:left w:w="15" w:type="dxa"/>
              <w:right w:w="15" w:type="dxa"/>
            </w:tcMar>
            <w:vAlign w:val="bottom"/>
          </w:tcPr>
          <w:p w14:paraId="63F8D281" w14:textId="539568A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2.88</w:t>
            </w:r>
          </w:p>
        </w:tc>
        <w:tc>
          <w:tcPr>
            <w:tcW w:w="1222" w:type="dxa"/>
            <w:tcBorders>
              <w:top w:val="nil"/>
              <w:left w:val="nil"/>
              <w:bottom w:val="nil"/>
              <w:right w:val="nil"/>
            </w:tcBorders>
            <w:tcMar>
              <w:top w:w="15" w:type="dxa"/>
              <w:left w:w="15" w:type="dxa"/>
              <w:right w:w="15" w:type="dxa"/>
            </w:tcMar>
            <w:vAlign w:val="bottom"/>
          </w:tcPr>
          <w:p w14:paraId="6AD2126A" w14:textId="2928D89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r>
      <w:tr w:rsidR="0592CF55" w14:paraId="2EF4B862"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5ECA383" w14:textId="14985F5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c>
          <w:tcPr>
            <w:tcW w:w="1215" w:type="dxa"/>
            <w:tcBorders>
              <w:top w:val="nil"/>
              <w:left w:val="nil"/>
              <w:bottom w:val="nil"/>
              <w:right w:val="nil"/>
            </w:tcBorders>
            <w:tcMar>
              <w:top w:w="15" w:type="dxa"/>
              <w:left w:w="15" w:type="dxa"/>
              <w:right w:w="15" w:type="dxa"/>
            </w:tcMar>
            <w:vAlign w:val="bottom"/>
          </w:tcPr>
          <w:p w14:paraId="0A853C5F" w14:textId="1FA3969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2.82</w:t>
            </w:r>
          </w:p>
        </w:tc>
        <w:tc>
          <w:tcPr>
            <w:tcW w:w="1222" w:type="dxa"/>
            <w:tcBorders>
              <w:top w:val="nil"/>
              <w:left w:val="nil"/>
              <w:bottom w:val="nil"/>
              <w:right w:val="nil"/>
            </w:tcBorders>
            <w:tcMar>
              <w:top w:w="15" w:type="dxa"/>
              <w:left w:w="15" w:type="dxa"/>
              <w:right w:w="15" w:type="dxa"/>
            </w:tcMar>
            <w:vAlign w:val="bottom"/>
          </w:tcPr>
          <w:p w14:paraId="5468C1E4" w14:textId="0D82053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597CE99D" w14:textId="6678473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1C282D6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C1EC839" w14:textId="11890B0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3.23</w:t>
            </w:r>
          </w:p>
        </w:tc>
        <w:tc>
          <w:tcPr>
            <w:tcW w:w="1215" w:type="dxa"/>
            <w:tcBorders>
              <w:top w:val="nil"/>
              <w:left w:val="nil"/>
              <w:bottom w:val="nil"/>
              <w:right w:val="nil"/>
            </w:tcBorders>
            <w:tcMar>
              <w:top w:w="15" w:type="dxa"/>
              <w:left w:w="15" w:type="dxa"/>
              <w:right w:w="15" w:type="dxa"/>
            </w:tcMar>
            <w:vAlign w:val="bottom"/>
          </w:tcPr>
          <w:p w14:paraId="2917DC1F" w14:textId="4DEA6DD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3.07</w:t>
            </w:r>
          </w:p>
        </w:tc>
        <w:tc>
          <w:tcPr>
            <w:tcW w:w="1222" w:type="dxa"/>
            <w:tcBorders>
              <w:top w:val="nil"/>
              <w:left w:val="nil"/>
              <w:bottom w:val="nil"/>
              <w:right w:val="nil"/>
            </w:tcBorders>
            <w:tcMar>
              <w:top w:w="15" w:type="dxa"/>
              <w:left w:w="15" w:type="dxa"/>
              <w:right w:w="15" w:type="dxa"/>
            </w:tcMar>
            <w:vAlign w:val="bottom"/>
          </w:tcPr>
          <w:p w14:paraId="594B6622" w14:textId="550D217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3.16</w:t>
            </w:r>
          </w:p>
        </w:tc>
        <w:tc>
          <w:tcPr>
            <w:tcW w:w="1222" w:type="dxa"/>
            <w:tcBorders>
              <w:top w:val="nil"/>
              <w:left w:val="nil"/>
              <w:bottom w:val="nil"/>
              <w:right w:val="nil"/>
            </w:tcBorders>
            <w:tcMar>
              <w:top w:w="15" w:type="dxa"/>
              <w:left w:w="15" w:type="dxa"/>
              <w:right w:w="15" w:type="dxa"/>
            </w:tcMar>
            <w:vAlign w:val="bottom"/>
          </w:tcPr>
          <w:p w14:paraId="30D0BFA9" w14:textId="30105B0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r>
      <w:tr w:rsidR="0592CF55" w14:paraId="05799470"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8FFD69E" w14:textId="1114B96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2.62</w:t>
            </w:r>
          </w:p>
        </w:tc>
        <w:tc>
          <w:tcPr>
            <w:tcW w:w="1215" w:type="dxa"/>
            <w:tcBorders>
              <w:top w:val="nil"/>
              <w:left w:val="nil"/>
              <w:bottom w:val="nil"/>
              <w:right w:val="nil"/>
            </w:tcBorders>
            <w:tcMar>
              <w:top w:w="15" w:type="dxa"/>
              <w:left w:w="15" w:type="dxa"/>
              <w:right w:w="15" w:type="dxa"/>
            </w:tcMar>
            <w:vAlign w:val="bottom"/>
          </w:tcPr>
          <w:p w14:paraId="10652FC8" w14:textId="25DB63F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2.33</w:t>
            </w:r>
          </w:p>
        </w:tc>
        <w:tc>
          <w:tcPr>
            <w:tcW w:w="1222" w:type="dxa"/>
            <w:tcBorders>
              <w:top w:val="nil"/>
              <w:left w:val="nil"/>
              <w:bottom w:val="nil"/>
              <w:right w:val="nil"/>
            </w:tcBorders>
            <w:tcMar>
              <w:top w:w="15" w:type="dxa"/>
              <w:left w:w="15" w:type="dxa"/>
              <w:right w:w="15" w:type="dxa"/>
            </w:tcMar>
            <w:vAlign w:val="bottom"/>
          </w:tcPr>
          <w:p w14:paraId="202B00F5" w14:textId="0F7AF34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2.93</w:t>
            </w:r>
          </w:p>
        </w:tc>
        <w:tc>
          <w:tcPr>
            <w:tcW w:w="1222" w:type="dxa"/>
            <w:tcBorders>
              <w:top w:val="nil"/>
              <w:left w:val="nil"/>
              <w:bottom w:val="nil"/>
              <w:right w:val="nil"/>
            </w:tcBorders>
            <w:tcMar>
              <w:top w:w="15" w:type="dxa"/>
              <w:left w:w="15" w:type="dxa"/>
              <w:right w:w="15" w:type="dxa"/>
            </w:tcMar>
            <w:vAlign w:val="bottom"/>
          </w:tcPr>
          <w:p w14:paraId="107120D5" w14:textId="28E95CF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r>
      <w:tr w:rsidR="0592CF55" w14:paraId="1D6F8909"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99AA6FE" w14:textId="4896715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15" w:type="dxa"/>
            <w:tcBorders>
              <w:top w:val="nil"/>
              <w:left w:val="nil"/>
              <w:bottom w:val="nil"/>
              <w:right w:val="nil"/>
            </w:tcBorders>
            <w:tcMar>
              <w:top w:w="15" w:type="dxa"/>
              <w:left w:w="15" w:type="dxa"/>
              <w:right w:w="15" w:type="dxa"/>
            </w:tcMar>
            <w:vAlign w:val="bottom"/>
          </w:tcPr>
          <w:p w14:paraId="00CB28E8" w14:textId="3A830BB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2.67</w:t>
            </w:r>
          </w:p>
        </w:tc>
        <w:tc>
          <w:tcPr>
            <w:tcW w:w="1222" w:type="dxa"/>
            <w:tcBorders>
              <w:top w:val="nil"/>
              <w:left w:val="nil"/>
              <w:bottom w:val="nil"/>
              <w:right w:val="nil"/>
            </w:tcBorders>
            <w:tcMar>
              <w:top w:w="15" w:type="dxa"/>
              <w:left w:w="15" w:type="dxa"/>
              <w:right w:w="15" w:type="dxa"/>
            </w:tcMar>
            <w:vAlign w:val="bottom"/>
          </w:tcPr>
          <w:p w14:paraId="789EFF7A" w14:textId="2D3E85D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3.05</w:t>
            </w:r>
          </w:p>
        </w:tc>
        <w:tc>
          <w:tcPr>
            <w:tcW w:w="1222" w:type="dxa"/>
            <w:tcBorders>
              <w:top w:val="nil"/>
              <w:left w:val="nil"/>
              <w:bottom w:val="nil"/>
              <w:right w:val="nil"/>
            </w:tcBorders>
            <w:tcMar>
              <w:top w:w="15" w:type="dxa"/>
              <w:left w:w="15" w:type="dxa"/>
              <w:right w:w="15" w:type="dxa"/>
            </w:tcMar>
            <w:vAlign w:val="bottom"/>
          </w:tcPr>
          <w:p w14:paraId="4276ED20" w14:textId="0144D32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050B7E3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7FDC026" w14:textId="1F82448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2.72</w:t>
            </w:r>
          </w:p>
        </w:tc>
        <w:tc>
          <w:tcPr>
            <w:tcW w:w="1215" w:type="dxa"/>
            <w:tcBorders>
              <w:top w:val="nil"/>
              <w:left w:val="nil"/>
              <w:bottom w:val="nil"/>
              <w:right w:val="nil"/>
            </w:tcBorders>
            <w:tcMar>
              <w:top w:w="15" w:type="dxa"/>
              <w:left w:w="15" w:type="dxa"/>
              <w:right w:w="15" w:type="dxa"/>
            </w:tcMar>
            <w:vAlign w:val="bottom"/>
          </w:tcPr>
          <w:p w14:paraId="7896E0DE" w14:textId="6644048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2.48</w:t>
            </w:r>
          </w:p>
        </w:tc>
        <w:tc>
          <w:tcPr>
            <w:tcW w:w="1222" w:type="dxa"/>
            <w:tcBorders>
              <w:top w:val="nil"/>
              <w:left w:val="nil"/>
              <w:bottom w:val="nil"/>
              <w:right w:val="nil"/>
            </w:tcBorders>
            <w:tcMar>
              <w:top w:w="15" w:type="dxa"/>
              <w:left w:w="15" w:type="dxa"/>
              <w:right w:w="15" w:type="dxa"/>
            </w:tcMar>
            <w:vAlign w:val="bottom"/>
          </w:tcPr>
          <w:p w14:paraId="7BDD452D" w14:textId="7B1DA4B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04A41B01" w14:textId="6E6090A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2EE0E76D"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F92AF2A" w14:textId="559DF6B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15" w:type="dxa"/>
            <w:tcBorders>
              <w:top w:val="nil"/>
              <w:left w:val="nil"/>
              <w:bottom w:val="nil"/>
              <w:right w:val="nil"/>
            </w:tcBorders>
            <w:tcMar>
              <w:top w:w="15" w:type="dxa"/>
              <w:left w:w="15" w:type="dxa"/>
              <w:right w:w="15" w:type="dxa"/>
            </w:tcMar>
            <w:vAlign w:val="bottom"/>
          </w:tcPr>
          <w:p w14:paraId="224191A4" w14:textId="463968D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22" w:type="dxa"/>
            <w:tcBorders>
              <w:top w:val="nil"/>
              <w:left w:val="nil"/>
              <w:bottom w:val="nil"/>
              <w:right w:val="nil"/>
            </w:tcBorders>
            <w:tcMar>
              <w:top w:w="15" w:type="dxa"/>
              <w:left w:w="15" w:type="dxa"/>
              <w:right w:w="15" w:type="dxa"/>
            </w:tcMar>
            <w:vAlign w:val="bottom"/>
          </w:tcPr>
          <w:p w14:paraId="0EE383CE" w14:textId="31886E1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3.10</w:t>
            </w:r>
          </w:p>
        </w:tc>
        <w:tc>
          <w:tcPr>
            <w:tcW w:w="1222" w:type="dxa"/>
            <w:tcBorders>
              <w:top w:val="nil"/>
              <w:left w:val="nil"/>
              <w:bottom w:val="nil"/>
              <w:right w:val="nil"/>
            </w:tcBorders>
            <w:tcMar>
              <w:top w:w="15" w:type="dxa"/>
              <w:left w:w="15" w:type="dxa"/>
              <w:right w:w="15" w:type="dxa"/>
            </w:tcMar>
            <w:vAlign w:val="bottom"/>
          </w:tcPr>
          <w:p w14:paraId="2BB36538" w14:textId="05E5AD9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r>
      <w:tr w:rsidR="0592CF55" w14:paraId="3E9B292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41D8BD6" w14:textId="6996FCA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2.59</w:t>
            </w:r>
          </w:p>
        </w:tc>
        <w:tc>
          <w:tcPr>
            <w:tcW w:w="1215" w:type="dxa"/>
            <w:tcBorders>
              <w:top w:val="nil"/>
              <w:left w:val="nil"/>
              <w:bottom w:val="nil"/>
              <w:right w:val="nil"/>
            </w:tcBorders>
            <w:tcMar>
              <w:top w:w="15" w:type="dxa"/>
              <w:left w:w="15" w:type="dxa"/>
              <w:right w:w="15" w:type="dxa"/>
            </w:tcMar>
            <w:vAlign w:val="bottom"/>
          </w:tcPr>
          <w:p w14:paraId="04DC0A6A" w14:textId="3947131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2.24</w:t>
            </w:r>
          </w:p>
        </w:tc>
        <w:tc>
          <w:tcPr>
            <w:tcW w:w="1222" w:type="dxa"/>
            <w:tcBorders>
              <w:top w:val="nil"/>
              <w:left w:val="nil"/>
              <w:bottom w:val="nil"/>
              <w:right w:val="nil"/>
            </w:tcBorders>
            <w:tcMar>
              <w:top w:w="15" w:type="dxa"/>
              <w:left w:w="15" w:type="dxa"/>
              <w:right w:w="15" w:type="dxa"/>
            </w:tcMar>
            <w:vAlign w:val="bottom"/>
          </w:tcPr>
          <w:p w14:paraId="41A09493" w14:textId="7A0F210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22" w:type="dxa"/>
            <w:tcBorders>
              <w:top w:val="nil"/>
              <w:left w:val="nil"/>
              <w:bottom w:val="nil"/>
              <w:right w:val="nil"/>
            </w:tcBorders>
            <w:tcMar>
              <w:top w:w="15" w:type="dxa"/>
              <w:left w:w="15" w:type="dxa"/>
              <w:right w:w="15" w:type="dxa"/>
            </w:tcMar>
            <w:vAlign w:val="bottom"/>
          </w:tcPr>
          <w:p w14:paraId="7D574AA0" w14:textId="4CC2DA2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3.02</w:t>
            </w:r>
          </w:p>
        </w:tc>
      </w:tr>
      <w:tr w:rsidR="0592CF55" w14:paraId="7A7DE7D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13B7813F" w14:textId="08D5387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2.59</w:t>
            </w:r>
          </w:p>
        </w:tc>
        <w:tc>
          <w:tcPr>
            <w:tcW w:w="1215" w:type="dxa"/>
            <w:tcBorders>
              <w:top w:val="nil"/>
              <w:left w:val="nil"/>
              <w:bottom w:val="nil"/>
              <w:right w:val="nil"/>
            </w:tcBorders>
            <w:tcMar>
              <w:top w:w="15" w:type="dxa"/>
              <w:left w:w="15" w:type="dxa"/>
              <w:right w:w="15" w:type="dxa"/>
            </w:tcMar>
            <w:vAlign w:val="bottom"/>
          </w:tcPr>
          <w:p w14:paraId="5F744ED5" w14:textId="6691B04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2.28</w:t>
            </w:r>
          </w:p>
        </w:tc>
        <w:tc>
          <w:tcPr>
            <w:tcW w:w="1222" w:type="dxa"/>
            <w:tcBorders>
              <w:top w:val="nil"/>
              <w:left w:val="nil"/>
              <w:bottom w:val="nil"/>
              <w:right w:val="nil"/>
            </w:tcBorders>
            <w:tcMar>
              <w:top w:w="15" w:type="dxa"/>
              <w:left w:w="15" w:type="dxa"/>
              <w:right w:w="15" w:type="dxa"/>
            </w:tcMar>
            <w:vAlign w:val="bottom"/>
          </w:tcPr>
          <w:p w14:paraId="6B631EF2" w14:textId="7B6AAE9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2.90</w:t>
            </w:r>
          </w:p>
        </w:tc>
        <w:tc>
          <w:tcPr>
            <w:tcW w:w="1222" w:type="dxa"/>
            <w:tcBorders>
              <w:top w:val="nil"/>
              <w:left w:val="nil"/>
              <w:bottom w:val="nil"/>
              <w:right w:val="nil"/>
            </w:tcBorders>
            <w:tcMar>
              <w:top w:w="15" w:type="dxa"/>
              <w:left w:w="15" w:type="dxa"/>
              <w:right w:w="15" w:type="dxa"/>
            </w:tcMar>
            <w:vAlign w:val="bottom"/>
          </w:tcPr>
          <w:p w14:paraId="47D6F5AA" w14:textId="42F256A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r>
      <w:tr w:rsidR="0592CF55" w14:paraId="01A5B08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9D56B9F" w14:textId="3141DDF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lastRenderedPageBreak/>
              <w:t>2.81</w:t>
            </w:r>
          </w:p>
        </w:tc>
        <w:tc>
          <w:tcPr>
            <w:tcW w:w="1215" w:type="dxa"/>
            <w:tcBorders>
              <w:top w:val="nil"/>
              <w:left w:val="nil"/>
              <w:bottom w:val="nil"/>
              <w:right w:val="nil"/>
            </w:tcBorders>
            <w:tcMar>
              <w:top w:w="15" w:type="dxa"/>
              <w:left w:w="15" w:type="dxa"/>
              <w:right w:w="15" w:type="dxa"/>
            </w:tcMar>
            <w:vAlign w:val="bottom"/>
          </w:tcPr>
          <w:p w14:paraId="53177F2C" w14:textId="1323AC2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2.52</w:t>
            </w:r>
          </w:p>
        </w:tc>
        <w:tc>
          <w:tcPr>
            <w:tcW w:w="1222" w:type="dxa"/>
            <w:tcBorders>
              <w:top w:val="nil"/>
              <w:left w:val="nil"/>
              <w:bottom w:val="nil"/>
              <w:right w:val="nil"/>
            </w:tcBorders>
            <w:tcMar>
              <w:top w:w="15" w:type="dxa"/>
              <w:left w:w="15" w:type="dxa"/>
              <w:right w:w="15" w:type="dxa"/>
            </w:tcMar>
            <w:vAlign w:val="bottom"/>
          </w:tcPr>
          <w:p w14:paraId="6124ADA9" w14:textId="5C0E4C2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2.99</w:t>
            </w:r>
          </w:p>
        </w:tc>
        <w:tc>
          <w:tcPr>
            <w:tcW w:w="1222" w:type="dxa"/>
            <w:tcBorders>
              <w:top w:val="nil"/>
              <w:left w:val="nil"/>
              <w:bottom w:val="nil"/>
              <w:right w:val="nil"/>
            </w:tcBorders>
            <w:tcMar>
              <w:top w:w="15" w:type="dxa"/>
              <w:left w:w="15" w:type="dxa"/>
              <w:right w:w="15" w:type="dxa"/>
            </w:tcMar>
            <w:vAlign w:val="bottom"/>
          </w:tcPr>
          <w:p w14:paraId="689D1D88" w14:textId="33D930B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3.10</w:t>
            </w:r>
          </w:p>
        </w:tc>
      </w:tr>
      <w:tr w:rsidR="0592CF55" w14:paraId="2CD38DA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B8ECEFF" w14:textId="01EE441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2.57</w:t>
            </w:r>
          </w:p>
        </w:tc>
        <w:tc>
          <w:tcPr>
            <w:tcW w:w="1215" w:type="dxa"/>
            <w:tcBorders>
              <w:top w:val="nil"/>
              <w:left w:val="nil"/>
              <w:bottom w:val="nil"/>
              <w:right w:val="nil"/>
            </w:tcBorders>
            <w:tcMar>
              <w:top w:w="15" w:type="dxa"/>
              <w:left w:w="15" w:type="dxa"/>
              <w:right w:w="15" w:type="dxa"/>
            </w:tcMar>
            <w:vAlign w:val="bottom"/>
          </w:tcPr>
          <w:p w14:paraId="0CB3E978" w14:textId="5769EDC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2.22</w:t>
            </w:r>
          </w:p>
        </w:tc>
        <w:tc>
          <w:tcPr>
            <w:tcW w:w="1222" w:type="dxa"/>
            <w:tcBorders>
              <w:top w:val="nil"/>
              <w:left w:val="nil"/>
              <w:bottom w:val="nil"/>
              <w:right w:val="nil"/>
            </w:tcBorders>
            <w:tcMar>
              <w:top w:w="15" w:type="dxa"/>
              <w:left w:w="15" w:type="dxa"/>
              <w:right w:w="15" w:type="dxa"/>
            </w:tcMar>
            <w:vAlign w:val="bottom"/>
          </w:tcPr>
          <w:p w14:paraId="748B09B7" w14:textId="0900168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22" w:type="dxa"/>
            <w:tcBorders>
              <w:top w:val="nil"/>
              <w:left w:val="nil"/>
              <w:bottom w:val="nil"/>
              <w:right w:val="nil"/>
            </w:tcBorders>
            <w:tcMar>
              <w:top w:w="15" w:type="dxa"/>
              <w:left w:w="15" w:type="dxa"/>
              <w:right w:w="15" w:type="dxa"/>
            </w:tcMar>
            <w:vAlign w:val="bottom"/>
          </w:tcPr>
          <w:p w14:paraId="373481D9" w14:textId="6C6337B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r>
      <w:tr w:rsidR="0592CF55" w14:paraId="2965440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C95F4E4" w14:textId="1EC28A4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2.94</w:t>
            </w:r>
          </w:p>
        </w:tc>
        <w:tc>
          <w:tcPr>
            <w:tcW w:w="1215" w:type="dxa"/>
            <w:tcBorders>
              <w:top w:val="nil"/>
              <w:left w:val="nil"/>
              <w:bottom w:val="nil"/>
              <w:right w:val="nil"/>
            </w:tcBorders>
            <w:tcMar>
              <w:top w:w="15" w:type="dxa"/>
              <w:left w:w="15" w:type="dxa"/>
              <w:right w:w="15" w:type="dxa"/>
            </w:tcMar>
            <w:vAlign w:val="bottom"/>
          </w:tcPr>
          <w:p w14:paraId="0F6C8D8F" w14:textId="3B30E27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2.82</w:t>
            </w:r>
          </w:p>
        </w:tc>
        <w:tc>
          <w:tcPr>
            <w:tcW w:w="1222" w:type="dxa"/>
            <w:tcBorders>
              <w:top w:val="nil"/>
              <w:left w:val="nil"/>
              <w:bottom w:val="nil"/>
              <w:right w:val="nil"/>
            </w:tcBorders>
            <w:tcMar>
              <w:top w:w="15" w:type="dxa"/>
              <w:left w:w="15" w:type="dxa"/>
              <w:right w:w="15" w:type="dxa"/>
            </w:tcMar>
            <w:vAlign w:val="bottom"/>
          </w:tcPr>
          <w:p w14:paraId="4F68D805" w14:textId="6E301D9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72494CD5" w14:textId="1366174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5F26F6B5"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5114130" w14:textId="597082C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2.94</w:t>
            </w:r>
          </w:p>
        </w:tc>
        <w:tc>
          <w:tcPr>
            <w:tcW w:w="1215" w:type="dxa"/>
            <w:tcBorders>
              <w:top w:val="nil"/>
              <w:left w:val="nil"/>
              <w:bottom w:val="nil"/>
              <w:right w:val="nil"/>
            </w:tcBorders>
            <w:tcMar>
              <w:top w:w="15" w:type="dxa"/>
              <w:left w:w="15" w:type="dxa"/>
              <w:right w:w="15" w:type="dxa"/>
            </w:tcMar>
            <w:vAlign w:val="bottom"/>
          </w:tcPr>
          <w:p w14:paraId="6C3316BA" w14:textId="290448C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2.73</w:t>
            </w:r>
          </w:p>
        </w:tc>
        <w:tc>
          <w:tcPr>
            <w:tcW w:w="1222" w:type="dxa"/>
            <w:tcBorders>
              <w:top w:val="nil"/>
              <w:left w:val="nil"/>
              <w:bottom w:val="nil"/>
              <w:right w:val="nil"/>
            </w:tcBorders>
            <w:tcMar>
              <w:top w:w="15" w:type="dxa"/>
              <w:left w:w="15" w:type="dxa"/>
              <w:right w:w="15" w:type="dxa"/>
            </w:tcMar>
            <w:vAlign w:val="bottom"/>
          </w:tcPr>
          <w:p w14:paraId="6396815B" w14:textId="50532A8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c>
          <w:tcPr>
            <w:tcW w:w="1222" w:type="dxa"/>
            <w:tcBorders>
              <w:top w:val="nil"/>
              <w:left w:val="nil"/>
              <w:bottom w:val="nil"/>
              <w:right w:val="nil"/>
            </w:tcBorders>
            <w:tcMar>
              <w:top w:w="15" w:type="dxa"/>
              <w:left w:w="15" w:type="dxa"/>
              <w:right w:w="15" w:type="dxa"/>
            </w:tcMar>
            <w:vAlign w:val="bottom"/>
          </w:tcPr>
          <w:p w14:paraId="3D84A2D8" w14:textId="74BFD97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16B267C2"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B072904" w14:textId="7D9E146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2.63</w:t>
            </w:r>
          </w:p>
        </w:tc>
        <w:tc>
          <w:tcPr>
            <w:tcW w:w="1215" w:type="dxa"/>
            <w:tcBorders>
              <w:top w:val="nil"/>
              <w:left w:val="nil"/>
              <w:bottom w:val="nil"/>
              <w:right w:val="nil"/>
            </w:tcBorders>
            <w:tcMar>
              <w:top w:w="15" w:type="dxa"/>
              <w:left w:w="15" w:type="dxa"/>
              <w:right w:w="15" w:type="dxa"/>
            </w:tcMar>
            <w:vAlign w:val="bottom"/>
          </w:tcPr>
          <w:p w14:paraId="4E0B9D45" w14:textId="0EB9A82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2.40</w:t>
            </w:r>
          </w:p>
        </w:tc>
        <w:tc>
          <w:tcPr>
            <w:tcW w:w="1222" w:type="dxa"/>
            <w:tcBorders>
              <w:top w:val="nil"/>
              <w:left w:val="nil"/>
              <w:bottom w:val="nil"/>
              <w:right w:val="nil"/>
            </w:tcBorders>
            <w:tcMar>
              <w:top w:w="15" w:type="dxa"/>
              <w:left w:w="15" w:type="dxa"/>
              <w:right w:w="15" w:type="dxa"/>
            </w:tcMar>
            <w:vAlign w:val="bottom"/>
          </w:tcPr>
          <w:p w14:paraId="0F1A4CB8" w14:textId="540D570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2.96</w:t>
            </w:r>
          </w:p>
        </w:tc>
        <w:tc>
          <w:tcPr>
            <w:tcW w:w="1222" w:type="dxa"/>
            <w:tcBorders>
              <w:top w:val="nil"/>
              <w:left w:val="nil"/>
              <w:bottom w:val="nil"/>
              <w:right w:val="nil"/>
            </w:tcBorders>
            <w:tcMar>
              <w:top w:w="15" w:type="dxa"/>
              <w:left w:w="15" w:type="dxa"/>
              <w:right w:w="15" w:type="dxa"/>
            </w:tcMar>
            <w:vAlign w:val="bottom"/>
          </w:tcPr>
          <w:p w14:paraId="045573C3" w14:textId="2708C51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r>
      <w:tr w:rsidR="0592CF55" w14:paraId="4ACEC407"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A16A303" w14:textId="6464F63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c>
          <w:tcPr>
            <w:tcW w:w="1215" w:type="dxa"/>
            <w:tcBorders>
              <w:top w:val="nil"/>
              <w:left w:val="nil"/>
              <w:bottom w:val="nil"/>
              <w:right w:val="nil"/>
            </w:tcBorders>
            <w:tcMar>
              <w:top w:w="15" w:type="dxa"/>
              <w:left w:w="15" w:type="dxa"/>
              <w:right w:w="15" w:type="dxa"/>
            </w:tcMar>
            <w:vAlign w:val="bottom"/>
          </w:tcPr>
          <w:p w14:paraId="4F79D648" w14:textId="3C52A6C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2.95</w:t>
            </w:r>
          </w:p>
        </w:tc>
        <w:tc>
          <w:tcPr>
            <w:tcW w:w="1222" w:type="dxa"/>
            <w:tcBorders>
              <w:top w:val="nil"/>
              <w:left w:val="nil"/>
              <w:bottom w:val="nil"/>
              <w:right w:val="nil"/>
            </w:tcBorders>
            <w:tcMar>
              <w:top w:w="15" w:type="dxa"/>
              <w:left w:w="15" w:type="dxa"/>
              <w:right w:w="15" w:type="dxa"/>
            </w:tcMar>
            <w:vAlign w:val="bottom"/>
          </w:tcPr>
          <w:p w14:paraId="64462006" w14:textId="040B68F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3.13</w:t>
            </w:r>
          </w:p>
        </w:tc>
        <w:tc>
          <w:tcPr>
            <w:tcW w:w="1222" w:type="dxa"/>
            <w:tcBorders>
              <w:top w:val="nil"/>
              <w:left w:val="nil"/>
              <w:bottom w:val="nil"/>
              <w:right w:val="nil"/>
            </w:tcBorders>
            <w:tcMar>
              <w:top w:w="15" w:type="dxa"/>
              <w:left w:w="15" w:type="dxa"/>
              <w:right w:w="15" w:type="dxa"/>
            </w:tcMar>
            <w:vAlign w:val="bottom"/>
          </w:tcPr>
          <w:p w14:paraId="74F3B1E9" w14:textId="10FE7E9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r>
      <w:tr w:rsidR="0592CF55" w14:paraId="663D107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E59202E" w14:textId="06F5D7C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2.72</w:t>
            </w:r>
          </w:p>
        </w:tc>
        <w:tc>
          <w:tcPr>
            <w:tcW w:w="1215" w:type="dxa"/>
            <w:tcBorders>
              <w:top w:val="nil"/>
              <w:left w:val="nil"/>
              <w:bottom w:val="nil"/>
              <w:right w:val="nil"/>
            </w:tcBorders>
            <w:tcMar>
              <w:top w:w="15" w:type="dxa"/>
              <w:left w:w="15" w:type="dxa"/>
              <w:right w:w="15" w:type="dxa"/>
            </w:tcMar>
            <w:vAlign w:val="bottom"/>
          </w:tcPr>
          <w:p w14:paraId="75574BC8" w14:textId="166F250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2.50</w:t>
            </w:r>
          </w:p>
        </w:tc>
        <w:tc>
          <w:tcPr>
            <w:tcW w:w="1222" w:type="dxa"/>
            <w:tcBorders>
              <w:top w:val="nil"/>
              <w:left w:val="nil"/>
              <w:bottom w:val="nil"/>
              <w:right w:val="nil"/>
            </w:tcBorders>
            <w:tcMar>
              <w:top w:w="15" w:type="dxa"/>
              <w:left w:w="15" w:type="dxa"/>
              <w:right w:w="15" w:type="dxa"/>
            </w:tcMar>
            <w:vAlign w:val="bottom"/>
          </w:tcPr>
          <w:p w14:paraId="5E0C4AAA" w14:textId="129B733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22" w:type="dxa"/>
            <w:tcBorders>
              <w:top w:val="nil"/>
              <w:left w:val="nil"/>
              <w:bottom w:val="nil"/>
              <w:right w:val="nil"/>
            </w:tcBorders>
            <w:tcMar>
              <w:top w:w="15" w:type="dxa"/>
              <w:left w:w="15" w:type="dxa"/>
              <w:right w:w="15" w:type="dxa"/>
            </w:tcMar>
            <w:vAlign w:val="bottom"/>
          </w:tcPr>
          <w:p w14:paraId="308A2EF3" w14:textId="371AFD2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78F5A8A8"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88A06FC" w14:textId="59791FC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2.77</w:t>
            </w:r>
          </w:p>
        </w:tc>
        <w:tc>
          <w:tcPr>
            <w:tcW w:w="1215" w:type="dxa"/>
            <w:tcBorders>
              <w:top w:val="nil"/>
              <w:left w:val="nil"/>
              <w:bottom w:val="nil"/>
              <w:right w:val="nil"/>
            </w:tcBorders>
            <w:tcMar>
              <w:top w:w="15" w:type="dxa"/>
              <w:left w:w="15" w:type="dxa"/>
              <w:right w:w="15" w:type="dxa"/>
            </w:tcMar>
            <w:vAlign w:val="bottom"/>
          </w:tcPr>
          <w:p w14:paraId="3F08B03A" w14:textId="2F96E35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2.59</w:t>
            </w:r>
          </w:p>
        </w:tc>
        <w:tc>
          <w:tcPr>
            <w:tcW w:w="1222" w:type="dxa"/>
            <w:tcBorders>
              <w:top w:val="nil"/>
              <w:left w:val="nil"/>
              <w:bottom w:val="nil"/>
              <w:right w:val="nil"/>
            </w:tcBorders>
            <w:tcMar>
              <w:top w:w="15" w:type="dxa"/>
              <w:left w:w="15" w:type="dxa"/>
              <w:right w:w="15" w:type="dxa"/>
            </w:tcMar>
            <w:vAlign w:val="bottom"/>
          </w:tcPr>
          <w:p w14:paraId="6FF99FC4" w14:textId="187C5EC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3.01</w:t>
            </w:r>
          </w:p>
        </w:tc>
        <w:tc>
          <w:tcPr>
            <w:tcW w:w="1222" w:type="dxa"/>
            <w:tcBorders>
              <w:top w:val="nil"/>
              <w:left w:val="nil"/>
              <w:bottom w:val="nil"/>
              <w:right w:val="nil"/>
            </w:tcBorders>
            <w:tcMar>
              <w:top w:w="15" w:type="dxa"/>
              <w:left w:w="15" w:type="dxa"/>
              <w:right w:w="15" w:type="dxa"/>
            </w:tcMar>
            <w:vAlign w:val="bottom"/>
          </w:tcPr>
          <w:p w14:paraId="5A8C4BE0" w14:textId="6A8C9D1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08AC3C2D"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D354426" w14:textId="500D3F4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2.89</w:t>
            </w:r>
          </w:p>
        </w:tc>
        <w:tc>
          <w:tcPr>
            <w:tcW w:w="1215" w:type="dxa"/>
            <w:tcBorders>
              <w:top w:val="nil"/>
              <w:left w:val="nil"/>
              <w:bottom w:val="nil"/>
              <w:right w:val="nil"/>
            </w:tcBorders>
            <w:tcMar>
              <w:top w:w="15" w:type="dxa"/>
              <w:left w:w="15" w:type="dxa"/>
              <w:right w:w="15" w:type="dxa"/>
            </w:tcMar>
            <w:vAlign w:val="bottom"/>
          </w:tcPr>
          <w:p w14:paraId="05BFC65B" w14:textId="671957E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2.74</w:t>
            </w:r>
          </w:p>
        </w:tc>
        <w:tc>
          <w:tcPr>
            <w:tcW w:w="1222" w:type="dxa"/>
            <w:tcBorders>
              <w:top w:val="nil"/>
              <w:left w:val="nil"/>
              <w:bottom w:val="nil"/>
              <w:right w:val="nil"/>
            </w:tcBorders>
            <w:tcMar>
              <w:top w:w="15" w:type="dxa"/>
              <w:left w:w="15" w:type="dxa"/>
              <w:right w:w="15" w:type="dxa"/>
            </w:tcMar>
            <w:vAlign w:val="bottom"/>
          </w:tcPr>
          <w:p w14:paraId="049447C9" w14:textId="41E1AC0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43E1D1E3" w14:textId="510074F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r>
      <w:tr w:rsidR="0592CF55" w14:paraId="38A0E092"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7BC5223" w14:textId="363A408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3.05</w:t>
            </w:r>
          </w:p>
        </w:tc>
        <w:tc>
          <w:tcPr>
            <w:tcW w:w="1215" w:type="dxa"/>
            <w:tcBorders>
              <w:top w:val="nil"/>
              <w:left w:val="nil"/>
              <w:bottom w:val="nil"/>
              <w:right w:val="nil"/>
            </w:tcBorders>
            <w:tcMar>
              <w:top w:w="15" w:type="dxa"/>
              <w:left w:w="15" w:type="dxa"/>
              <w:right w:w="15" w:type="dxa"/>
            </w:tcMar>
            <w:vAlign w:val="bottom"/>
          </w:tcPr>
          <w:p w14:paraId="523AE719" w14:textId="6121F22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2.89</w:t>
            </w:r>
          </w:p>
        </w:tc>
        <w:tc>
          <w:tcPr>
            <w:tcW w:w="1222" w:type="dxa"/>
            <w:tcBorders>
              <w:top w:val="nil"/>
              <w:left w:val="nil"/>
              <w:bottom w:val="nil"/>
              <w:right w:val="nil"/>
            </w:tcBorders>
            <w:tcMar>
              <w:top w:w="15" w:type="dxa"/>
              <w:left w:w="15" w:type="dxa"/>
              <w:right w:w="15" w:type="dxa"/>
            </w:tcMar>
            <w:vAlign w:val="bottom"/>
          </w:tcPr>
          <w:p w14:paraId="7BEED0B8" w14:textId="196043B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c>
          <w:tcPr>
            <w:tcW w:w="1222" w:type="dxa"/>
            <w:tcBorders>
              <w:top w:val="nil"/>
              <w:left w:val="nil"/>
              <w:bottom w:val="nil"/>
              <w:right w:val="nil"/>
            </w:tcBorders>
            <w:tcMar>
              <w:top w:w="15" w:type="dxa"/>
              <w:left w:w="15" w:type="dxa"/>
              <w:right w:w="15" w:type="dxa"/>
            </w:tcMar>
            <w:vAlign w:val="bottom"/>
          </w:tcPr>
          <w:p w14:paraId="23F95B13" w14:textId="2D5E998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3.16</w:t>
            </w:r>
          </w:p>
        </w:tc>
      </w:tr>
      <w:tr w:rsidR="0592CF55" w14:paraId="1563924B"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3AFC861" w14:textId="590D61D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2.93</w:t>
            </w:r>
          </w:p>
        </w:tc>
        <w:tc>
          <w:tcPr>
            <w:tcW w:w="1215" w:type="dxa"/>
            <w:tcBorders>
              <w:top w:val="nil"/>
              <w:left w:val="nil"/>
              <w:bottom w:val="nil"/>
              <w:right w:val="nil"/>
            </w:tcBorders>
            <w:tcMar>
              <w:top w:w="15" w:type="dxa"/>
              <w:left w:w="15" w:type="dxa"/>
              <w:right w:w="15" w:type="dxa"/>
            </w:tcMar>
            <w:vAlign w:val="bottom"/>
          </w:tcPr>
          <w:p w14:paraId="29384CDC" w14:textId="04556A5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2.76</w:t>
            </w:r>
          </w:p>
        </w:tc>
        <w:tc>
          <w:tcPr>
            <w:tcW w:w="1222" w:type="dxa"/>
            <w:tcBorders>
              <w:top w:val="nil"/>
              <w:left w:val="nil"/>
              <w:bottom w:val="nil"/>
              <w:right w:val="nil"/>
            </w:tcBorders>
            <w:tcMar>
              <w:top w:w="15" w:type="dxa"/>
              <w:left w:w="15" w:type="dxa"/>
              <w:right w:w="15" w:type="dxa"/>
            </w:tcMar>
            <w:vAlign w:val="bottom"/>
          </w:tcPr>
          <w:p w14:paraId="365DDB32" w14:textId="16C901B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22" w:type="dxa"/>
            <w:tcBorders>
              <w:top w:val="nil"/>
              <w:left w:val="nil"/>
              <w:bottom w:val="nil"/>
              <w:right w:val="nil"/>
            </w:tcBorders>
            <w:tcMar>
              <w:top w:w="15" w:type="dxa"/>
              <w:left w:w="15" w:type="dxa"/>
              <w:right w:w="15" w:type="dxa"/>
            </w:tcMar>
            <w:vAlign w:val="bottom"/>
          </w:tcPr>
          <w:p w14:paraId="31CB1F1D" w14:textId="062A9B2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0C66834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FF7E936" w14:textId="56F96B4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2.63</w:t>
            </w:r>
          </w:p>
        </w:tc>
        <w:tc>
          <w:tcPr>
            <w:tcW w:w="1215" w:type="dxa"/>
            <w:tcBorders>
              <w:top w:val="nil"/>
              <w:left w:val="nil"/>
              <w:bottom w:val="nil"/>
              <w:right w:val="nil"/>
            </w:tcBorders>
            <w:tcMar>
              <w:top w:w="15" w:type="dxa"/>
              <w:left w:w="15" w:type="dxa"/>
              <w:right w:w="15" w:type="dxa"/>
            </w:tcMar>
            <w:vAlign w:val="bottom"/>
          </w:tcPr>
          <w:p w14:paraId="41BE1ECC" w14:textId="762FED8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2.35</w:t>
            </w:r>
          </w:p>
        </w:tc>
        <w:tc>
          <w:tcPr>
            <w:tcW w:w="1222" w:type="dxa"/>
            <w:tcBorders>
              <w:top w:val="nil"/>
              <w:left w:val="nil"/>
              <w:bottom w:val="nil"/>
              <w:right w:val="nil"/>
            </w:tcBorders>
            <w:tcMar>
              <w:top w:w="15" w:type="dxa"/>
              <w:left w:w="15" w:type="dxa"/>
              <w:right w:w="15" w:type="dxa"/>
            </w:tcMar>
            <w:vAlign w:val="bottom"/>
          </w:tcPr>
          <w:p w14:paraId="1D5AF820" w14:textId="013A5DB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2.91</w:t>
            </w:r>
          </w:p>
        </w:tc>
        <w:tc>
          <w:tcPr>
            <w:tcW w:w="1222" w:type="dxa"/>
            <w:tcBorders>
              <w:top w:val="nil"/>
              <w:left w:val="nil"/>
              <w:bottom w:val="nil"/>
              <w:right w:val="nil"/>
            </w:tcBorders>
            <w:tcMar>
              <w:top w:w="15" w:type="dxa"/>
              <w:left w:w="15" w:type="dxa"/>
              <w:right w:w="15" w:type="dxa"/>
            </w:tcMar>
            <w:vAlign w:val="bottom"/>
          </w:tcPr>
          <w:p w14:paraId="48DDB28B" w14:textId="0A10813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r>
      <w:tr w:rsidR="0592CF55" w14:paraId="28E17E64"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1DC9490" w14:textId="29E95C9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2.93</w:t>
            </w:r>
          </w:p>
        </w:tc>
        <w:tc>
          <w:tcPr>
            <w:tcW w:w="1215" w:type="dxa"/>
            <w:tcBorders>
              <w:top w:val="nil"/>
              <w:left w:val="nil"/>
              <w:bottom w:val="nil"/>
              <w:right w:val="nil"/>
            </w:tcBorders>
            <w:tcMar>
              <w:top w:w="15" w:type="dxa"/>
              <w:left w:w="15" w:type="dxa"/>
              <w:right w:w="15" w:type="dxa"/>
            </w:tcMar>
            <w:vAlign w:val="bottom"/>
          </w:tcPr>
          <w:p w14:paraId="1932CAAC" w14:textId="7B3C80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2.68</w:t>
            </w:r>
          </w:p>
        </w:tc>
        <w:tc>
          <w:tcPr>
            <w:tcW w:w="1222" w:type="dxa"/>
            <w:tcBorders>
              <w:top w:val="nil"/>
              <w:left w:val="nil"/>
              <w:bottom w:val="nil"/>
              <w:right w:val="nil"/>
            </w:tcBorders>
            <w:tcMar>
              <w:top w:w="15" w:type="dxa"/>
              <w:left w:w="15" w:type="dxa"/>
              <w:right w:w="15" w:type="dxa"/>
            </w:tcMar>
            <w:vAlign w:val="bottom"/>
          </w:tcPr>
          <w:p w14:paraId="0A5E6456" w14:textId="6AABBB1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3.02</w:t>
            </w:r>
          </w:p>
        </w:tc>
        <w:tc>
          <w:tcPr>
            <w:tcW w:w="1222" w:type="dxa"/>
            <w:tcBorders>
              <w:top w:val="nil"/>
              <w:left w:val="nil"/>
              <w:bottom w:val="nil"/>
              <w:right w:val="nil"/>
            </w:tcBorders>
            <w:tcMar>
              <w:top w:w="15" w:type="dxa"/>
              <w:left w:w="15" w:type="dxa"/>
              <w:right w:w="15" w:type="dxa"/>
            </w:tcMar>
            <w:vAlign w:val="bottom"/>
          </w:tcPr>
          <w:p w14:paraId="15B3E3A3" w14:textId="7FD1AFB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1422BE62"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84071CA" w14:textId="348A26F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c>
          <w:tcPr>
            <w:tcW w:w="1215" w:type="dxa"/>
            <w:tcBorders>
              <w:top w:val="nil"/>
              <w:left w:val="nil"/>
              <w:bottom w:val="nil"/>
              <w:right w:val="nil"/>
            </w:tcBorders>
            <w:tcMar>
              <w:top w:w="15" w:type="dxa"/>
              <w:left w:w="15" w:type="dxa"/>
              <w:right w:w="15" w:type="dxa"/>
            </w:tcMar>
            <w:vAlign w:val="bottom"/>
          </w:tcPr>
          <w:p w14:paraId="63E72868" w14:textId="154AE17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c>
          <w:tcPr>
            <w:tcW w:w="1222" w:type="dxa"/>
            <w:tcBorders>
              <w:top w:val="nil"/>
              <w:left w:val="nil"/>
              <w:bottom w:val="nil"/>
              <w:right w:val="nil"/>
            </w:tcBorders>
            <w:tcMar>
              <w:top w:w="15" w:type="dxa"/>
              <w:left w:w="15" w:type="dxa"/>
              <w:right w:w="15" w:type="dxa"/>
            </w:tcMar>
            <w:vAlign w:val="bottom"/>
          </w:tcPr>
          <w:p w14:paraId="45C1B943" w14:textId="65E85E4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64798F5F" w14:textId="03648D2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r>
      <w:tr w:rsidR="0592CF55" w14:paraId="54BCE2D1"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36960E7" w14:textId="0A2FE6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2.69</w:t>
            </w:r>
          </w:p>
        </w:tc>
        <w:tc>
          <w:tcPr>
            <w:tcW w:w="1215" w:type="dxa"/>
            <w:tcBorders>
              <w:top w:val="nil"/>
              <w:left w:val="nil"/>
              <w:bottom w:val="nil"/>
              <w:right w:val="nil"/>
            </w:tcBorders>
            <w:tcMar>
              <w:top w:w="15" w:type="dxa"/>
              <w:left w:w="15" w:type="dxa"/>
              <w:right w:w="15" w:type="dxa"/>
            </w:tcMar>
            <w:vAlign w:val="bottom"/>
          </w:tcPr>
          <w:p w14:paraId="59202FD1" w14:textId="4735F2D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2.34</w:t>
            </w:r>
          </w:p>
        </w:tc>
        <w:tc>
          <w:tcPr>
            <w:tcW w:w="1222" w:type="dxa"/>
            <w:tcBorders>
              <w:top w:val="nil"/>
              <w:left w:val="nil"/>
              <w:bottom w:val="nil"/>
              <w:right w:val="nil"/>
            </w:tcBorders>
            <w:tcMar>
              <w:top w:w="15" w:type="dxa"/>
              <w:left w:w="15" w:type="dxa"/>
              <w:right w:w="15" w:type="dxa"/>
            </w:tcMar>
            <w:vAlign w:val="bottom"/>
          </w:tcPr>
          <w:p w14:paraId="5E1F2745" w14:textId="3F12EDF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22" w:type="dxa"/>
            <w:tcBorders>
              <w:top w:val="nil"/>
              <w:left w:val="nil"/>
              <w:bottom w:val="nil"/>
              <w:right w:val="nil"/>
            </w:tcBorders>
            <w:tcMar>
              <w:top w:w="15" w:type="dxa"/>
              <w:left w:w="15" w:type="dxa"/>
              <w:right w:w="15" w:type="dxa"/>
            </w:tcMar>
            <w:vAlign w:val="bottom"/>
          </w:tcPr>
          <w:p w14:paraId="38D49BB2" w14:textId="4CE76C2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r>
      <w:tr w:rsidR="0592CF55" w14:paraId="33BF77E6"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70E3B41E" w14:textId="2CEF09D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15" w:type="dxa"/>
            <w:tcBorders>
              <w:top w:val="nil"/>
              <w:left w:val="nil"/>
              <w:bottom w:val="nil"/>
              <w:right w:val="nil"/>
            </w:tcBorders>
            <w:tcMar>
              <w:top w:w="15" w:type="dxa"/>
              <w:left w:w="15" w:type="dxa"/>
              <w:right w:w="15" w:type="dxa"/>
            </w:tcMar>
            <w:vAlign w:val="bottom"/>
          </w:tcPr>
          <w:p w14:paraId="609BF18B" w14:textId="1416313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2.78</w:t>
            </w:r>
          </w:p>
        </w:tc>
        <w:tc>
          <w:tcPr>
            <w:tcW w:w="1222" w:type="dxa"/>
            <w:tcBorders>
              <w:top w:val="nil"/>
              <w:left w:val="nil"/>
              <w:bottom w:val="nil"/>
              <w:right w:val="nil"/>
            </w:tcBorders>
            <w:tcMar>
              <w:top w:w="15" w:type="dxa"/>
              <w:left w:w="15" w:type="dxa"/>
              <w:right w:w="15" w:type="dxa"/>
            </w:tcMar>
            <w:vAlign w:val="bottom"/>
          </w:tcPr>
          <w:p w14:paraId="0214C928" w14:textId="126B18D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3.05</w:t>
            </w:r>
          </w:p>
        </w:tc>
        <w:tc>
          <w:tcPr>
            <w:tcW w:w="1222" w:type="dxa"/>
            <w:tcBorders>
              <w:top w:val="nil"/>
              <w:left w:val="nil"/>
              <w:bottom w:val="nil"/>
              <w:right w:val="nil"/>
            </w:tcBorders>
            <w:tcMar>
              <w:top w:w="15" w:type="dxa"/>
              <w:left w:w="15" w:type="dxa"/>
              <w:right w:w="15" w:type="dxa"/>
            </w:tcMar>
            <w:vAlign w:val="bottom"/>
          </w:tcPr>
          <w:p w14:paraId="72CF64F6" w14:textId="7084398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6904111C"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6AD5828D" w14:textId="53C2966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3.17</w:t>
            </w:r>
          </w:p>
        </w:tc>
        <w:tc>
          <w:tcPr>
            <w:tcW w:w="1215" w:type="dxa"/>
            <w:tcBorders>
              <w:top w:val="nil"/>
              <w:left w:val="nil"/>
              <w:bottom w:val="nil"/>
              <w:right w:val="nil"/>
            </w:tcBorders>
            <w:tcMar>
              <w:top w:w="15" w:type="dxa"/>
              <w:left w:w="15" w:type="dxa"/>
              <w:right w:w="15" w:type="dxa"/>
            </w:tcMar>
            <w:vAlign w:val="bottom"/>
          </w:tcPr>
          <w:p w14:paraId="63C931D4" w14:textId="085B971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3.04</w:t>
            </w:r>
          </w:p>
        </w:tc>
        <w:tc>
          <w:tcPr>
            <w:tcW w:w="1222" w:type="dxa"/>
            <w:tcBorders>
              <w:top w:val="nil"/>
              <w:left w:val="nil"/>
              <w:bottom w:val="nil"/>
              <w:right w:val="nil"/>
            </w:tcBorders>
            <w:tcMar>
              <w:top w:w="15" w:type="dxa"/>
              <w:left w:w="15" w:type="dxa"/>
              <w:right w:w="15" w:type="dxa"/>
            </w:tcMar>
            <w:vAlign w:val="bottom"/>
          </w:tcPr>
          <w:p w14:paraId="5F5AB4F0" w14:textId="00AC4EA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c>
          <w:tcPr>
            <w:tcW w:w="1222" w:type="dxa"/>
            <w:tcBorders>
              <w:top w:val="nil"/>
              <w:left w:val="nil"/>
              <w:bottom w:val="nil"/>
              <w:right w:val="nil"/>
            </w:tcBorders>
            <w:tcMar>
              <w:top w:w="15" w:type="dxa"/>
              <w:left w:w="15" w:type="dxa"/>
              <w:right w:w="15" w:type="dxa"/>
            </w:tcMar>
            <w:vAlign w:val="bottom"/>
          </w:tcPr>
          <w:p w14:paraId="44DD3F8C" w14:textId="1C72EF3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3.18</w:t>
            </w:r>
          </w:p>
        </w:tc>
      </w:tr>
      <w:tr w:rsidR="0592CF55" w14:paraId="75AF1A5E"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E600129" w14:textId="6C6A7CA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3.10</w:t>
            </w:r>
          </w:p>
        </w:tc>
        <w:tc>
          <w:tcPr>
            <w:tcW w:w="1215" w:type="dxa"/>
            <w:tcBorders>
              <w:top w:val="nil"/>
              <w:left w:val="nil"/>
              <w:bottom w:val="nil"/>
              <w:right w:val="nil"/>
            </w:tcBorders>
            <w:tcMar>
              <w:top w:w="15" w:type="dxa"/>
              <w:left w:w="15" w:type="dxa"/>
              <w:right w:w="15" w:type="dxa"/>
            </w:tcMar>
            <w:vAlign w:val="bottom"/>
          </w:tcPr>
          <w:p w14:paraId="5BC2DF15" w14:textId="672F603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2.98</w:t>
            </w:r>
          </w:p>
        </w:tc>
        <w:tc>
          <w:tcPr>
            <w:tcW w:w="1222" w:type="dxa"/>
            <w:tcBorders>
              <w:top w:val="nil"/>
              <w:left w:val="nil"/>
              <w:bottom w:val="nil"/>
              <w:right w:val="nil"/>
            </w:tcBorders>
            <w:tcMar>
              <w:top w:w="15" w:type="dxa"/>
              <w:left w:w="15" w:type="dxa"/>
              <w:right w:w="15" w:type="dxa"/>
            </w:tcMar>
            <w:vAlign w:val="bottom"/>
          </w:tcPr>
          <w:p w14:paraId="5699C090" w14:textId="0953904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c>
          <w:tcPr>
            <w:tcW w:w="1222" w:type="dxa"/>
            <w:tcBorders>
              <w:top w:val="nil"/>
              <w:left w:val="nil"/>
              <w:bottom w:val="nil"/>
              <w:right w:val="nil"/>
            </w:tcBorders>
            <w:tcMar>
              <w:top w:w="15" w:type="dxa"/>
              <w:left w:w="15" w:type="dxa"/>
              <w:right w:w="15" w:type="dxa"/>
            </w:tcMar>
            <w:vAlign w:val="bottom"/>
          </w:tcPr>
          <w:p w14:paraId="14CE2C9A" w14:textId="4DC33B46"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3.19</w:t>
            </w:r>
          </w:p>
        </w:tc>
      </w:tr>
      <w:tr w:rsidR="0592CF55" w14:paraId="47F862B7"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BD296C4" w14:textId="7DC174D3"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2.95</w:t>
            </w:r>
          </w:p>
        </w:tc>
        <w:tc>
          <w:tcPr>
            <w:tcW w:w="1215" w:type="dxa"/>
            <w:tcBorders>
              <w:top w:val="nil"/>
              <w:left w:val="nil"/>
              <w:bottom w:val="nil"/>
              <w:right w:val="nil"/>
            </w:tcBorders>
            <w:tcMar>
              <w:top w:w="15" w:type="dxa"/>
              <w:left w:w="15" w:type="dxa"/>
              <w:right w:w="15" w:type="dxa"/>
            </w:tcMar>
            <w:vAlign w:val="bottom"/>
          </w:tcPr>
          <w:p w14:paraId="4C739465" w14:textId="33DB502D"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2.79</w:t>
            </w:r>
          </w:p>
        </w:tc>
        <w:tc>
          <w:tcPr>
            <w:tcW w:w="1222" w:type="dxa"/>
            <w:tcBorders>
              <w:top w:val="nil"/>
              <w:left w:val="nil"/>
              <w:bottom w:val="nil"/>
              <w:right w:val="nil"/>
            </w:tcBorders>
            <w:tcMar>
              <w:top w:w="15" w:type="dxa"/>
              <w:left w:w="15" w:type="dxa"/>
              <w:right w:w="15" w:type="dxa"/>
            </w:tcMar>
            <w:vAlign w:val="bottom"/>
          </w:tcPr>
          <w:p w14:paraId="2D2B5A7C" w14:textId="66FB4C8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3BB40414" w14:textId="20ACFFF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3.15</w:t>
            </w:r>
          </w:p>
        </w:tc>
      </w:tr>
      <w:tr w:rsidR="0592CF55" w14:paraId="07BA4F6C"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77C4649" w14:textId="7DAC4EA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2.87</w:t>
            </w:r>
          </w:p>
        </w:tc>
        <w:tc>
          <w:tcPr>
            <w:tcW w:w="1215" w:type="dxa"/>
            <w:tcBorders>
              <w:top w:val="nil"/>
              <w:left w:val="nil"/>
              <w:bottom w:val="nil"/>
              <w:right w:val="nil"/>
            </w:tcBorders>
            <w:tcMar>
              <w:top w:w="15" w:type="dxa"/>
              <w:left w:w="15" w:type="dxa"/>
              <w:right w:w="15" w:type="dxa"/>
            </w:tcMar>
            <w:vAlign w:val="bottom"/>
          </w:tcPr>
          <w:p w14:paraId="78922044" w14:textId="7331EE6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2.62</w:t>
            </w:r>
          </w:p>
        </w:tc>
        <w:tc>
          <w:tcPr>
            <w:tcW w:w="1222" w:type="dxa"/>
            <w:tcBorders>
              <w:top w:val="nil"/>
              <w:left w:val="nil"/>
              <w:bottom w:val="nil"/>
              <w:right w:val="nil"/>
            </w:tcBorders>
            <w:tcMar>
              <w:top w:w="15" w:type="dxa"/>
              <w:left w:w="15" w:type="dxa"/>
              <w:right w:w="15" w:type="dxa"/>
            </w:tcMar>
            <w:vAlign w:val="bottom"/>
          </w:tcPr>
          <w:p w14:paraId="3717053C" w14:textId="77EB836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3.00</w:t>
            </w:r>
          </w:p>
        </w:tc>
        <w:tc>
          <w:tcPr>
            <w:tcW w:w="1222" w:type="dxa"/>
            <w:tcBorders>
              <w:top w:val="nil"/>
              <w:left w:val="nil"/>
              <w:bottom w:val="nil"/>
              <w:right w:val="nil"/>
            </w:tcBorders>
            <w:tcMar>
              <w:top w:w="15" w:type="dxa"/>
              <w:left w:w="15" w:type="dxa"/>
              <w:right w:w="15" w:type="dxa"/>
            </w:tcMar>
            <w:vAlign w:val="bottom"/>
          </w:tcPr>
          <w:p w14:paraId="29B97FEB" w14:textId="7362D24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3.09</w:t>
            </w:r>
          </w:p>
        </w:tc>
      </w:tr>
      <w:tr w:rsidR="0592CF55" w14:paraId="78137270"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E6211BC" w14:textId="5ECB813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2.96</w:t>
            </w:r>
          </w:p>
        </w:tc>
        <w:tc>
          <w:tcPr>
            <w:tcW w:w="1215" w:type="dxa"/>
            <w:tcBorders>
              <w:top w:val="nil"/>
              <w:left w:val="nil"/>
              <w:bottom w:val="nil"/>
              <w:right w:val="nil"/>
            </w:tcBorders>
            <w:tcMar>
              <w:top w:w="15" w:type="dxa"/>
              <w:left w:w="15" w:type="dxa"/>
              <w:right w:w="15" w:type="dxa"/>
            </w:tcMar>
            <w:vAlign w:val="bottom"/>
          </w:tcPr>
          <w:p w14:paraId="7D0EB6F8" w14:textId="51726DD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2.74</w:t>
            </w:r>
          </w:p>
        </w:tc>
        <w:tc>
          <w:tcPr>
            <w:tcW w:w="1222" w:type="dxa"/>
            <w:tcBorders>
              <w:top w:val="nil"/>
              <w:left w:val="nil"/>
              <w:bottom w:val="nil"/>
              <w:right w:val="nil"/>
            </w:tcBorders>
            <w:tcMar>
              <w:top w:w="15" w:type="dxa"/>
              <w:left w:w="15" w:type="dxa"/>
              <w:right w:w="15" w:type="dxa"/>
            </w:tcMar>
            <w:vAlign w:val="bottom"/>
          </w:tcPr>
          <w:p w14:paraId="5D97501A" w14:textId="2524F22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c>
          <w:tcPr>
            <w:tcW w:w="1222" w:type="dxa"/>
            <w:tcBorders>
              <w:top w:val="nil"/>
              <w:left w:val="nil"/>
              <w:bottom w:val="nil"/>
              <w:right w:val="nil"/>
            </w:tcBorders>
            <w:tcMar>
              <w:top w:w="15" w:type="dxa"/>
              <w:left w:w="15" w:type="dxa"/>
              <w:right w:w="15" w:type="dxa"/>
            </w:tcMar>
            <w:vAlign w:val="bottom"/>
          </w:tcPr>
          <w:p w14:paraId="2253F88F" w14:textId="35B407C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15E909D5"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5555AC7A" w14:textId="2E1D984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2.62</w:t>
            </w:r>
          </w:p>
        </w:tc>
        <w:tc>
          <w:tcPr>
            <w:tcW w:w="1215" w:type="dxa"/>
            <w:tcBorders>
              <w:top w:val="nil"/>
              <w:left w:val="nil"/>
              <w:bottom w:val="nil"/>
              <w:right w:val="nil"/>
            </w:tcBorders>
            <w:tcMar>
              <w:top w:w="15" w:type="dxa"/>
              <w:left w:w="15" w:type="dxa"/>
              <w:right w:w="15" w:type="dxa"/>
            </w:tcMar>
            <w:vAlign w:val="bottom"/>
          </w:tcPr>
          <w:p w14:paraId="58E64503" w14:textId="0A9B87E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2.33</w:t>
            </w:r>
          </w:p>
        </w:tc>
        <w:tc>
          <w:tcPr>
            <w:tcW w:w="1222" w:type="dxa"/>
            <w:tcBorders>
              <w:top w:val="nil"/>
              <w:left w:val="nil"/>
              <w:bottom w:val="nil"/>
              <w:right w:val="nil"/>
            </w:tcBorders>
            <w:tcMar>
              <w:top w:w="15" w:type="dxa"/>
              <w:left w:w="15" w:type="dxa"/>
              <w:right w:w="15" w:type="dxa"/>
            </w:tcMar>
            <w:vAlign w:val="bottom"/>
          </w:tcPr>
          <w:p w14:paraId="5249A588" w14:textId="69DE2111"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22" w:type="dxa"/>
            <w:tcBorders>
              <w:top w:val="nil"/>
              <w:left w:val="nil"/>
              <w:bottom w:val="nil"/>
              <w:right w:val="nil"/>
            </w:tcBorders>
            <w:tcMar>
              <w:top w:w="15" w:type="dxa"/>
              <w:left w:w="15" w:type="dxa"/>
              <w:right w:w="15" w:type="dxa"/>
            </w:tcMar>
            <w:vAlign w:val="bottom"/>
          </w:tcPr>
          <w:p w14:paraId="368ED2CA" w14:textId="0F565872"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3.06</w:t>
            </w:r>
          </w:p>
        </w:tc>
      </w:tr>
      <w:tr w:rsidR="0592CF55" w14:paraId="15686FF1"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2BE109BF" w14:textId="3E0915A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2.70</w:t>
            </w:r>
          </w:p>
        </w:tc>
        <w:tc>
          <w:tcPr>
            <w:tcW w:w="1215" w:type="dxa"/>
            <w:tcBorders>
              <w:top w:val="nil"/>
              <w:left w:val="nil"/>
              <w:bottom w:val="nil"/>
              <w:right w:val="nil"/>
            </w:tcBorders>
            <w:tcMar>
              <w:top w:w="15" w:type="dxa"/>
              <w:left w:w="15" w:type="dxa"/>
              <w:right w:w="15" w:type="dxa"/>
            </w:tcMar>
            <w:vAlign w:val="bottom"/>
          </w:tcPr>
          <w:p w14:paraId="5231366F" w14:textId="68DB693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2.37</w:t>
            </w:r>
          </w:p>
        </w:tc>
        <w:tc>
          <w:tcPr>
            <w:tcW w:w="1222" w:type="dxa"/>
            <w:tcBorders>
              <w:top w:val="nil"/>
              <w:left w:val="nil"/>
              <w:bottom w:val="nil"/>
              <w:right w:val="nil"/>
            </w:tcBorders>
            <w:tcMar>
              <w:top w:w="15" w:type="dxa"/>
              <w:left w:w="15" w:type="dxa"/>
              <w:right w:w="15" w:type="dxa"/>
            </w:tcMar>
            <w:vAlign w:val="bottom"/>
          </w:tcPr>
          <w:p w14:paraId="231981CA" w14:textId="7D1ADA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2.92</w:t>
            </w:r>
          </w:p>
        </w:tc>
        <w:tc>
          <w:tcPr>
            <w:tcW w:w="1222" w:type="dxa"/>
            <w:tcBorders>
              <w:top w:val="nil"/>
              <w:left w:val="nil"/>
              <w:bottom w:val="nil"/>
              <w:right w:val="nil"/>
            </w:tcBorders>
            <w:tcMar>
              <w:top w:w="15" w:type="dxa"/>
              <w:left w:w="15" w:type="dxa"/>
              <w:right w:w="15" w:type="dxa"/>
            </w:tcMar>
            <w:vAlign w:val="bottom"/>
          </w:tcPr>
          <w:p w14:paraId="2E87D1DD" w14:textId="3F6E88C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3.05</w:t>
            </w:r>
          </w:p>
        </w:tc>
      </w:tr>
      <w:tr w:rsidR="0592CF55" w14:paraId="12093A25"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39F76467" w14:textId="615EAFC5"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2.94</w:t>
            </w:r>
          </w:p>
        </w:tc>
        <w:tc>
          <w:tcPr>
            <w:tcW w:w="1215" w:type="dxa"/>
            <w:tcBorders>
              <w:top w:val="nil"/>
              <w:left w:val="nil"/>
              <w:bottom w:val="nil"/>
              <w:right w:val="nil"/>
            </w:tcBorders>
            <w:tcMar>
              <w:top w:w="15" w:type="dxa"/>
              <w:left w:w="15" w:type="dxa"/>
              <w:right w:w="15" w:type="dxa"/>
            </w:tcMar>
            <w:vAlign w:val="bottom"/>
          </w:tcPr>
          <w:p w14:paraId="3A908F2C" w14:textId="35D8AE3B"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2.80</w:t>
            </w:r>
          </w:p>
        </w:tc>
        <w:tc>
          <w:tcPr>
            <w:tcW w:w="1222" w:type="dxa"/>
            <w:tcBorders>
              <w:top w:val="nil"/>
              <w:left w:val="nil"/>
              <w:bottom w:val="nil"/>
              <w:right w:val="nil"/>
            </w:tcBorders>
            <w:tcMar>
              <w:top w:w="15" w:type="dxa"/>
              <w:left w:w="15" w:type="dxa"/>
              <w:right w:w="15" w:type="dxa"/>
            </w:tcMar>
            <w:vAlign w:val="bottom"/>
          </w:tcPr>
          <w:p w14:paraId="78B558A0" w14:textId="72E9B91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3.08</w:t>
            </w:r>
          </w:p>
        </w:tc>
        <w:tc>
          <w:tcPr>
            <w:tcW w:w="1222" w:type="dxa"/>
            <w:tcBorders>
              <w:top w:val="nil"/>
              <w:left w:val="nil"/>
              <w:bottom w:val="nil"/>
              <w:right w:val="nil"/>
            </w:tcBorders>
            <w:tcMar>
              <w:top w:w="15" w:type="dxa"/>
              <w:left w:w="15" w:type="dxa"/>
              <w:right w:w="15" w:type="dxa"/>
            </w:tcMar>
            <w:vAlign w:val="bottom"/>
          </w:tcPr>
          <w:p w14:paraId="6DF75486" w14:textId="7D840638"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3.14</w:t>
            </w:r>
          </w:p>
        </w:tc>
      </w:tr>
      <w:tr w:rsidR="0592CF55" w14:paraId="628D37CC"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43A07CC5" w14:textId="70956A8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2.93</w:t>
            </w:r>
          </w:p>
        </w:tc>
        <w:tc>
          <w:tcPr>
            <w:tcW w:w="1215" w:type="dxa"/>
            <w:tcBorders>
              <w:top w:val="nil"/>
              <w:left w:val="nil"/>
              <w:bottom w:val="nil"/>
              <w:right w:val="nil"/>
            </w:tcBorders>
            <w:tcMar>
              <w:top w:w="15" w:type="dxa"/>
              <w:left w:w="15" w:type="dxa"/>
              <w:right w:w="15" w:type="dxa"/>
            </w:tcMar>
            <w:vAlign w:val="bottom"/>
          </w:tcPr>
          <w:p w14:paraId="7A7D094B" w14:textId="4E94386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2.69</w:t>
            </w:r>
          </w:p>
        </w:tc>
        <w:tc>
          <w:tcPr>
            <w:tcW w:w="1222" w:type="dxa"/>
            <w:tcBorders>
              <w:top w:val="nil"/>
              <w:left w:val="nil"/>
              <w:bottom w:val="nil"/>
              <w:right w:val="nil"/>
            </w:tcBorders>
            <w:tcMar>
              <w:top w:w="15" w:type="dxa"/>
              <w:left w:w="15" w:type="dxa"/>
              <w:right w:w="15" w:type="dxa"/>
            </w:tcMar>
            <w:vAlign w:val="bottom"/>
          </w:tcPr>
          <w:p w14:paraId="0E2AC50C" w14:textId="245517C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c>
          <w:tcPr>
            <w:tcW w:w="1222" w:type="dxa"/>
            <w:tcBorders>
              <w:top w:val="nil"/>
              <w:left w:val="nil"/>
              <w:bottom w:val="nil"/>
              <w:right w:val="nil"/>
            </w:tcBorders>
            <w:tcMar>
              <w:top w:w="15" w:type="dxa"/>
              <w:left w:w="15" w:type="dxa"/>
              <w:right w:w="15" w:type="dxa"/>
            </w:tcMar>
            <w:vAlign w:val="bottom"/>
          </w:tcPr>
          <w:p w14:paraId="12145B89" w14:textId="32E83E2F"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3.11</w:t>
            </w:r>
          </w:p>
        </w:tc>
      </w:tr>
      <w:tr w:rsidR="0592CF55" w14:paraId="2F7083C0"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1A74C07" w14:textId="5DD3CFC9"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2.85</w:t>
            </w:r>
          </w:p>
        </w:tc>
        <w:tc>
          <w:tcPr>
            <w:tcW w:w="1215" w:type="dxa"/>
            <w:tcBorders>
              <w:top w:val="nil"/>
              <w:left w:val="nil"/>
              <w:bottom w:val="nil"/>
              <w:right w:val="nil"/>
            </w:tcBorders>
            <w:tcMar>
              <w:top w:w="15" w:type="dxa"/>
              <w:left w:w="15" w:type="dxa"/>
              <w:right w:w="15" w:type="dxa"/>
            </w:tcMar>
            <w:vAlign w:val="bottom"/>
          </w:tcPr>
          <w:p w14:paraId="7F332A4F" w14:textId="4ABBBB0A"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2.62</w:t>
            </w:r>
          </w:p>
        </w:tc>
        <w:tc>
          <w:tcPr>
            <w:tcW w:w="1222" w:type="dxa"/>
            <w:tcBorders>
              <w:top w:val="nil"/>
              <w:left w:val="nil"/>
              <w:bottom w:val="nil"/>
              <w:right w:val="nil"/>
            </w:tcBorders>
            <w:tcMar>
              <w:top w:w="15" w:type="dxa"/>
              <w:left w:w="15" w:type="dxa"/>
              <w:right w:w="15" w:type="dxa"/>
            </w:tcMar>
            <w:vAlign w:val="bottom"/>
          </w:tcPr>
          <w:p w14:paraId="70C600D7" w14:textId="5416FA6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3.03</w:t>
            </w:r>
          </w:p>
        </w:tc>
        <w:tc>
          <w:tcPr>
            <w:tcW w:w="1222" w:type="dxa"/>
            <w:tcBorders>
              <w:top w:val="nil"/>
              <w:left w:val="nil"/>
              <w:bottom w:val="nil"/>
              <w:right w:val="nil"/>
            </w:tcBorders>
            <w:tcMar>
              <w:top w:w="15" w:type="dxa"/>
              <w:left w:w="15" w:type="dxa"/>
              <w:right w:w="15" w:type="dxa"/>
            </w:tcMar>
            <w:vAlign w:val="bottom"/>
          </w:tcPr>
          <w:p w14:paraId="199A72E3" w14:textId="30BB4D07"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3.12</w:t>
            </w:r>
          </w:p>
        </w:tc>
      </w:tr>
      <w:tr w:rsidR="0592CF55" w14:paraId="42267520" w14:textId="77777777" w:rsidTr="0592CF55">
        <w:trPr>
          <w:trHeight w:val="285"/>
        </w:trPr>
        <w:tc>
          <w:tcPr>
            <w:tcW w:w="1250" w:type="dxa"/>
            <w:tcBorders>
              <w:top w:val="nil"/>
              <w:left w:val="nil"/>
              <w:bottom w:val="nil"/>
              <w:right w:val="nil"/>
            </w:tcBorders>
            <w:tcMar>
              <w:top w:w="15" w:type="dxa"/>
              <w:left w:w="15" w:type="dxa"/>
              <w:right w:w="15" w:type="dxa"/>
            </w:tcMar>
            <w:vAlign w:val="bottom"/>
          </w:tcPr>
          <w:p w14:paraId="004FE875" w14:textId="21F8CB44"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3.28</w:t>
            </w:r>
          </w:p>
        </w:tc>
        <w:tc>
          <w:tcPr>
            <w:tcW w:w="1215" w:type="dxa"/>
            <w:tcBorders>
              <w:top w:val="nil"/>
              <w:left w:val="nil"/>
              <w:bottom w:val="nil"/>
              <w:right w:val="nil"/>
            </w:tcBorders>
            <w:tcMar>
              <w:top w:w="15" w:type="dxa"/>
              <w:left w:w="15" w:type="dxa"/>
              <w:right w:w="15" w:type="dxa"/>
            </w:tcMar>
            <w:vAlign w:val="bottom"/>
          </w:tcPr>
          <w:p w14:paraId="4A8B1DCC" w14:textId="0451C81E"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3.28</w:t>
            </w:r>
          </w:p>
        </w:tc>
        <w:tc>
          <w:tcPr>
            <w:tcW w:w="1222" w:type="dxa"/>
            <w:tcBorders>
              <w:top w:val="nil"/>
              <w:left w:val="nil"/>
              <w:bottom w:val="nil"/>
              <w:right w:val="nil"/>
            </w:tcBorders>
            <w:tcMar>
              <w:top w:w="15" w:type="dxa"/>
              <w:left w:w="15" w:type="dxa"/>
              <w:right w:w="15" w:type="dxa"/>
            </w:tcMar>
            <w:vAlign w:val="bottom"/>
          </w:tcPr>
          <w:p w14:paraId="63C2B340" w14:textId="05CE8E0C"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3.28</w:t>
            </w:r>
          </w:p>
        </w:tc>
        <w:tc>
          <w:tcPr>
            <w:tcW w:w="1222" w:type="dxa"/>
            <w:tcBorders>
              <w:top w:val="nil"/>
              <w:left w:val="nil"/>
              <w:bottom w:val="nil"/>
              <w:right w:val="nil"/>
            </w:tcBorders>
            <w:tcMar>
              <w:top w:w="15" w:type="dxa"/>
              <w:left w:w="15" w:type="dxa"/>
              <w:right w:w="15" w:type="dxa"/>
            </w:tcMar>
            <w:vAlign w:val="bottom"/>
          </w:tcPr>
          <w:p w14:paraId="340F51C9" w14:textId="79F21E10" w:rsidR="0592CF55" w:rsidRPr="00320F62" w:rsidRDefault="0592CF55" w:rsidP="00320F62">
            <w:pPr>
              <w:spacing w:after="0" w:line="360" w:lineRule="auto"/>
              <w:jc w:val="both"/>
              <w:rPr>
                <w:rFonts w:ascii="Times New Roman" w:eastAsia="Times New Roman" w:hAnsi="Times New Roman" w:cs="Times New Roman"/>
                <w:color w:val="000000" w:themeColor="text1"/>
                <w:sz w:val="24"/>
                <w:szCs w:val="24"/>
              </w:rPr>
            </w:pPr>
            <w:r w:rsidRPr="00320F62">
              <w:rPr>
                <w:rFonts w:ascii="Times New Roman" w:eastAsia="Times New Roman" w:hAnsi="Times New Roman" w:cs="Times New Roman"/>
                <w:color w:val="000000" w:themeColor="text1"/>
                <w:sz w:val="24"/>
                <w:szCs w:val="24"/>
              </w:rPr>
              <w:t>3.28</w:t>
            </w:r>
          </w:p>
        </w:tc>
      </w:tr>
    </w:tbl>
    <w:p w14:paraId="15374EF1" w14:textId="77777777" w:rsidR="5ACBD183" w:rsidRDefault="5ACBD183" w:rsidP="00320F62">
      <w:pPr>
        <w:spacing w:line="360" w:lineRule="auto"/>
        <w:jc w:val="both"/>
        <w:rPr>
          <w:rFonts w:ascii="Times New Roman" w:eastAsia="Times New Roman" w:hAnsi="Times New Roman" w:cs="Times New Roman"/>
          <w:b/>
          <w:sz w:val="24"/>
          <w:szCs w:val="24"/>
        </w:rPr>
      </w:pPr>
    </w:p>
    <w:p w14:paraId="2CA70819" w14:textId="77777777" w:rsidR="00E442AD" w:rsidRPr="00320F62" w:rsidRDefault="00E442AD" w:rsidP="00320F62">
      <w:pPr>
        <w:spacing w:line="360" w:lineRule="auto"/>
        <w:jc w:val="both"/>
        <w:rPr>
          <w:rFonts w:ascii="Times New Roman" w:eastAsia="Times New Roman" w:hAnsi="Times New Roman" w:cs="Times New Roman"/>
          <w:b/>
          <w:sz w:val="24"/>
          <w:szCs w:val="24"/>
        </w:rPr>
      </w:pPr>
    </w:p>
    <w:p w14:paraId="69227394" w14:textId="277BC558" w:rsidR="00136123" w:rsidRPr="00320F62" w:rsidRDefault="00136123"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lastRenderedPageBreak/>
        <w:t>Conclusions</w:t>
      </w:r>
    </w:p>
    <w:p w14:paraId="28C47155" w14:textId="5B7AF34D" w:rsidR="62E9BCF5" w:rsidRPr="00320F62" w:rsidRDefault="2FB9BECC"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This report used the En-ROADS simulation model to explore the impact of various climate policies on global temperatures</w:t>
      </w:r>
      <w:r w:rsidR="00136123" w:rsidRPr="00320F62">
        <w:rPr>
          <w:rFonts w:ascii="Times New Roman" w:eastAsia="Times New Roman" w:hAnsi="Times New Roman" w:cs="Times New Roman"/>
          <w:sz w:val="24"/>
          <w:szCs w:val="24"/>
        </w:rPr>
        <w:t xml:space="preserve"> and </w:t>
      </w:r>
      <w:r w:rsidRPr="00320F62">
        <w:rPr>
          <w:rFonts w:ascii="Times New Roman" w:eastAsia="Times New Roman" w:hAnsi="Times New Roman" w:cs="Times New Roman"/>
          <w:sz w:val="24"/>
          <w:szCs w:val="24"/>
        </w:rPr>
        <w:t xml:space="preserve">greenhouse gas emissions. Analysis </w:t>
      </w:r>
      <w:bookmarkStart w:id="1" w:name="_Int_Ea4pUd99"/>
      <w:r w:rsidRPr="00320F62">
        <w:rPr>
          <w:rFonts w:ascii="Times New Roman" w:eastAsia="Times New Roman" w:hAnsi="Times New Roman" w:cs="Times New Roman"/>
          <w:sz w:val="24"/>
          <w:szCs w:val="24"/>
        </w:rPr>
        <w:t>provides</w:t>
      </w:r>
      <w:bookmarkEnd w:id="1"/>
      <w:r w:rsidRPr="00320F62">
        <w:rPr>
          <w:rFonts w:ascii="Times New Roman" w:eastAsia="Times New Roman" w:hAnsi="Times New Roman" w:cs="Times New Roman"/>
          <w:sz w:val="24"/>
          <w:szCs w:val="24"/>
        </w:rPr>
        <w:t xml:space="preserve"> important insights into the effectiveness of various policies. Key findings highlight the crucial need for integrated climate policy to control global warming and reduce negative consequences. Integrated policies that promote renewable energy, carbon pricing, and energy efficiency are critical for decreasing emissions. Linear regression </w:t>
      </w:r>
      <w:bookmarkStart w:id="2" w:name="_Int_ppD24WD9"/>
      <w:r w:rsidRPr="00320F62">
        <w:rPr>
          <w:rFonts w:ascii="Times New Roman" w:eastAsia="Times New Roman" w:hAnsi="Times New Roman" w:cs="Times New Roman"/>
          <w:sz w:val="24"/>
          <w:szCs w:val="24"/>
        </w:rPr>
        <w:t>demonstrated</w:t>
      </w:r>
      <w:bookmarkEnd w:id="2"/>
      <w:r w:rsidRPr="00320F62">
        <w:rPr>
          <w:rFonts w:ascii="Times New Roman" w:eastAsia="Times New Roman" w:hAnsi="Times New Roman" w:cs="Times New Roman"/>
          <w:sz w:val="24"/>
          <w:szCs w:val="24"/>
        </w:rPr>
        <w:t xml:space="preserve"> that effective strategies reduce emissions despite higher baselines. Forecasting methods showed prospective CO2 reduction patterns, emphasizing the necessity for continuous policy adaptation. Optimization </w:t>
      </w:r>
      <w:bookmarkStart w:id="3" w:name="_Int_Hatcfyur"/>
      <w:r w:rsidRPr="00320F62">
        <w:rPr>
          <w:rFonts w:ascii="Times New Roman" w:eastAsia="Times New Roman" w:hAnsi="Times New Roman" w:cs="Times New Roman"/>
          <w:sz w:val="24"/>
          <w:szCs w:val="24"/>
        </w:rPr>
        <w:t>demonstrated</w:t>
      </w:r>
      <w:bookmarkEnd w:id="3"/>
      <w:r w:rsidRPr="00320F62">
        <w:rPr>
          <w:rFonts w:ascii="Times New Roman" w:eastAsia="Times New Roman" w:hAnsi="Times New Roman" w:cs="Times New Roman"/>
          <w:sz w:val="24"/>
          <w:szCs w:val="24"/>
        </w:rPr>
        <w:t xml:space="preserve"> that </w:t>
      </w:r>
      <w:bookmarkStart w:id="4" w:name="_Int_azhybteG"/>
      <w:r w:rsidRPr="00320F62">
        <w:rPr>
          <w:rFonts w:ascii="Times New Roman" w:eastAsia="Times New Roman" w:hAnsi="Times New Roman" w:cs="Times New Roman"/>
          <w:sz w:val="24"/>
          <w:szCs w:val="24"/>
        </w:rPr>
        <w:t>optimal</w:t>
      </w:r>
      <w:bookmarkEnd w:id="4"/>
      <w:r w:rsidRPr="00320F62">
        <w:rPr>
          <w:rFonts w:ascii="Times New Roman" w:eastAsia="Times New Roman" w:hAnsi="Times New Roman" w:cs="Times New Roman"/>
          <w:sz w:val="24"/>
          <w:szCs w:val="24"/>
        </w:rPr>
        <w:t xml:space="preserve"> policy combinations are critical for keeping temperature rise within the 2°C threshold. A statistical analysis proved the significance of carbon pricing and renewable energy subsidies. Sensitivity analysis revealed that tax and subsidy changes had a considerable impact on results, emphasizing the importance of proper policy calibration.</w:t>
      </w:r>
    </w:p>
    <w:p w14:paraId="65A57E82" w14:textId="19245929" w:rsidR="00136123" w:rsidRPr="00320F62" w:rsidRDefault="00136123" w:rsidP="00320F62">
      <w:pPr>
        <w:spacing w:line="360" w:lineRule="auto"/>
        <w:rPr>
          <w:rFonts w:ascii="Times New Roman" w:eastAsia="Times New Roman" w:hAnsi="Times New Roman" w:cs="Times New Roman"/>
          <w:b/>
          <w:sz w:val="24"/>
          <w:szCs w:val="24"/>
        </w:rPr>
      </w:pPr>
      <w:r w:rsidRPr="00320F62">
        <w:rPr>
          <w:rFonts w:ascii="Times New Roman" w:eastAsia="Times New Roman" w:hAnsi="Times New Roman" w:cs="Times New Roman"/>
          <w:b/>
          <w:sz w:val="24"/>
          <w:szCs w:val="24"/>
        </w:rPr>
        <w:t>Recommendations</w:t>
      </w:r>
      <w:r w:rsidR="21890228" w:rsidRPr="00320F62">
        <w:rPr>
          <w:rFonts w:ascii="Times New Roman" w:eastAsia="Times New Roman" w:hAnsi="Times New Roman" w:cs="Times New Roman"/>
          <w:b/>
          <w:sz w:val="24"/>
          <w:szCs w:val="24"/>
        </w:rPr>
        <w:t>:</w:t>
      </w:r>
    </w:p>
    <w:p w14:paraId="3A920272" w14:textId="468A5FD3" w:rsidR="543A7440" w:rsidRPr="00320F62" w:rsidRDefault="4DC85A9D" w:rsidP="00320F62">
      <w:pPr>
        <w:spacing w:line="360" w:lineRule="auto"/>
        <w:ind w:firstLine="720"/>
        <w:jc w:val="both"/>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Our team suggests many critical solutions for reducing climate change and promoting sustainability. Reducing reliance on carbon-intensive fuels is critical to reducing CO2 emissions. Promoting improvements in transportation technology, particularly electric vehicles (EVs), through incentives and infrastructure development, would significantly decrease emissions. Addressing the impact of population expansion on carbon emissions through sustainable development strategies is critical. To effectively reduce carbon emissions, a comprehensive strategy is </w:t>
      </w:r>
      <w:r w:rsidR="45543891" w:rsidRPr="00320F62">
        <w:rPr>
          <w:rFonts w:ascii="Times New Roman" w:eastAsia="Times New Roman" w:hAnsi="Times New Roman" w:cs="Times New Roman"/>
          <w:sz w:val="24"/>
          <w:szCs w:val="24"/>
        </w:rPr>
        <w:t>needed</w:t>
      </w:r>
      <w:r w:rsidRPr="00320F62">
        <w:rPr>
          <w:rFonts w:ascii="Times New Roman" w:eastAsia="Times New Roman" w:hAnsi="Times New Roman" w:cs="Times New Roman"/>
          <w:sz w:val="24"/>
          <w:szCs w:val="24"/>
        </w:rPr>
        <w:t xml:space="preserve">, combining carbon pricing, renewable energy promotions, and severe energy efficiency regulations. Investing in renewable energy will reduce our dependency on fossil fuels. Improving energy efficiency in all areas will significantly reduce emissions. International cooperation and public awareness efforts are critical to global climate action. Policies will be more effective if they are </w:t>
      </w:r>
      <w:bookmarkStart w:id="5" w:name="_Int_CYavYebf"/>
      <w:r w:rsidRPr="00320F62">
        <w:rPr>
          <w:rFonts w:ascii="Times New Roman" w:eastAsia="Times New Roman" w:hAnsi="Times New Roman" w:cs="Times New Roman"/>
          <w:sz w:val="24"/>
          <w:szCs w:val="24"/>
        </w:rPr>
        <w:t>monitored</w:t>
      </w:r>
      <w:bookmarkEnd w:id="5"/>
      <w:r w:rsidRPr="00320F62">
        <w:rPr>
          <w:rFonts w:ascii="Times New Roman" w:eastAsia="Times New Roman" w:hAnsi="Times New Roman" w:cs="Times New Roman"/>
          <w:sz w:val="24"/>
          <w:szCs w:val="24"/>
        </w:rPr>
        <w:t xml:space="preserve"> and </w:t>
      </w:r>
      <w:r w:rsidR="1D36EE2C" w:rsidRPr="00320F62">
        <w:rPr>
          <w:rFonts w:ascii="Times New Roman" w:eastAsia="Times New Roman" w:hAnsi="Times New Roman" w:cs="Times New Roman"/>
          <w:sz w:val="24"/>
          <w:szCs w:val="24"/>
        </w:rPr>
        <w:t>adjusted extensively using</w:t>
      </w:r>
      <w:r w:rsidRPr="00320F62">
        <w:rPr>
          <w:rFonts w:ascii="Times New Roman" w:eastAsia="Times New Roman" w:hAnsi="Times New Roman" w:cs="Times New Roman"/>
          <w:sz w:val="24"/>
          <w:szCs w:val="24"/>
        </w:rPr>
        <w:t xml:space="preserve"> scientific data. By implementing these recommendations, decision-makers may considerably reduce greenhouse gas emissions and limit global temperature rise, encouraging a more sustainable and resilient future for Earth.</w:t>
      </w:r>
    </w:p>
    <w:p w14:paraId="18B689AD" w14:textId="39516C02" w:rsidR="6CA7D6BA" w:rsidRPr="00320F62" w:rsidRDefault="6CA7D6BA" w:rsidP="00320F62">
      <w:pPr>
        <w:spacing w:line="360" w:lineRule="auto"/>
        <w:jc w:val="both"/>
        <w:rPr>
          <w:rFonts w:ascii="Times New Roman" w:eastAsia="Times New Roman" w:hAnsi="Times New Roman" w:cs="Times New Roman"/>
          <w:b/>
          <w:bCs/>
          <w:sz w:val="24"/>
          <w:szCs w:val="24"/>
        </w:rPr>
      </w:pPr>
    </w:p>
    <w:p w14:paraId="52B06709" w14:textId="77777777" w:rsidR="00B36688" w:rsidRDefault="00B36688" w:rsidP="00320F62">
      <w:pPr>
        <w:spacing w:line="360" w:lineRule="auto"/>
        <w:rPr>
          <w:rFonts w:ascii="Times New Roman" w:eastAsia="Times New Roman" w:hAnsi="Times New Roman" w:cs="Times New Roman"/>
          <w:b/>
          <w:bCs/>
          <w:sz w:val="24"/>
          <w:szCs w:val="24"/>
        </w:rPr>
      </w:pPr>
    </w:p>
    <w:p w14:paraId="4863B338" w14:textId="0E00E07A" w:rsidR="00136123" w:rsidRPr="00B36688" w:rsidRDefault="00DE13DD" w:rsidP="00320F62">
      <w:pPr>
        <w:spacing w:line="360" w:lineRule="auto"/>
        <w:rPr>
          <w:rFonts w:ascii="Times New Roman" w:hAnsi="Times New Roman" w:cs="Times New Roman"/>
          <w:sz w:val="24"/>
          <w:szCs w:val="24"/>
        </w:rPr>
      </w:pPr>
      <w:r w:rsidRPr="00320F62">
        <w:rPr>
          <w:rFonts w:ascii="Times New Roman" w:eastAsia="Times New Roman" w:hAnsi="Times New Roman" w:cs="Times New Roman"/>
          <w:b/>
          <w:sz w:val="24"/>
          <w:szCs w:val="24"/>
        </w:rPr>
        <w:lastRenderedPageBreak/>
        <w:t>References</w:t>
      </w:r>
    </w:p>
    <w:p w14:paraId="7E03E6E2" w14:textId="3E70F5B0" w:rsidR="1BEE09B1" w:rsidRPr="00320F62" w:rsidRDefault="1BEE09B1" w:rsidP="52626B8C">
      <w:pPr>
        <w:spacing w:line="360" w:lineRule="auto"/>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En-ROADS Climate Scenario. En-ROADS. (n.d.). </w:t>
      </w:r>
      <w:r w:rsidR="003743A0" w:rsidRPr="00320F62">
        <w:rPr>
          <w:rFonts w:ascii="Times New Roman" w:eastAsia="Times New Roman" w:hAnsi="Times New Roman" w:cs="Times New Roman"/>
          <w:sz w:val="24"/>
          <w:szCs w:val="24"/>
        </w:rPr>
        <w:t>https://en-</w:t>
      </w:r>
      <w:r w:rsidR="003743A0" w:rsidRPr="00320F62">
        <w:rPr>
          <w:rFonts w:ascii="Times New Roman" w:hAnsi="Times New Roman" w:cs="Times New Roman"/>
          <w:sz w:val="24"/>
          <w:szCs w:val="24"/>
        </w:rPr>
        <w:tab/>
      </w:r>
      <w:r w:rsidRPr="00320F62">
        <w:rPr>
          <w:rFonts w:ascii="Times New Roman" w:eastAsia="Times New Roman" w:hAnsi="Times New Roman" w:cs="Times New Roman"/>
          <w:sz w:val="24"/>
          <w:szCs w:val="24"/>
        </w:rPr>
        <w:t>roads.climateinteractive.org/scenario.html?v=24.6.0&amp;p1=19&amp;p7=26&amp;p10=1.5&amp;p16=-</w:t>
      </w:r>
      <w:r w:rsidR="003743A0" w:rsidRPr="00320F62">
        <w:rPr>
          <w:rFonts w:ascii="Times New Roman" w:hAnsi="Times New Roman" w:cs="Times New Roman"/>
          <w:sz w:val="24"/>
          <w:szCs w:val="24"/>
        </w:rPr>
        <w:tab/>
      </w:r>
      <w:r w:rsidRPr="00320F62">
        <w:rPr>
          <w:rFonts w:ascii="Times New Roman" w:eastAsia="Times New Roman" w:hAnsi="Times New Roman" w:cs="Times New Roman"/>
          <w:sz w:val="24"/>
          <w:szCs w:val="24"/>
        </w:rPr>
        <w:t>0.03&amp;p23=10&amp;p30=0.02&amp;p35=1&amp;p39=136&amp;p47=3.4&amp;p50=2.8&amp;p373=15&amp;p375=10&amp;</w:t>
      </w:r>
      <w:r w:rsidR="003743A0" w:rsidRPr="00320F62">
        <w:rPr>
          <w:rFonts w:ascii="Times New Roman" w:hAnsi="Times New Roman" w:cs="Times New Roman"/>
          <w:sz w:val="24"/>
          <w:szCs w:val="24"/>
        </w:rPr>
        <w:tab/>
      </w:r>
      <w:r w:rsidRPr="00320F62">
        <w:rPr>
          <w:rFonts w:ascii="Times New Roman" w:eastAsia="Times New Roman" w:hAnsi="Times New Roman" w:cs="Times New Roman"/>
          <w:sz w:val="24"/>
          <w:szCs w:val="24"/>
        </w:rPr>
        <w:t>p63=9.4&amp;p235=1&amp;p60=48&amp;p417=17&amp;p61=24&amp;p57=-1.6&amp;p67=39</w:t>
      </w:r>
    </w:p>
    <w:p w14:paraId="40C91812" w14:textId="2D6BE2FE" w:rsidR="42CBD215" w:rsidRPr="00320F62" w:rsidRDefault="42CBD215" w:rsidP="02F39C39">
      <w:pPr>
        <w:spacing w:line="360" w:lineRule="auto"/>
        <w:rPr>
          <w:rFonts w:ascii="Times New Roman" w:eastAsia="Times New Roman" w:hAnsi="Times New Roman" w:cs="Times New Roman"/>
          <w:sz w:val="24"/>
          <w:szCs w:val="24"/>
        </w:rPr>
      </w:pPr>
      <w:r w:rsidRPr="00320F62">
        <w:rPr>
          <w:rFonts w:ascii="Times New Roman" w:eastAsia="Times New Roman" w:hAnsi="Times New Roman" w:cs="Times New Roman"/>
          <w:sz w:val="24"/>
          <w:szCs w:val="24"/>
        </w:rPr>
        <w:t xml:space="preserve">Evans, J. R. (2019). Business Analytics (3rd ed.). Pearson Education (US). </w:t>
      </w:r>
      <w:r w:rsidR="00F728E6">
        <w:rPr>
          <w:rFonts w:ascii="Times New Roman" w:hAnsi="Times New Roman" w:cs="Times New Roman"/>
          <w:sz w:val="24"/>
          <w:szCs w:val="24"/>
        </w:rPr>
        <w:tab/>
      </w:r>
      <w:r w:rsidRPr="00320F62">
        <w:rPr>
          <w:rFonts w:ascii="Times New Roman" w:eastAsia="Times New Roman" w:hAnsi="Times New Roman" w:cs="Times New Roman"/>
          <w:sz w:val="24"/>
          <w:szCs w:val="24"/>
        </w:rPr>
        <w:t>https://bookshelf.vitalsource.com/books/9780135231906</w:t>
      </w:r>
    </w:p>
    <w:p w14:paraId="53943BED" w14:textId="57796BF0" w:rsidR="00136123" w:rsidRPr="00320F62" w:rsidRDefault="00136123" w:rsidP="00320F62">
      <w:pPr>
        <w:spacing w:line="360" w:lineRule="auto"/>
        <w:jc w:val="both"/>
        <w:rPr>
          <w:rFonts w:ascii="Times New Roman" w:eastAsia="Times New Roman" w:hAnsi="Times New Roman" w:cs="Times New Roman"/>
          <w:b/>
          <w:sz w:val="24"/>
          <w:szCs w:val="24"/>
        </w:rPr>
      </w:pPr>
    </w:p>
    <w:sectPr w:rsidR="00136123" w:rsidRPr="00320F62" w:rsidSect="00874176">
      <w:headerReference w:type="default" r:id="rId13"/>
      <w:footerReference w:type="default" r:id="rId14"/>
      <w:pgSz w:w="12240" w:h="15840"/>
      <w:pgMar w:top="1440" w:right="1440" w:bottom="1440" w:left="1440" w:header="432" w:footer="43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A697D" w14:textId="77777777" w:rsidR="00D668C8" w:rsidRDefault="00D668C8" w:rsidP="00DE13DD">
      <w:pPr>
        <w:spacing w:after="0" w:line="240" w:lineRule="auto"/>
      </w:pPr>
      <w:r>
        <w:separator/>
      </w:r>
    </w:p>
  </w:endnote>
  <w:endnote w:type="continuationSeparator" w:id="0">
    <w:p w14:paraId="7413B159" w14:textId="77777777" w:rsidR="00D668C8" w:rsidRDefault="00D668C8" w:rsidP="00DE13DD">
      <w:pPr>
        <w:spacing w:after="0" w:line="240" w:lineRule="auto"/>
      </w:pPr>
      <w:r>
        <w:continuationSeparator/>
      </w:r>
    </w:p>
  </w:endnote>
  <w:endnote w:type="continuationNotice" w:id="1">
    <w:p w14:paraId="18D30DEF" w14:textId="77777777" w:rsidR="00D668C8" w:rsidRDefault="00D668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304085366"/>
      <w:docPartObj>
        <w:docPartGallery w:val="Page Numbers (Bottom of Page)"/>
        <w:docPartUnique/>
      </w:docPartObj>
    </w:sdtPr>
    <w:sdtEndPr>
      <w:rPr>
        <w:noProof/>
      </w:rPr>
    </w:sdtEndPr>
    <w:sdtContent>
      <w:p w14:paraId="0296AB92" w14:textId="260A5F23" w:rsidR="003B2834" w:rsidRPr="00874176" w:rsidRDefault="003B2834">
        <w:pPr>
          <w:pStyle w:val="Footer"/>
          <w:jc w:val="center"/>
          <w:rPr>
            <w:b/>
            <w:bCs/>
          </w:rPr>
        </w:pPr>
        <w:r w:rsidRPr="00874176">
          <w:rPr>
            <w:b/>
            <w:bCs/>
          </w:rPr>
          <w:fldChar w:fldCharType="begin"/>
        </w:r>
        <w:r w:rsidRPr="00874176">
          <w:rPr>
            <w:b/>
            <w:bCs/>
          </w:rPr>
          <w:instrText xml:space="preserve"> PAGE   \* MERGEFORMAT </w:instrText>
        </w:r>
        <w:r w:rsidRPr="00874176">
          <w:rPr>
            <w:b/>
            <w:bCs/>
          </w:rPr>
          <w:fldChar w:fldCharType="separate"/>
        </w:r>
        <w:r w:rsidRPr="00874176">
          <w:rPr>
            <w:b/>
            <w:bCs/>
            <w:noProof/>
          </w:rPr>
          <w:t>2</w:t>
        </w:r>
        <w:r w:rsidRPr="00874176">
          <w:rPr>
            <w:b/>
            <w:bCs/>
            <w:noProof/>
          </w:rPr>
          <w:fldChar w:fldCharType="end"/>
        </w:r>
      </w:p>
    </w:sdtContent>
  </w:sdt>
  <w:p w14:paraId="77F5352D" w14:textId="77777777" w:rsidR="00255C7C" w:rsidRDefault="0025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8C259" w14:textId="77777777" w:rsidR="00D668C8" w:rsidRDefault="00D668C8" w:rsidP="00DE13DD">
      <w:pPr>
        <w:spacing w:after="0" w:line="240" w:lineRule="auto"/>
      </w:pPr>
      <w:r>
        <w:separator/>
      </w:r>
    </w:p>
  </w:footnote>
  <w:footnote w:type="continuationSeparator" w:id="0">
    <w:p w14:paraId="7615B693" w14:textId="77777777" w:rsidR="00D668C8" w:rsidRDefault="00D668C8" w:rsidP="00DE13DD">
      <w:pPr>
        <w:spacing w:after="0" w:line="240" w:lineRule="auto"/>
      </w:pPr>
      <w:r>
        <w:continuationSeparator/>
      </w:r>
    </w:p>
  </w:footnote>
  <w:footnote w:type="continuationNotice" w:id="1">
    <w:p w14:paraId="2F51FF83" w14:textId="77777777" w:rsidR="00D668C8" w:rsidRDefault="00D668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0D813" w14:textId="5BB5A059" w:rsidR="00DE13DD" w:rsidRPr="00DE13DD" w:rsidRDefault="00DE13DD" w:rsidP="00362173">
    <w:pPr>
      <w:pStyle w:val="Header"/>
      <w:rPr>
        <w:rFonts w:ascii="Times New Roman" w:hAnsi="Times New Roman" w:cs="Times New Roman"/>
        <w:sz w:val="24"/>
        <w:szCs w:val="24"/>
      </w:rPr>
    </w:pPr>
  </w:p>
  <w:p w14:paraId="5090D0C1" w14:textId="77777777" w:rsidR="00DE13DD" w:rsidRDefault="00DE13DD">
    <w:pPr>
      <w:pStyle w:val="Header"/>
    </w:pPr>
  </w:p>
</w:hdr>
</file>

<file path=word/intelligence2.xml><?xml version="1.0" encoding="utf-8"?>
<int2:intelligence xmlns:int2="http://schemas.microsoft.com/office/intelligence/2020/intelligence" xmlns:oel="http://schemas.microsoft.com/office/2019/extlst">
  <int2:observations>
    <int2:textHash int2:hashCode="Ds1QrkjsHEPpi2" int2:id="03D8nkrA">
      <int2:state int2:value="Rejected" int2:type="AugLoop_Text_Critique"/>
    </int2:textHash>
    <int2:bookmark int2:bookmarkName="_Int_ppD24WD9" int2:invalidationBookmarkName="" int2:hashCode="8+x9wAokN1wf5f" int2:id="8JEMUENW">
      <int2:state int2:value="Rejected" int2:type="AugLoop_Text_Critique"/>
    </int2:bookmark>
    <int2:bookmark int2:bookmarkName="_Int_Ea4pUd99" int2:invalidationBookmarkName="" int2:hashCode="a7X/VNNYq0VXgz" int2:id="DrHKjZFJ">
      <int2:state int2:value="Rejected" int2:type="AugLoop_Text_Critique"/>
    </int2:bookmark>
    <int2:bookmark int2:bookmarkName="_Int_azhybteG" int2:invalidationBookmarkName="" int2:hashCode="SEiQGznzFfZHRw" int2:id="Vd0DixEq">
      <int2:state int2:value="Rejected" int2:type="AugLoop_Text_Critique"/>
    </int2:bookmark>
    <int2:bookmark int2:bookmarkName="_Int_CYavYebf" int2:invalidationBookmarkName="" int2:hashCode="J7CxdGo4hvPyDF" int2:id="WS6oQZ6T">
      <int2:state int2:value="Rejected" int2:type="AugLoop_Text_Critique"/>
    </int2:bookmark>
    <int2:bookmark int2:bookmarkName="_Int_Hatcfyur" int2:invalidationBookmarkName="" int2:hashCode="8+x9wAokN1wf5f" int2:id="vwpvWu80">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A10D8"/>
    <w:multiLevelType w:val="hybridMultilevel"/>
    <w:tmpl w:val="D6C2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8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23"/>
    <w:rsid w:val="00005946"/>
    <w:rsid w:val="00010728"/>
    <w:rsid w:val="00016D48"/>
    <w:rsid w:val="000218D1"/>
    <w:rsid w:val="00022A3E"/>
    <w:rsid w:val="00023DDE"/>
    <w:rsid w:val="00024496"/>
    <w:rsid w:val="000260E4"/>
    <w:rsid w:val="00026415"/>
    <w:rsid w:val="000301BB"/>
    <w:rsid w:val="00030427"/>
    <w:rsid w:val="00037F78"/>
    <w:rsid w:val="00040F95"/>
    <w:rsid w:val="0004228F"/>
    <w:rsid w:val="000436CA"/>
    <w:rsid w:val="0005057E"/>
    <w:rsid w:val="00056888"/>
    <w:rsid w:val="00062583"/>
    <w:rsid w:val="00065F9B"/>
    <w:rsid w:val="000671CE"/>
    <w:rsid w:val="00070644"/>
    <w:rsid w:val="000722AF"/>
    <w:rsid w:val="00073B60"/>
    <w:rsid w:val="000778CC"/>
    <w:rsid w:val="00080D52"/>
    <w:rsid w:val="00081ABF"/>
    <w:rsid w:val="00083821"/>
    <w:rsid w:val="00085C90"/>
    <w:rsid w:val="00086C22"/>
    <w:rsid w:val="00086CD9"/>
    <w:rsid w:val="00092F2C"/>
    <w:rsid w:val="00094F9A"/>
    <w:rsid w:val="00095BE9"/>
    <w:rsid w:val="000A5471"/>
    <w:rsid w:val="000A6B5A"/>
    <w:rsid w:val="000B0F85"/>
    <w:rsid w:val="000B37F9"/>
    <w:rsid w:val="000B59B6"/>
    <w:rsid w:val="000C19DD"/>
    <w:rsid w:val="000C444C"/>
    <w:rsid w:val="000C5EAE"/>
    <w:rsid w:val="000D166F"/>
    <w:rsid w:val="000D2383"/>
    <w:rsid w:val="000D3948"/>
    <w:rsid w:val="000D4725"/>
    <w:rsid w:val="000D5A06"/>
    <w:rsid w:val="000E15C3"/>
    <w:rsid w:val="000E2316"/>
    <w:rsid w:val="000F3C4A"/>
    <w:rsid w:val="000F5516"/>
    <w:rsid w:val="001011E0"/>
    <w:rsid w:val="00105DEB"/>
    <w:rsid w:val="001167EC"/>
    <w:rsid w:val="00116E09"/>
    <w:rsid w:val="001201D5"/>
    <w:rsid w:val="00124117"/>
    <w:rsid w:val="00125F1E"/>
    <w:rsid w:val="001265BD"/>
    <w:rsid w:val="00130DDC"/>
    <w:rsid w:val="00136123"/>
    <w:rsid w:val="00140E24"/>
    <w:rsid w:val="0014347B"/>
    <w:rsid w:val="00144267"/>
    <w:rsid w:val="001444CD"/>
    <w:rsid w:val="00151026"/>
    <w:rsid w:val="00151A90"/>
    <w:rsid w:val="0016283A"/>
    <w:rsid w:val="00163B72"/>
    <w:rsid w:val="001720ED"/>
    <w:rsid w:val="00177B16"/>
    <w:rsid w:val="0018105B"/>
    <w:rsid w:val="00187A7E"/>
    <w:rsid w:val="00190047"/>
    <w:rsid w:val="00190D9B"/>
    <w:rsid w:val="001948C7"/>
    <w:rsid w:val="00195AEC"/>
    <w:rsid w:val="00197141"/>
    <w:rsid w:val="001C0B07"/>
    <w:rsid w:val="001C434C"/>
    <w:rsid w:val="001D3775"/>
    <w:rsid w:val="001D3969"/>
    <w:rsid w:val="001D399F"/>
    <w:rsid w:val="001D3A89"/>
    <w:rsid w:val="001D4300"/>
    <w:rsid w:val="001D7B3A"/>
    <w:rsid w:val="001E098A"/>
    <w:rsid w:val="001E0BCA"/>
    <w:rsid w:val="001E1F50"/>
    <w:rsid w:val="001F0771"/>
    <w:rsid w:val="001F3AE2"/>
    <w:rsid w:val="001F77D7"/>
    <w:rsid w:val="00200D0E"/>
    <w:rsid w:val="00202495"/>
    <w:rsid w:val="002120A0"/>
    <w:rsid w:val="0021243B"/>
    <w:rsid w:val="0022281C"/>
    <w:rsid w:val="00226848"/>
    <w:rsid w:val="0022718A"/>
    <w:rsid w:val="0023159F"/>
    <w:rsid w:val="00232744"/>
    <w:rsid w:val="002344A9"/>
    <w:rsid w:val="002404DF"/>
    <w:rsid w:val="00240D94"/>
    <w:rsid w:val="00241803"/>
    <w:rsid w:val="00242953"/>
    <w:rsid w:val="00243189"/>
    <w:rsid w:val="00250A71"/>
    <w:rsid w:val="002539EE"/>
    <w:rsid w:val="00255B57"/>
    <w:rsid w:val="00255C7C"/>
    <w:rsid w:val="0026014B"/>
    <w:rsid w:val="00266CA6"/>
    <w:rsid w:val="002760F4"/>
    <w:rsid w:val="00277244"/>
    <w:rsid w:val="0027752B"/>
    <w:rsid w:val="0028037B"/>
    <w:rsid w:val="00283C03"/>
    <w:rsid w:val="002903E8"/>
    <w:rsid w:val="00291A5E"/>
    <w:rsid w:val="00296105"/>
    <w:rsid w:val="0029659C"/>
    <w:rsid w:val="00296CCE"/>
    <w:rsid w:val="002A0168"/>
    <w:rsid w:val="002A34A6"/>
    <w:rsid w:val="002A7938"/>
    <w:rsid w:val="002B5E7D"/>
    <w:rsid w:val="002B6040"/>
    <w:rsid w:val="002C3AFF"/>
    <w:rsid w:val="002C44AF"/>
    <w:rsid w:val="002C5F6B"/>
    <w:rsid w:val="002C625F"/>
    <w:rsid w:val="002C730C"/>
    <w:rsid w:val="002D271B"/>
    <w:rsid w:val="002D2F19"/>
    <w:rsid w:val="002D7052"/>
    <w:rsid w:val="002E5B3A"/>
    <w:rsid w:val="002F49AA"/>
    <w:rsid w:val="002F50E7"/>
    <w:rsid w:val="003003EF"/>
    <w:rsid w:val="00300B5E"/>
    <w:rsid w:val="00301A9C"/>
    <w:rsid w:val="00313426"/>
    <w:rsid w:val="00316760"/>
    <w:rsid w:val="00320F62"/>
    <w:rsid w:val="00322173"/>
    <w:rsid w:val="00333938"/>
    <w:rsid w:val="003411BA"/>
    <w:rsid w:val="003454EA"/>
    <w:rsid w:val="00351E0C"/>
    <w:rsid w:val="003607A3"/>
    <w:rsid w:val="00362173"/>
    <w:rsid w:val="00363D58"/>
    <w:rsid w:val="00365C48"/>
    <w:rsid w:val="00371D9B"/>
    <w:rsid w:val="00373B61"/>
    <w:rsid w:val="003743A0"/>
    <w:rsid w:val="00384907"/>
    <w:rsid w:val="00384EBA"/>
    <w:rsid w:val="0039412D"/>
    <w:rsid w:val="003A3412"/>
    <w:rsid w:val="003A5E3A"/>
    <w:rsid w:val="003A6309"/>
    <w:rsid w:val="003B2834"/>
    <w:rsid w:val="003B2B0F"/>
    <w:rsid w:val="003D4D28"/>
    <w:rsid w:val="003D6B26"/>
    <w:rsid w:val="003E07FB"/>
    <w:rsid w:val="003E21F2"/>
    <w:rsid w:val="003F40C2"/>
    <w:rsid w:val="003F7E53"/>
    <w:rsid w:val="00400A52"/>
    <w:rsid w:val="004047DB"/>
    <w:rsid w:val="00412FC3"/>
    <w:rsid w:val="00414A29"/>
    <w:rsid w:val="004260D5"/>
    <w:rsid w:val="004273EF"/>
    <w:rsid w:val="004336F8"/>
    <w:rsid w:val="004348FF"/>
    <w:rsid w:val="0044229D"/>
    <w:rsid w:val="00442652"/>
    <w:rsid w:val="00443F0E"/>
    <w:rsid w:val="004542E2"/>
    <w:rsid w:val="0046419F"/>
    <w:rsid w:val="0046544B"/>
    <w:rsid w:val="0047062D"/>
    <w:rsid w:val="004758F2"/>
    <w:rsid w:val="0049334D"/>
    <w:rsid w:val="00493C82"/>
    <w:rsid w:val="0049624C"/>
    <w:rsid w:val="00496595"/>
    <w:rsid w:val="004A0354"/>
    <w:rsid w:val="004A2D79"/>
    <w:rsid w:val="004A5816"/>
    <w:rsid w:val="004A58F5"/>
    <w:rsid w:val="004A7CB4"/>
    <w:rsid w:val="004B09C6"/>
    <w:rsid w:val="004B2C26"/>
    <w:rsid w:val="004B4B6A"/>
    <w:rsid w:val="004C13B2"/>
    <w:rsid w:val="004C4B3E"/>
    <w:rsid w:val="004C5DA0"/>
    <w:rsid w:val="004D1603"/>
    <w:rsid w:val="004D67C0"/>
    <w:rsid w:val="004E71B1"/>
    <w:rsid w:val="004F2EC7"/>
    <w:rsid w:val="004F35A1"/>
    <w:rsid w:val="004F64A4"/>
    <w:rsid w:val="00502AC9"/>
    <w:rsid w:val="00503D48"/>
    <w:rsid w:val="00510396"/>
    <w:rsid w:val="00513503"/>
    <w:rsid w:val="00513E07"/>
    <w:rsid w:val="0052380E"/>
    <w:rsid w:val="005348BF"/>
    <w:rsid w:val="00535A27"/>
    <w:rsid w:val="00537007"/>
    <w:rsid w:val="00537069"/>
    <w:rsid w:val="005421AE"/>
    <w:rsid w:val="00542B7F"/>
    <w:rsid w:val="00542D5B"/>
    <w:rsid w:val="005475E4"/>
    <w:rsid w:val="005578C7"/>
    <w:rsid w:val="00557C19"/>
    <w:rsid w:val="005658A7"/>
    <w:rsid w:val="00570A95"/>
    <w:rsid w:val="00571B58"/>
    <w:rsid w:val="00571C52"/>
    <w:rsid w:val="00572861"/>
    <w:rsid w:val="00573143"/>
    <w:rsid w:val="00576504"/>
    <w:rsid w:val="005825C1"/>
    <w:rsid w:val="00594979"/>
    <w:rsid w:val="005953C1"/>
    <w:rsid w:val="005A3FC3"/>
    <w:rsid w:val="005A5C6E"/>
    <w:rsid w:val="005A621C"/>
    <w:rsid w:val="005B0038"/>
    <w:rsid w:val="005B404F"/>
    <w:rsid w:val="005C3533"/>
    <w:rsid w:val="005D7705"/>
    <w:rsid w:val="005D7B02"/>
    <w:rsid w:val="005F2176"/>
    <w:rsid w:val="005F22D1"/>
    <w:rsid w:val="005F50E6"/>
    <w:rsid w:val="006021A8"/>
    <w:rsid w:val="00602CE8"/>
    <w:rsid w:val="0060544C"/>
    <w:rsid w:val="00611430"/>
    <w:rsid w:val="00612BA3"/>
    <w:rsid w:val="006143CC"/>
    <w:rsid w:val="0062295B"/>
    <w:rsid w:val="00626DFB"/>
    <w:rsid w:val="00635BBD"/>
    <w:rsid w:val="0064015D"/>
    <w:rsid w:val="00644FD7"/>
    <w:rsid w:val="0064528D"/>
    <w:rsid w:val="00645F20"/>
    <w:rsid w:val="006536E9"/>
    <w:rsid w:val="00656E7B"/>
    <w:rsid w:val="006602A0"/>
    <w:rsid w:val="006643CB"/>
    <w:rsid w:val="006648B4"/>
    <w:rsid w:val="00673928"/>
    <w:rsid w:val="00674EDB"/>
    <w:rsid w:val="006771DE"/>
    <w:rsid w:val="006844C4"/>
    <w:rsid w:val="00690C55"/>
    <w:rsid w:val="00691882"/>
    <w:rsid w:val="006942ED"/>
    <w:rsid w:val="00694E76"/>
    <w:rsid w:val="0069517C"/>
    <w:rsid w:val="006A2D08"/>
    <w:rsid w:val="006A5F70"/>
    <w:rsid w:val="006B23A8"/>
    <w:rsid w:val="006B48EF"/>
    <w:rsid w:val="006B6822"/>
    <w:rsid w:val="006B7E52"/>
    <w:rsid w:val="006C2155"/>
    <w:rsid w:val="006C215B"/>
    <w:rsid w:val="006C2415"/>
    <w:rsid w:val="006C6B67"/>
    <w:rsid w:val="006D0061"/>
    <w:rsid w:val="006D0B1E"/>
    <w:rsid w:val="006D0D7E"/>
    <w:rsid w:val="006D123C"/>
    <w:rsid w:val="006D2957"/>
    <w:rsid w:val="006D41E7"/>
    <w:rsid w:val="006E0924"/>
    <w:rsid w:val="006E196B"/>
    <w:rsid w:val="006E6D72"/>
    <w:rsid w:val="006E7D13"/>
    <w:rsid w:val="006F039A"/>
    <w:rsid w:val="006F1244"/>
    <w:rsid w:val="006F47B3"/>
    <w:rsid w:val="006F571E"/>
    <w:rsid w:val="00702E86"/>
    <w:rsid w:val="007062F4"/>
    <w:rsid w:val="007106BE"/>
    <w:rsid w:val="00714288"/>
    <w:rsid w:val="00714B65"/>
    <w:rsid w:val="007259FB"/>
    <w:rsid w:val="0073055E"/>
    <w:rsid w:val="007354E2"/>
    <w:rsid w:val="00737803"/>
    <w:rsid w:val="00745C5A"/>
    <w:rsid w:val="00747FCA"/>
    <w:rsid w:val="00756600"/>
    <w:rsid w:val="00756C9C"/>
    <w:rsid w:val="00757CE9"/>
    <w:rsid w:val="00760E34"/>
    <w:rsid w:val="00767D4E"/>
    <w:rsid w:val="007720DC"/>
    <w:rsid w:val="007750D4"/>
    <w:rsid w:val="00776119"/>
    <w:rsid w:val="00777EE0"/>
    <w:rsid w:val="007804F8"/>
    <w:rsid w:val="00794829"/>
    <w:rsid w:val="007953DE"/>
    <w:rsid w:val="007A3B8F"/>
    <w:rsid w:val="007B2F8C"/>
    <w:rsid w:val="007B4BC8"/>
    <w:rsid w:val="007C408B"/>
    <w:rsid w:val="007C65CC"/>
    <w:rsid w:val="007D044A"/>
    <w:rsid w:val="007D0897"/>
    <w:rsid w:val="007D08DB"/>
    <w:rsid w:val="007D3D05"/>
    <w:rsid w:val="007E630B"/>
    <w:rsid w:val="00802517"/>
    <w:rsid w:val="00807399"/>
    <w:rsid w:val="00810400"/>
    <w:rsid w:val="00830617"/>
    <w:rsid w:val="00842C79"/>
    <w:rsid w:val="00847918"/>
    <w:rsid w:val="0085446F"/>
    <w:rsid w:val="008544B0"/>
    <w:rsid w:val="008548AE"/>
    <w:rsid w:val="0085526A"/>
    <w:rsid w:val="008659F6"/>
    <w:rsid w:val="0086735C"/>
    <w:rsid w:val="008717DF"/>
    <w:rsid w:val="00874176"/>
    <w:rsid w:val="0088062A"/>
    <w:rsid w:val="00881588"/>
    <w:rsid w:val="00882739"/>
    <w:rsid w:val="00887CA9"/>
    <w:rsid w:val="00891A8D"/>
    <w:rsid w:val="0089251B"/>
    <w:rsid w:val="008941A9"/>
    <w:rsid w:val="0089620A"/>
    <w:rsid w:val="008A4081"/>
    <w:rsid w:val="008A74BE"/>
    <w:rsid w:val="008B5631"/>
    <w:rsid w:val="008C4103"/>
    <w:rsid w:val="008C5206"/>
    <w:rsid w:val="008D0A00"/>
    <w:rsid w:val="008D0A7A"/>
    <w:rsid w:val="008E55FB"/>
    <w:rsid w:val="008F0FCF"/>
    <w:rsid w:val="008F35B4"/>
    <w:rsid w:val="00900CBF"/>
    <w:rsid w:val="0090304A"/>
    <w:rsid w:val="00904D38"/>
    <w:rsid w:val="0091038A"/>
    <w:rsid w:val="009167F8"/>
    <w:rsid w:val="00917D4B"/>
    <w:rsid w:val="00924240"/>
    <w:rsid w:val="00926B36"/>
    <w:rsid w:val="00926C71"/>
    <w:rsid w:val="00943F88"/>
    <w:rsid w:val="00947500"/>
    <w:rsid w:val="00952208"/>
    <w:rsid w:val="00963C32"/>
    <w:rsid w:val="00964A47"/>
    <w:rsid w:val="00967012"/>
    <w:rsid w:val="00971D51"/>
    <w:rsid w:val="009743A9"/>
    <w:rsid w:val="00974465"/>
    <w:rsid w:val="00976764"/>
    <w:rsid w:val="00982CAC"/>
    <w:rsid w:val="0098749D"/>
    <w:rsid w:val="009908D3"/>
    <w:rsid w:val="00991553"/>
    <w:rsid w:val="00993293"/>
    <w:rsid w:val="009B0198"/>
    <w:rsid w:val="009B4EC5"/>
    <w:rsid w:val="009C051A"/>
    <w:rsid w:val="009C4995"/>
    <w:rsid w:val="009C5D5C"/>
    <w:rsid w:val="009C68E7"/>
    <w:rsid w:val="009E4B33"/>
    <w:rsid w:val="009F2F02"/>
    <w:rsid w:val="009F2F8E"/>
    <w:rsid w:val="009F67E6"/>
    <w:rsid w:val="00A01E5D"/>
    <w:rsid w:val="00A0676D"/>
    <w:rsid w:val="00A07C45"/>
    <w:rsid w:val="00A111D8"/>
    <w:rsid w:val="00A11602"/>
    <w:rsid w:val="00A252EB"/>
    <w:rsid w:val="00A25DE4"/>
    <w:rsid w:val="00A306C7"/>
    <w:rsid w:val="00A36C83"/>
    <w:rsid w:val="00A4627E"/>
    <w:rsid w:val="00A51F8A"/>
    <w:rsid w:val="00A55D17"/>
    <w:rsid w:val="00A55F60"/>
    <w:rsid w:val="00A56C7B"/>
    <w:rsid w:val="00A62238"/>
    <w:rsid w:val="00A70893"/>
    <w:rsid w:val="00A749D7"/>
    <w:rsid w:val="00A7592B"/>
    <w:rsid w:val="00A7607B"/>
    <w:rsid w:val="00A7775E"/>
    <w:rsid w:val="00A84E3A"/>
    <w:rsid w:val="00A85E0C"/>
    <w:rsid w:val="00A86455"/>
    <w:rsid w:val="00A9043F"/>
    <w:rsid w:val="00A92429"/>
    <w:rsid w:val="00A94974"/>
    <w:rsid w:val="00A96AAD"/>
    <w:rsid w:val="00AA769E"/>
    <w:rsid w:val="00AB0B7E"/>
    <w:rsid w:val="00AB6CDE"/>
    <w:rsid w:val="00AC1307"/>
    <w:rsid w:val="00AC313D"/>
    <w:rsid w:val="00AC3DE3"/>
    <w:rsid w:val="00AC7EA4"/>
    <w:rsid w:val="00AE270A"/>
    <w:rsid w:val="00AE5843"/>
    <w:rsid w:val="00AF14C9"/>
    <w:rsid w:val="00AF6C22"/>
    <w:rsid w:val="00B00268"/>
    <w:rsid w:val="00B0090A"/>
    <w:rsid w:val="00B00C82"/>
    <w:rsid w:val="00B00D9D"/>
    <w:rsid w:val="00B04BDF"/>
    <w:rsid w:val="00B05248"/>
    <w:rsid w:val="00B24878"/>
    <w:rsid w:val="00B26056"/>
    <w:rsid w:val="00B30E6A"/>
    <w:rsid w:val="00B3129B"/>
    <w:rsid w:val="00B36688"/>
    <w:rsid w:val="00B3709F"/>
    <w:rsid w:val="00B432F1"/>
    <w:rsid w:val="00B449F8"/>
    <w:rsid w:val="00B458F2"/>
    <w:rsid w:val="00B5565F"/>
    <w:rsid w:val="00B65CF2"/>
    <w:rsid w:val="00B67E4D"/>
    <w:rsid w:val="00B67E6E"/>
    <w:rsid w:val="00B715FE"/>
    <w:rsid w:val="00B77F2D"/>
    <w:rsid w:val="00B80159"/>
    <w:rsid w:val="00B81281"/>
    <w:rsid w:val="00B823FF"/>
    <w:rsid w:val="00B8407D"/>
    <w:rsid w:val="00B90B23"/>
    <w:rsid w:val="00B91B55"/>
    <w:rsid w:val="00B93E08"/>
    <w:rsid w:val="00B940B2"/>
    <w:rsid w:val="00B94D53"/>
    <w:rsid w:val="00BA097C"/>
    <w:rsid w:val="00BA5D03"/>
    <w:rsid w:val="00BA5D89"/>
    <w:rsid w:val="00BB263B"/>
    <w:rsid w:val="00BB2CCF"/>
    <w:rsid w:val="00BB3621"/>
    <w:rsid w:val="00BB4650"/>
    <w:rsid w:val="00BB74DE"/>
    <w:rsid w:val="00BD10DE"/>
    <w:rsid w:val="00BD2591"/>
    <w:rsid w:val="00BD3257"/>
    <w:rsid w:val="00BD5F6D"/>
    <w:rsid w:val="00BE6599"/>
    <w:rsid w:val="00BE79BD"/>
    <w:rsid w:val="00BF1F75"/>
    <w:rsid w:val="00BF6F60"/>
    <w:rsid w:val="00C00C0E"/>
    <w:rsid w:val="00C16401"/>
    <w:rsid w:val="00C16BAF"/>
    <w:rsid w:val="00C20C37"/>
    <w:rsid w:val="00C31431"/>
    <w:rsid w:val="00C31A93"/>
    <w:rsid w:val="00C32C33"/>
    <w:rsid w:val="00C42682"/>
    <w:rsid w:val="00C45322"/>
    <w:rsid w:val="00C459ED"/>
    <w:rsid w:val="00C50E40"/>
    <w:rsid w:val="00C56851"/>
    <w:rsid w:val="00C61D84"/>
    <w:rsid w:val="00C74844"/>
    <w:rsid w:val="00C84E6B"/>
    <w:rsid w:val="00C86D95"/>
    <w:rsid w:val="00C9559D"/>
    <w:rsid w:val="00C95B66"/>
    <w:rsid w:val="00CA2EB9"/>
    <w:rsid w:val="00CA43BD"/>
    <w:rsid w:val="00CB0BA7"/>
    <w:rsid w:val="00CB2204"/>
    <w:rsid w:val="00CB2C42"/>
    <w:rsid w:val="00CB60DC"/>
    <w:rsid w:val="00CC0447"/>
    <w:rsid w:val="00CC2976"/>
    <w:rsid w:val="00CC35E7"/>
    <w:rsid w:val="00CC3A75"/>
    <w:rsid w:val="00CD161A"/>
    <w:rsid w:val="00CD1DA0"/>
    <w:rsid w:val="00CD1F1C"/>
    <w:rsid w:val="00CD50D4"/>
    <w:rsid w:val="00CD70A8"/>
    <w:rsid w:val="00CE1570"/>
    <w:rsid w:val="00CE1FA4"/>
    <w:rsid w:val="00CE5936"/>
    <w:rsid w:val="00CE6F45"/>
    <w:rsid w:val="00CF6996"/>
    <w:rsid w:val="00D019CF"/>
    <w:rsid w:val="00D05035"/>
    <w:rsid w:val="00D056D1"/>
    <w:rsid w:val="00D059A3"/>
    <w:rsid w:val="00D13201"/>
    <w:rsid w:val="00D303F1"/>
    <w:rsid w:val="00D32672"/>
    <w:rsid w:val="00D33C38"/>
    <w:rsid w:val="00D34D64"/>
    <w:rsid w:val="00D37748"/>
    <w:rsid w:val="00D440EF"/>
    <w:rsid w:val="00D44C8E"/>
    <w:rsid w:val="00D53113"/>
    <w:rsid w:val="00D5714A"/>
    <w:rsid w:val="00D60157"/>
    <w:rsid w:val="00D61FFD"/>
    <w:rsid w:val="00D62744"/>
    <w:rsid w:val="00D6439D"/>
    <w:rsid w:val="00D667B1"/>
    <w:rsid w:val="00D668C8"/>
    <w:rsid w:val="00D83499"/>
    <w:rsid w:val="00D84ECE"/>
    <w:rsid w:val="00D93836"/>
    <w:rsid w:val="00D9561F"/>
    <w:rsid w:val="00D97BF9"/>
    <w:rsid w:val="00DB38D5"/>
    <w:rsid w:val="00DB5CE9"/>
    <w:rsid w:val="00DD7CBC"/>
    <w:rsid w:val="00DD7FC2"/>
    <w:rsid w:val="00DE13DD"/>
    <w:rsid w:val="00DE398A"/>
    <w:rsid w:val="00DE57B8"/>
    <w:rsid w:val="00DF11C7"/>
    <w:rsid w:val="00DF1726"/>
    <w:rsid w:val="00DF22D5"/>
    <w:rsid w:val="00DF5D64"/>
    <w:rsid w:val="00DF7145"/>
    <w:rsid w:val="00E063EF"/>
    <w:rsid w:val="00E10298"/>
    <w:rsid w:val="00E12AC8"/>
    <w:rsid w:val="00E17907"/>
    <w:rsid w:val="00E21913"/>
    <w:rsid w:val="00E21A7E"/>
    <w:rsid w:val="00E22AF9"/>
    <w:rsid w:val="00E238AE"/>
    <w:rsid w:val="00E23BCE"/>
    <w:rsid w:val="00E2592C"/>
    <w:rsid w:val="00E327D3"/>
    <w:rsid w:val="00E331D4"/>
    <w:rsid w:val="00E33AC7"/>
    <w:rsid w:val="00E442AD"/>
    <w:rsid w:val="00E45DAD"/>
    <w:rsid w:val="00E50331"/>
    <w:rsid w:val="00E528F3"/>
    <w:rsid w:val="00E60613"/>
    <w:rsid w:val="00E6150D"/>
    <w:rsid w:val="00E62EAD"/>
    <w:rsid w:val="00E65C92"/>
    <w:rsid w:val="00E74325"/>
    <w:rsid w:val="00E826CB"/>
    <w:rsid w:val="00E973C2"/>
    <w:rsid w:val="00EA11E8"/>
    <w:rsid w:val="00EC5CB0"/>
    <w:rsid w:val="00ED005E"/>
    <w:rsid w:val="00ED1DD7"/>
    <w:rsid w:val="00ED20AE"/>
    <w:rsid w:val="00ED319F"/>
    <w:rsid w:val="00EE1AE6"/>
    <w:rsid w:val="00EE1B68"/>
    <w:rsid w:val="00EF22A6"/>
    <w:rsid w:val="00EF3C30"/>
    <w:rsid w:val="00EF7736"/>
    <w:rsid w:val="00F0018F"/>
    <w:rsid w:val="00F07045"/>
    <w:rsid w:val="00F071F2"/>
    <w:rsid w:val="00F07C16"/>
    <w:rsid w:val="00F07FFD"/>
    <w:rsid w:val="00F12506"/>
    <w:rsid w:val="00F12CB1"/>
    <w:rsid w:val="00F17ECA"/>
    <w:rsid w:val="00F206C9"/>
    <w:rsid w:val="00F30D89"/>
    <w:rsid w:val="00F34199"/>
    <w:rsid w:val="00F35238"/>
    <w:rsid w:val="00F50C26"/>
    <w:rsid w:val="00F53EC5"/>
    <w:rsid w:val="00F54302"/>
    <w:rsid w:val="00F56BE7"/>
    <w:rsid w:val="00F606FC"/>
    <w:rsid w:val="00F64D01"/>
    <w:rsid w:val="00F656E3"/>
    <w:rsid w:val="00F67D3C"/>
    <w:rsid w:val="00F728E6"/>
    <w:rsid w:val="00F80342"/>
    <w:rsid w:val="00F8056D"/>
    <w:rsid w:val="00F80EEA"/>
    <w:rsid w:val="00F81E3C"/>
    <w:rsid w:val="00F844E2"/>
    <w:rsid w:val="00F86CCC"/>
    <w:rsid w:val="00F93614"/>
    <w:rsid w:val="00F93925"/>
    <w:rsid w:val="00FA3BA0"/>
    <w:rsid w:val="00FA66C2"/>
    <w:rsid w:val="00FB54ED"/>
    <w:rsid w:val="00FC064B"/>
    <w:rsid w:val="00FD0055"/>
    <w:rsid w:val="00FD4347"/>
    <w:rsid w:val="00FD5086"/>
    <w:rsid w:val="00FD5CAB"/>
    <w:rsid w:val="00FD7513"/>
    <w:rsid w:val="00FE2786"/>
    <w:rsid w:val="00FE3F3B"/>
    <w:rsid w:val="00FE6F35"/>
    <w:rsid w:val="00FF0C4F"/>
    <w:rsid w:val="00FF18E7"/>
    <w:rsid w:val="00FF6C03"/>
    <w:rsid w:val="00FF6EF6"/>
    <w:rsid w:val="00FF7D2F"/>
    <w:rsid w:val="01348145"/>
    <w:rsid w:val="019DD865"/>
    <w:rsid w:val="01F95156"/>
    <w:rsid w:val="0273AE66"/>
    <w:rsid w:val="029C937F"/>
    <w:rsid w:val="02F39C39"/>
    <w:rsid w:val="039545D9"/>
    <w:rsid w:val="03D8DB94"/>
    <w:rsid w:val="04A8AA74"/>
    <w:rsid w:val="0592CF55"/>
    <w:rsid w:val="06802218"/>
    <w:rsid w:val="07317B62"/>
    <w:rsid w:val="079A4DE5"/>
    <w:rsid w:val="08444E06"/>
    <w:rsid w:val="09A694D0"/>
    <w:rsid w:val="0AC1D399"/>
    <w:rsid w:val="0B07A6D1"/>
    <w:rsid w:val="0BB2C3F8"/>
    <w:rsid w:val="0C3FEB80"/>
    <w:rsid w:val="0C573726"/>
    <w:rsid w:val="0CC62049"/>
    <w:rsid w:val="0D2BC0E1"/>
    <w:rsid w:val="110A8767"/>
    <w:rsid w:val="1287933E"/>
    <w:rsid w:val="130866FB"/>
    <w:rsid w:val="150B21D1"/>
    <w:rsid w:val="16255A8B"/>
    <w:rsid w:val="17DFF27E"/>
    <w:rsid w:val="1817B39B"/>
    <w:rsid w:val="186AADF9"/>
    <w:rsid w:val="18C340B1"/>
    <w:rsid w:val="190536AF"/>
    <w:rsid w:val="190E614A"/>
    <w:rsid w:val="19E66BD7"/>
    <w:rsid w:val="1A28D6A4"/>
    <w:rsid w:val="1A38DF2D"/>
    <w:rsid w:val="1BEE09B1"/>
    <w:rsid w:val="1C88957D"/>
    <w:rsid w:val="1CE8A33C"/>
    <w:rsid w:val="1D36EE2C"/>
    <w:rsid w:val="1E87E89A"/>
    <w:rsid w:val="1F23F8DB"/>
    <w:rsid w:val="1FF693D5"/>
    <w:rsid w:val="2090C1A6"/>
    <w:rsid w:val="20A12D03"/>
    <w:rsid w:val="20FFE08D"/>
    <w:rsid w:val="21890228"/>
    <w:rsid w:val="21BA0E21"/>
    <w:rsid w:val="226D4F48"/>
    <w:rsid w:val="22E921C7"/>
    <w:rsid w:val="25ADF957"/>
    <w:rsid w:val="262E279F"/>
    <w:rsid w:val="26875D96"/>
    <w:rsid w:val="277BB54F"/>
    <w:rsid w:val="27D1B29A"/>
    <w:rsid w:val="27DB6BAA"/>
    <w:rsid w:val="28454D9F"/>
    <w:rsid w:val="2885BA01"/>
    <w:rsid w:val="290EA758"/>
    <w:rsid w:val="2A33A32E"/>
    <w:rsid w:val="2A380DDA"/>
    <w:rsid w:val="2C23ABC2"/>
    <w:rsid w:val="2C4763B6"/>
    <w:rsid w:val="2C867F9C"/>
    <w:rsid w:val="2D43EAC8"/>
    <w:rsid w:val="2E0187A7"/>
    <w:rsid w:val="2EE170AA"/>
    <w:rsid w:val="2FB9BECC"/>
    <w:rsid w:val="2FCAAA24"/>
    <w:rsid w:val="3006380D"/>
    <w:rsid w:val="3020D15A"/>
    <w:rsid w:val="32009F1B"/>
    <w:rsid w:val="327B8223"/>
    <w:rsid w:val="32B4DAAC"/>
    <w:rsid w:val="32CFB4C9"/>
    <w:rsid w:val="3384CF48"/>
    <w:rsid w:val="34765AA0"/>
    <w:rsid w:val="35753954"/>
    <w:rsid w:val="35BCFF10"/>
    <w:rsid w:val="3710E90A"/>
    <w:rsid w:val="375536E3"/>
    <w:rsid w:val="3ADD3CE4"/>
    <w:rsid w:val="3C49B280"/>
    <w:rsid w:val="3D2F5AAD"/>
    <w:rsid w:val="3E5B8C18"/>
    <w:rsid w:val="3F27BCEE"/>
    <w:rsid w:val="4081AE27"/>
    <w:rsid w:val="416EB10A"/>
    <w:rsid w:val="42057A22"/>
    <w:rsid w:val="42CBD215"/>
    <w:rsid w:val="43A22AF1"/>
    <w:rsid w:val="45339A77"/>
    <w:rsid w:val="4549C686"/>
    <w:rsid w:val="45543891"/>
    <w:rsid w:val="455CE35B"/>
    <w:rsid w:val="457EA87F"/>
    <w:rsid w:val="45D53492"/>
    <w:rsid w:val="46E049E9"/>
    <w:rsid w:val="46E87730"/>
    <w:rsid w:val="4711A9B6"/>
    <w:rsid w:val="482D9E80"/>
    <w:rsid w:val="497B8DA2"/>
    <w:rsid w:val="4A26C55E"/>
    <w:rsid w:val="4A339F4B"/>
    <w:rsid w:val="4B8A28EB"/>
    <w:rsid w:val="4BA7C3EE"/>
    <w:rsid w:val="4C88CD5B"/>
    <w:rsid w:val="4D4F0F9C"/>
    <w:rsid w:val="4DC85A9D"/>
    <w:rsid w:val="4EC3558E"/>
    <w:rsid w:val="4FD2E2F4"/>
    <w:rsid w:val="4FD72EDE"/>
    <w:rsid w:val="4FE64A15"/>
    <w:rsid w:val="51AC4FEB"/>
    <w:rsid w:val="524CEFD9"/>
    <w:rsid w:val="52626B8C"/>
    <w:rsid w:val="52C33451"/>
    <w:rsid w:val="53002CAC"/>
    <w:rsid w:val="53164117"/>
    <w:rsid w:val="534ED6AC"/>
    <w:rsid w:val="53E31F18"/>
    <w:rsid w:val="540280B2"/>
    <w:rsid w:val="543A7440"/>
    <w:rsid w:val="54FC958E"/>
    <w:rsid w:val="551E7416"/>
    <w:rsid w:val="5571A8CB"/>
    <w:rsid w:val="559F14F7"/>
    <w:rsid w:val="585AC73D"/>
    <w:rsid w:val="590E2B99"/>
    <w:rsid w:val="59639589"/>
    <w:rsid w:val="5A825D6D"/>
    <w:rsid w:val="5ACBD183"/>
    <w:rsid w:val="5BD57343"/>
    <w:rsid w:val="5CF805CD"/>
    <w:rsid w:val="5D2C56BC"/>
    <w:rsid w:val="5D467CCA"/>
    <w:rsid w:val="5E3410BB"/>
    <w:rsid w:val="5E65703C"/>
    <w:rsid w:val="5EA921A6"/>
    <w:rsid w:val="5FB4A615"/>
    <w:rsid w:val="5FED2236"/>
    <w:rsid w:val="6133336C"/>
    <w:rsid w:val="6133CEF8"/>
    <w:rsid w:val="62E9BCF5"/>
    <w:rsid w:val="6303642C"/>
    <w:rsid w:val="6303CAB0"/>
    <w:rsid w:val="6428795A"/>
    <w:rsid w:val="6444CD28"/>
    <w:rsid w:val="6454D101"/>
    <w:rsid w:val="6577384E"/>
    <w:rsid w:val="658A68C8"/>
    <w:rsid w:val="65CC4B82"/>
    <w:rsid w:val="66728A3F"/>
    <w:rsid w:val="66BA08E5"/>
    <w:rsid w:val="67532DC3"/>
    <w:rsid w:val="699C0141"/>
    <w:rsid w:val="69DD7FA2"/>
    <w:rsid w:val="6B784170"/>
    <w:rsid w:val="6CA7D6BA"/>
    <w:rsid w:val="6EBD7EBA"/>
    <w:rsid w:val="6FB0021A"/>
    <w:rsid w:val="717F7A83"/>
    <w:rsid w:val="724FC7F9"/>
    <w:rsid w:val="72CF8354"/>
    <w:rsid w:val="73B9B1E2"/>
    <w:rsid w:val="74913351"/>
    <w:rsid w:val="753D480C"/>
    <w:rsid w:val="75784D6C"/>
    <w:rsid w:val="765151D3"/>
    <w:rsid w:val="76E91D65"/>
    <w:rsid w:val="78288BB5"/>
    <w:rsid w:val="78B879AF"/>
    <w:rsid w:val="7A861709"/>
    <w:rsid w:val="7A98FBF8"/>
    <w:rsid w:val="7BC3B1C5"/>
    <w:rsid w:val="7DA4F7F6"/>
    <w:rsid w:val="7DC63BF5"/>
    <w:rsid w:val="7E64E9CD"/>
    <w:rsid w:val="7E84232C"/>
    <w:rsid w:val="7F12F9B7"/>
    <w:rsid w:val="7F64C5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54CB4"/>
  <w15:chartTrackingRefBased/>
  <w15:docId w15:val="{CD6A3E03-71A6-4130-934F-8470D6DC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6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6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6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6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123"/>
    <w:rPr>
      <w:rFonts w:eastAsiaTheme="majorEastAsia" w:cstheme="majorBidi"/>
      <w:color w:val="272727" w:themeColor="text1" w:themeTint="D8"/>
    </w:rPr>
  </w:style>
  <w:style w:type="paragraph" w:styleId="Title">
    <w:name w:val="Title"/>
    <w:basedOn w:val="Normal"/>
    <w:next w:val="Normal"/>
    <w:link w:val="TitleChar"/>
    <w:uiPriority w:val="10"/>
    <w:qFormat/>
    <w:rsid w:val="00136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123"/>
    <w:pPr>
      <w:spacing w:before="160"/>
      <w:jc w:val="center"/>
    </w:pPr>
    <w:rPr>
      <w:i/>
      <w:iCs/>
      <w:color w:val="404040" w:themeColor="text1" w:themeTint="BF"/>
    </w:rPr>
  </w:style>
  <w:style w:type="character" w:customStyle="1" w:styleId="QuoteChar">
    <w:name w:val="Quote Char"/>
    <w:basedOn w:val="DefaultParagraphFont"/>
    <w:link w:val="Quote"/>
    <w:uiPriority w:val="29"/>
    <w:rsid w:val="00136123"/>
    <w:rPr>
      <w:i/>
      <w:iCs/>
      <w:color w:val="404040" w:themeColor="text1" w:themeTint="BF"/>
    </w:rPr>
  </w:style>
  <w:style w:type="paragraph" w:styleId="ListParagraph">
    <w:name w:val="List Paragraph"/>
    <w:basedOn w:val="Normal"/>
    <w:uiPriority w:val="34"/>
    <w:qFormat/>
    <w:rsid w:val="00136123"/>
    <w:pPr>
      <w:ind w:left="720"/>
      <w:contextualSpacing/>
    </w:pPr>
  </w:style>
  <w:style w:type="character" w:styleId="IntenseEmphasis">
    <w:name w:val="Intense Emphasis"/>
    <w:basedOn w:val="DefaultParagraphFont"/>
    <w:uiPriority w:val="21"/>
    <w:qFormat/>
    <w:rsid w:val="00136123"/>
    <w:rPr>
      <w:i/>
      <w:iCs/>
      <w:color w:val="0F4761" w:themeColor="accent1" w:themeShade="BF"/>
    </w:rPr>
  </w:style>
  <w:style w:type="paragraph" w:styleId="IntenseQuote">
    <w:name w:val="Intense Quote"/>
    <w:basedOn w:val="Normal"/>
    <w:next w:val="Normal"/>
    <w:link w:val="IntenseQuoteChar"/>
    <w:uiPriority w:val="30"/>
    <w:qFormat/>
    <w:rsid w:val="00136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123"/>
    <w:rPr>
      <w:i/>
      <w:iCs/>
      <w:color w:val="0F4761" w:themeColor="accent1" w:themeShade="BF"/>
    </w:rPr>
  </w:style>
  <w:style w:type="character" w:styleId="IntenseReference">
    <w:name w:val="Intense Reference"/>
    <w:basedOn w:val="DefaultParagraphFont"/>
    <w:uiPriority w:val="32"/>
    <w:qFormat/>
    <w:rsid w:val="00136123"/>
    <w:rPr>
      <w:b/>
      <w:bCs/>
      <w:smallCaps/>
      <w:color w:val="0F4761" w:themeColor="accent1" w:themeShade="BF"/>
      <w:spacing w:val="5"/>
    </w:rPr>
  </w:style>
  <w:style w:type="paragraph" w:styleId="Header">
    <w:name w:val="header"/>
    <w:basedOn w:val="Normal"/>
    <w:link w:val="HeaderChar"/>
    <w:uiPriority w:val="99"/>
    <w:unhideWhenUsed/>
    <w:rsid w:val="00DE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DD"/>
  </w:style>
  <w:style w:type="paragraph" w:styleId="Footer">
    <w:name w:val="footer"/>
    <w:basedOn w:val="Normal"/>
    <w:link w:val="FooterChar"/>
    <w:uiPriority w:val="99"/>
    <w:unhideWhenUsed/>
    <w:rsid w:val="00DE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D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8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143CC"/>
    <w:pPr>
      <w:spacing w:after="100"/>
    </w:pPr>
    <w:rPr>
      <w:lang w:val="en-IN"/>
    </w:rPr>
  </w:style>
  <w:style w:type="paragraph" w:styleId="TOC2">
    <w:name w:val="toc 2"/>
    <w:basedOn w:val="Normal"/>
    <w:next w:val="Normal"/>
    <w:autoRedefine/>
    <w:uiPriority w:val="39"/>
    <w:unhideWhenUsed/>
    <w:rsid w:val="006143CC"/>
    <w:pPr>
      <w:spacing w:after="100"/>
      <w:ind w:left="220"/>
    </w:pPr>
    <w:rPr>
      <w:lang w:val="en-IN"/>
    </w:rPr>
  </w:style>
  <w:style w:type="character" w:styleId="Hyperlink">
    <w:name w:val="Hyperlink"/>
    <w:basedOn w:val="DefaultParagraphFont"/>
    <w:uiPriority w:val="99"/>
    <w:unhideWhenUsed/>
    <w:rsid w:val="006143CC"/>
    <w:rPr>
      <w:color w:val="467886" w:themeColor="hyperlink"/>
      <w:u w:val="single"/>
    </w:rPr>
  </w:style>
  <w:style w:type="paragraph" w:customStyle="1" w:styleId="paragraph">
    <w:name w:val="paragraph"/>
    <w:basedOn w:val="Normal"/>
    <w:rsid w:val="00A56C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56C7B"/>
  </w:style>
  <w:style w:type="character" w:customStyle="1" w:styleId="eop">
    <w:name w:val="eop"/>
    <w:basedOn w:val="DefaultParagraphFont"/>
    <w:rsid w:val="00A56C7B"/>
  </w:style>
  <w:style w:type="character" w:styleId="UnresolvedMention">
    <w:name w:val="Unresolved Mention"/>
    <w:basedOn w:val="DefaultParagraphFont"/>
    <w:uiPriority w:val="99"/>
    <w:semiHidden/>
    <w:unhideWhenUsed/>
    <w:rsid w:val="003743A0"/>
    <w:rPr>
      <w:color w:val="605E5C"/>
      <w:shd w:val="clear" w:color="auto" w:fill="E1DFDD"/>
    </w:rPr>
  </w:style>
  <w:style w:type="character" w:customStyle="1" w:styleId="mord">
    <w:name w:val="mord"/>
    <w:basedOn w:val="DefaultParagraphFont"/>
    <w:rsid w:val="00255C7C"/>
  </w:style>
  <w:style w:type="character" w:customStyle="1" w:styleId="mrel">
    <w:name w:val="mrel"/>
    <w:basedOn w:val="DefaultParagraphFont"/>
    <w:rsid w:val="00255C7C"/>
  </w:style>
  <w:style w:type="character" w:customStyle="1" w:styleId="mopen">
    <w:name w:val="mopen"/>
    <w:basedOn w:val="DefaultParagraphFont"/>
    <w:rsid w:val="00255C7C"/>
  </w:style>
  <w:style w:type="character" w:customStyle="1" w:styleId="mbin">
    <w:name w:val="mbin"/>
    <w:basedOn w:val="DefaultParagraphFont"/>
    <w:rsid w:val="00255C7C"/>
  </w:style>
  <w:style w:type="character" w:customStyle="1" w:styleId="mclose">
    <w:name w:val="mclose"/>
    <w:basedOn w:val="DefaultParagraphFont"/>
    <w:rsid w:val="00255C7C"/>
  </w:style>
  <w:style w:type="paragraph" w:styleId="NormalWeb">
    <w:name w:val="Normal (Web)"/>
    <w:basedOn w:val="Normal"/>
    <w:uiPriority w:val="99"/>
    <w:semiHidden/>
    <w:unhideWhenUsed/>
    <w:rsid w:val="00255C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255C7C"/>
  </w:style>
  <w:style w:type="character" w:customStyle="1" w:styleId="vlist-s">
    <w:name w:val="vlist-s"/>
    <w:basedOn w:val="DefaultParagraphFont"/>
    <w:rsid w:val="00255C7C"/>
  </w:style>
  <w:style w:type="character" w:styleId="Strong">
    <w:name w:val="Strong"/>
    <w:basedOn w:val="DefaultParagraphFont"/>
    <w:uiPriority w:val="22"/>
    <w:qFormat/>
    <w:rsid w:val="00255C7C"/>
    <w:rPr>
      <w:b/>
      <w:bCs/>
    </w:rPr>
  </w:style>
  <w:style w:type="paragraph" w:styleId="NoSpacing">
    <w:name w:val="No Spacing"/>
    <w:uiPriority w:val="1"/>
    <w:qFormat/>
    <w:rsid w:val="00255C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9715">
      <w:bodyDiv w:val="1"/>
      <w:marLeft w:val="0"/>
      <w:marRight w:val="0"/>
      <w:marTop w:val="0"/>
      <w:marBottom w:val="0"/>
      <w:divBdr>
        <w:top w:val="none" w:sz="0" w:space="0" w:color="auto"/>
        <w:left w:val="none" w:sz="0" w:space="0" w:color="auto"/>
        <w:bottom w:val="none" w:sz="0" w:space="0" w:color="auto"/>
        <w:right w:val="none" w:sz="0" w:space="0" w:color="auto"/>
      </w:divBdr>
    </w:div>
    <w:div w:id="106851561">
      <w:bodyDiv w:val="1"/>
      <w:marLeft w:val="0"/>
      <w:marRight w:val="0"/>
      <w:marTop w:val="0"/>
      <w:marBottom w:val="0"/>
      <w:divBdr>
        <w:top w:val="none" w:sz="0" w:space="0" w:color="auto"/>
        <w:left w:val="none" w:sz="0" w:space="0" w:color="auto"/>
        <w:bottom w:val="none" w:sz="0" w:space="0" w:color="auto"/>
        <w:right w:val="none" w:sz="0" w:space="0" w:color="auto"/>
      </w:divBdr>
    </w:div>
    <w:div w:id="218904274">
      <w:bodyDiv w:val="1"/>
      <w:marLeft w:val="0"/>
      <w:marRight w:val="0"/>
      <w:marTop w:val="0"/>
      <w:marBottom w:val="0"/>
      <w:divBdr>
        <w:top w:val="none" w:sz="0" w:space="0" w:color="auto"/>
        <w:left w:val="none" w:sz="0" w:space="0" w:color="auto"/>
        <w:bottom w:val="none" w:sz="0" w:space="0" w:color="auto"/>
        <w:right w:val="none" w:sz="0" w:space="0" w:color="auto"/>
      </w:divBdr>
    </w:div>
    <w:div w:id="270821283">
      <w:bodyDiv w:val="1"/>
      <w:marLeft w:val="0"/>
      <w:marRight w:val="0"/>
      <w:marTop w:val="0"/>
      <w:marBottom w:val="0"/>
      <w:divBdr>
        <w:top w:val="none" w:sz="0" w:space="0" w:color="auto"/>
        <w:left w:val="none" w:sz="0" w:space="0" w:color="auto"/>
        <w:bottom w:val="none" w:sz="0" w:space="0" w:color="auto"/>
        <w:right w:val="none" w:sz="0" w:space="0" w:color="auto"/>
      </w:divBdr>
    </w:div>
    <w:div w:id="401564949">
      <w:bodyDiv w:val="1"/>
      <w:marLeft w:val="0"/>
      <w:marRight w:val="0"/>
      <w:marTop w:val="0"/>
      <w:marBottom w:val="0"/>
      <w:divBdr>
        <w:top w:val="none" w:sz="0" w:space="0" w:color="auto"/>
        <w:left w:val="none" w:sz="0" w:space="0" w:color="auto"/>
        <w:bottom w:val="none" w:sz="0" w:space="0" w:color="auto"/>
        <w:right w:val="none" w:sz="0" w:space="0" w:color="auto"/>
      </w:divBdr>
    </w:div>
    <w:div w:id="511263351">
      <w:bodyDiv w:val="1"/>
      <w:marLeft w:val="0"/>
      <w:marRight w:val="0"/>
      <w:marTop w:val="0"/>
      <w:marBottom w:val="0"/>
      <w:divBdr>
        <w:top w:val="none" w:sz="0" w:space="0" w:color="auto"/>
        <w:left w:val="none" w:sz="0" w:space="0" w:color="auto"/>
        <w:bottom w:val="none" w:sz="0" w:space="0" w:color="auto"/>
        <w:right w:val="none" w:sz="0" w:space="0" w:color="auto"/>
      </w:divBdr>
    </w:div>
    <w:div w:id="526911892">
      <w:bodyDiv w:val="1"/>
      <w:marLeft w:val="0"/>
      <w:marRight w:val="0"/>
      <w:marTop w:val="0"/>
      <w:marBottom w:val="0"/>
      <w:divBdr>
        <w:top w:val="none" w:sz="0" w:space="0" w:color="auto"/>
        <w:left w:val="none" w:sz="0" w:space="0" w:color="auto"/>
        <w:bottom w:val="none" w:sz="0" w:space="0" w:color="auto"/>
        <w:right w:val="none" w:sz="0" w:space="0" w:color="auto"/>
      </w:divBdr>
    </w:div>
    <w:div w:id="558513060">
      <w:bodyDiv w:val="1"/>
      <w:marLeft w:val="0"/>
      <w:marRight w:val="0"/>
      <w:marTop w:val="0"/>
      <w:marBottom w:val="0"/>
      <w:divBdr>
        <w:top w:val="none" w:sz="0" w:space="0" w:color="auto"/>
        <w:left w:val="none" w:sz="0" w:space="0" w:color="auto"/>
        <w:bottom w:val="none" w:sz="0" w:space="0" w:color="auto"/>
        <w:right w:val="none" w:sz="0" w:space="0" w:color="auto"/>
      </w:divBdr>
    </w:div>
    <w:div w:id="616065959">
      <w:bodyDiv w:val="1"/>
      <w:marLeft w:val="0"/>
      <w:marRight w:val="0"/>
      <w:marTop w:val="0"/>
      <w:marBottom w:val="0"/>
      <w:divBdr>
        <w:top w:val="none" w:sz="0" w:space="0" w:color="auto"/>
        <w:left w:val="none" w:sz="0" w:space="0" w:color="auto"/>
        <w:bottom w:val="none" w:sz="0" w:space="0" w:color="auto"/>
        <w:right w:val="none" w:sz="0" w:space="0" w:color="auto"/>
      </w:divBdr>
    </w:div>
    <w:div w:id="650519901">
      <w:bodyDiv w:val="1"/>
      <w:marLeft w:val="0"/>
      <w:marRight w:val="0"/>
      <w:marTop w:val="0"/>
      <w:marBottom w:val="0"/>
      <w:divBdr>
        <w:top w:val="none" w:sz="0" w:space="0" w:color="auto"/>
        <w:left w:val="none" w:sz="0" w:space="0" w:color="auto"/>
        <w:bottom w:val="none" w:sz="0" w:space="0" w:color="auto"/>
        <w:right w:val="none" w:sz="0" w:space="0" w:color="auto"/>
      </w:divBdr>
    </w:div>
    <w:div w:id="704914704">
      <w:bodyDiv w:val="1"/>
      <w:marLeft w:val="0"/>
      <w:marRight w:val="0"/>
      <w:marTop w:val="0"/>
      <w:marBottom w:val="0"/>
      <w:divBdr>
        <w:top w:val="none" w:sz="0" w:space="0" w:color="auto"/>
        <w:left w:val="none" w:sz="0" w:space="0" w:color="auto"/>
        <w:bottom w:val="none" w:sz="0" w:space="0" w:color="auto"/>
        <w:right w:val="none" w:sz="0" w:space="0" w:color="auto"/>
      </w:divBdr>
    </w:div>
    <w:div w:id="762336212">
      <w:bodyDiv w:val="1"/>
      <w:marLeft w:val="0"/>
      <w:marRight w:val="0"/>
      <w:marTop w:val="0"/>
      <w:marBottom w:val="0"/>
      <w:divBdr>
        <w:top w:val="none" w:sz="0" w:space="0" w:color="auto"/>
        <w:left w:val="none" w:sz="0" w:space="0" w:color="auto"/>
        <w:bottom w:val="none" w:sz="0" w:space="0" w:color="auto"/>
        <w:right w:val="none" w:sz="0" w:space="0" w:color="auto"/>
      </w:divBdr>
    </w:div>
    <w:div w:id="762796954">
      <w:bodyDiv w:val="1"/>
      <w:marLeft w:val="0"/>
      <w:marRight w:val="0"/>
      <w:marTop w:val="0"/>
      <w:marBottom w:val="0"/>
      <w:divBdr>
        <w:top w:val="none" w:sz="0" w:space="0" w:color="auto"/>
        <w:left w:val="none" w:sz="0" w:space="0" w:color="auto"/>
        <w:bottom w:val="none" w:sz="0" w:space="0" w:color="auto"/>
        <w:right w:val="none" w:sz="0" w:space="0" w:color="auto"/>
      </w:divBdr>
    </w:div>
    <w:div w:id="786119463">
      <w:bodyDiv w:val="1"/>
      <w:marLeft w:val="0"/>
      <w:marRight w:val="0"/>
      <w:marTop w:val="0"/>
      <w:marBottom w:val="0"/>
      <w:divBdr>
        <w:top w:val="none" w:sz="0" w:space="0" w:color="auto"/>
        <w:left w:val="none" w:sz="0" w:space="0" w:color="auto"/>
        <w:bottom w:val="none" w:sz="0" w:space="0" w:color="auto"/>
        <w:right w:val="none" w:sz="0" w:space="0" w:color="auto"/>
      </w:divBdr>
    </w:div>
    <w:div w:id="809902930">
      <w:bodyDiv w:val="1"/>
      <w:marLeft w:val="0"/>
      <w:marRight w:val="0"/>
      <w:marTop w:val="0"/>
      <w:marBottom w:val="0"/>
      <w:divBdr>
        <w:top w:val="none" w:sz="0" w:space="0" w:color="auto"/>
        <w:left w:val="none" w:sz="0" w:space="0" w:color="auto"/>
        <w:bottom w:val="none" w:sz="0" w:space="0" w:color="auto"/>
        <w:right w:val="none" w:sz="0" w:space="0" w:color="auto"/>
      </w:divBdr>
    </w:div>
    <w:div w:id="878468422">
      <w:bodyDiv w:val="1"/>
      <w:marLeft w:val="0"/>
      <w:marRight w:val="0"/>
      <w:marTop w:val="0"/>
      <w:marBottom w:val="0"/>
      <w:divBdr>
        <w:top w:val="none" w:sz="0" w:space="0" w:color="auto"/>
        <w:left w:val="none" w:sz="0" w:space="0" w:color="auto"/>
        <w:bottom w:val="none" w:sz="0" w:space="0" w:color="auto"/>
        <w:right w:val="none" w:sz="0" w:space="0" w:color="auto"/>
      </w:divBdr>
    </w:div>
    <w:div w:id="904803415">
      <w:bodyDiv w:val="1"/>
      <w:marLeft w:val="0"/>
      <w:marRight w:val="0"/>
      <w:marTop w:val="0"/>
      <w:marBottom w:val="0"/>
      <w:divBdr>
        <w:top w:val="none" w:sz="0" w:space="0" w:color="auto"/>
        <w:left w:val="none" w:sz="0" w:space="0" w:color="auto"/>
        <w:bottom w:val="none" w:sz="0" w:space="0" w:color="auto"/>
        <w:right w:val="none" w:sz="0" w:space="0" w:color="auto"/>
      </w:divBdr>
    </w:div>
    <w:div w:id="996879409">
      <w:bodyDiv w:val="1"/>
      <w:marLeft w:val="0"/>
      <w:marRight w:val="0"/>
      <w:marTop w:val="0"/>
      <w:marBottom w:val="0"/>
      <w:divBdr>
        <w:top w:val="none" w:sz="0" w:space="0" w:color="auto"/>
        <w:left w:val="none" w:sz="0" w:space="0" w:color="auto"/>
        <w:bottom w:val="none" w:sz="0" w:space="0" w:color="auto"/>
        <w:right w:val="none" w:sz="0" w:space="0" w:color="auto"/>
      </w:divBdr>
    </w:div>
    <w:div w:id="1223296167">
      <w:bodyDiv w:val="1"/>
      <w:marLeft w:val="0"/>
      <w:marRight w:val="0"/>
      <w:marTop w:val="0"/>
      <w:marBottom w:val="0"/>
      <w:divBdr>
        <w:top w:val="none" w:sz="0" w:space="0" w:color="auto"/>
        <w:left w:val="none" w:sz="0" w:space="0" w:color="auto"/>
        <w:bottom w:val="none" w:sz="0" w:space="0" w:color="auto"/>
        <w:right w:val="none" w:sz="0" w:space="0" w:color="auto"/>
      </w:divBdr>
    </w:div>
    <w:div w:id="1305355264">
      <w:bodyDiv w:val="1"/>
      <w:marLeft w:val="0"/>
      <w:marRight w:val="0"/>
      <w:marTop w:val="0"/>
      <w:marBottom w:val="0"/>
      <w:divBdr>
        <w:top w:val="none" w:sz="0" w:space="0" w:color="auto"/>
        <w:left w:val="none" w:sz="0" w:space="0" w:color="auto"/>
        <w:bottom w:val="none" w:sz="0" w:space="0" w:color="auto"/>
        <w:right w:val="none" w:sz="0" w:space="0" w:color="auto"/>
      </w:divBdr>
    </w:div>
    <w:div w:id="1352146211">
      <w:bodyDiv w:val="1"/>
      <w:marLeft w:val="0"/>
      <w:marRight w:val="0"/>
      <w:marTop w:val="0"/>
      <w:marBottom w:val="0"/>
      <w:divBdr>
        <w:top w:val="none" w:sz="0" w:space="0" w:color="auto"/>
        <w:left w:val="none" w:sz="0" w:space="0" w:color="auto"/>
        <w:bottom w:val="none" w:sz="0" w:space="0" w:color="auto"/>
        <w:right w:val="none" w:sz="0" w:space="0" w:color="auto"/>
      </w:divBdr>
    </w:div>
    <w:div w:id="1531146423">
      <w:bodyDiv w:val="1"/>
      <w:marLeft w:val="0"/>
      <w:marRight w:val="0"/>
      <w:marTop w:val="0"/>
      <w:marBottom w:val="0"/>
      <w:divBdr>
        <w:top w:val="none" w:sz="0" w:space="0" w:color="auto"/>
        <w:left w:val="none" w:sz="0" w:space="0" w:color="auto"/>
        <w:bottom w:val="none" w:sz="0" w:space="0" w:color="auto"/>
        <w:right w:val="none" w:sz="0" w:space="0" w:color="auto"/>
      </w:divBdr>
    </w:div>
    <w:div w:id="1680740728">
      <w:bodyDiv w:val="1"/>
      <w:marLeft w:val="0"/>
      <w:marRight w:val="0"/>
      <w:marTop w:val="0"/>
      <w:marBottom w:val="0"/>
      <w:divBdr>
        <w:top w:val="none" w:sz="0" w:space="0" w:color="auto"/>
        <w:left w:val="none" w:sz="0" w:space="0" w:color="auto"/>
        <w:bottom w:val="none" w:sz="0" w:space="0" w:color="auto"/>
        <w:right w:val="none" w:sz="0" w:space="0" w:color="auto"/>
      </w:divBdr>
    </w:div>
    <w:div w:id="1726559847">
      <w:bodyDiv w:val="1"/>
      <w:marLeft w:val="0"/>
      <w:marRight w:val="0"/>
      <w:marTop w:val="0"/>
      <w:marBottom w:val="0"/>
      <w:divBdr>
        <w:top w:val="none" w:sz="0" w:space="0" w:color="auto"/>
        <w:left w:val="none" w:sz="0" w:space="0" w:color="auto"/>
        <w:bottom w:val="none" w:sz="0" w:space="0" w:color="auto"/>
        <w:right w:val="none" w:sz="0" w:space="0" w:color="auto"/>
      </w:divBdr>
    </w:div>
    <w:div w:id="1815180382">
      <w:bodyDiv w:val="1"/>
      <w:marLeft w:val="0"/>
      <w:marRight w:val="0"/>
      <w:marTop w:val="0"/>
      <w:marBottom w:val="0"/>
      <w:divBdr>
        <w:top w:val="none" w:sz="0" w:space="0" w:color="auto"/>
        <w:left w:val="none" w:sz="0" w:space="0" w:color="auto"/>
        <w:bottom w:val="none" w:sz="0" w:space="0" w:color="auto"/>
        <w:right w:val="none" w:sz="0" w:space="0" w:color="auto"/>
      </w:divBdr>
    </w:div>
    <w:div w:id="1833520695">
      <w:bodyDiv w:val="1"/>
      <w:marLeft w:val="0"/>
      <w:marRight w:val="0"/>
      <w:marTop w:val="0"/>
      <w:marBottom w:val="0"/>
      <w:divBdr>
        <w:top w:val="none" w:sz="0" w:space="0" w:color="auto"/>
        <w:left w:val="none" w:sz="0" w:space="0" w:color="auto"/>
        <w:bottom w:val="none" w:sz="0" w:space="0" w:color="auto"/>
        <w:right w:val="none" w:sz="0" w:space="0" w:color="auto"/>
      </w:divBdr>
    </w:div>
    <w:div w:id="1883053737">
      <w:bodyDiv w:val="1"/>
      <w:marLeft w:val="0"/>
      <w:marRight w:val="0"/>
      <w:marTop w:val="0"/>
      <w:marBottom w:val="0"/>
      <w:divBdr>
        <w:top w:val="none" w:sz="0" w:space="0" w:color="auto"/>
        <w:left w:val="none" w:sz="0" w:space="0" w:color="auto"/>
        <w:bottom w:val="none" w:sz="0" w:space="0" w:color="auto"/>
        <w:right w:val="none" w:sz="0" w:space="0" w:color="auto"/>
      </w:divBdr>
    </w:div>
    <w:div w:id="21265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centralmichigan-my.sharepoint.com/personal/veled1y_cmich_edu/Documents/Climate%20Analysis%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823cf9b2c32e2f5/Desktop/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entralmichigan-my.sharepoint.com/personal/veled1y_cmich_edu/Documents/Climate%20Analysis%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entralmichigan-my.sharepoint.com/personal/veled1y_cmich_edu/Documents/Climate%20Analysis%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swara\Desktop\forecast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rPr>
              <a:t>Sentivity Graph</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'Decision Analysis'!$B$2</c:f>
              <c:strCache>
                <c:ptCount val="1"/>
                <c:pt idx="0">
                  <c:v>Coal</c:v>
                </c:pt>
              </c:strCache>
            </c:strRef>
          </c:tx>
          <c:spPr>
            <a:ln w="28575" cap="rnd">
              <a:solidFill>
                <a:schemeClr val="accent1"/>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Analysis'!$B$3:$B$103</c:f>
              <c:numCache>
                <c:formatCode>General</c:formatCode>
                <c:ptCount val="101"/>
                <c:pt idx="0">
                  <c:v>111.89</c:v>
                </c:pt>
                <c:pt idx="1">
                  <c:v>114.62</c:v>
                </c:pt>
                <c:pt idx="2">
                  <c:v>117.34</c:v>
                </c:pt>
                <c:pt idx="3">
                  <c:v>120.13</c:v>
                </c:pt>
                <c:pt idx="4">
                  <c:v>123.27</c:v>
                </c:pt>
                <c:pt idx="5">
                  <c:v>126.88</c:v>
                </c:pt>
                <c:pt idx="6">
                  <c:v>130.71</c:v>
                </c:pt>
                <c:pt idx="7">
                  <c:v>134.80000000000001</c:v>
                </c:pt>
                <c:pt idx="8">
                  <c:v>138.85</c:v>
                </c:pt>
                <c:pt idx="9">
                  <c:v>141.79</c:v>
                </c:pt>
                <c:pt idx="10">
                  <c:v>143.44999999999999</c:v>
                </c:pt>
                <c:pt idx="11">
                  <c:v>146.27000000000001</c:v>
                </c:pt>
                <c:pt idx="12">
                  <c:v>149.19</c:v>
                </c:pt>
                <c:pt idx="13">
                  <c:v>151.77000000000001</c:v>
                </c:pt>
                <c:pt idx="14">
                  <c:v>154.13</c:v>
                </c:pt>
                <c:pt idx="15">
                  <c:v>156.37</c:v>
                </c:pt>
                <c:pt idx="16">
                  <c:v>158.15</c:v>
                </c:pt>
                <c:pt idx="17">
                  <c:v>159.58000000000001</c:v>
                </c:pt>
                <c:pt idx="18">
                  <c:v>160.97</c:v>
                </c:pt>
                <c:pt idx="19">
                  <c:v>162</c:v>
                </c:pt>
                <c:pt idx="20">
                  <c:v>161.26</c:v>
                </c:pt>
                <c:pt idx="21">
                  <c:v>158.6</c:v>
                </c:pt>
                <c:pt idx="22">
                  <c:v>158.82</c:v>
                </c:pt>
                <c:pt idx="23">
                  <c:v>159.35</c:v>
                </c:pt>
                <c:pt idx="24">
                  <c:v>159.61000000000001</c:v>
                </c:pt>
                <c:pt idx="25">
                  <c:v>154.5</c:v>
                </c:pt>
                <c:pt idx="26">
                  <c:v>146.59</c:v>
                </c:pt>
                <c:pt idx="27">
                  <c:v>138.68</c:v>
                </c:pt>
                <c:pt idx="28">
                  <c:v>130.91</c:v>
                </c:pt>
                <c:pt idx="29">
                  <c:v>123.22</c:v>
                </c:pt>
                <c:pt idx="30">
                  <c:v>115.54</c:v>
                </c:pt>
                <c:pt idx="31">
                  <c:v>107.87</c:v>
                </c:pt>
                <c:pt idx="32">
                  <c:v>100.23</c:v>
                </c:pt>
                <c:pt idx="33">
                  <c:v>92.7</c:v>
                </c:pt>
                <c:pt idx="34">
                  <c:v>85.4</c:v>
                </c:pt>
                <c:pt idx="35">
                  <c:v>79.260000000000005</c:v>
                </c:pt>
                <c:pt idx="36">
                  <c:v>74</c:v>
                </c:pt>
                <c:pt idx="37">
                  <c:v>69.13</c:v>
                </c:pt>
                <c:pt idx="38">
                  <c:v>64.900000000000006</c:v>
                </c:pt>
                <c:pt idx="39">
                  <c:v>61.72</c:v>
                </c:pt>
                <c:pt idx="40">
                  <c:v>59.43</c:v>
                </c:pt>
                <c:pt idx="41">
                  <c:v>57.71</c:v>
                </c:pt>
                <c:pt idx="42">
                  <c:v>56.39</c:v>
                </c:pt>
                <c:pt idx="43">
                  <c:v>55.31</c:v>
                </c:pt>
                <c:pt idx="44">
                  <c:v>54.33</c:v>
                </c:pt>
                <c:pt idx="45">
                  <c:v>53.37</c:v>
                </c:pt>
                <c:pt idx="46">
                  <c:v>52.73</c:v>
                </c:pt>
                <c:pt idx="47">
                  <c:v>52.49</c:v>
                </c:pt>
                <c:pt idx="48">
                  <c:v>52.28</c:v>
                </c:pt>
                <c:pt idx="49">
                  <c:v>51.76</c:v>
                </c:pt>
                <c:pt idx="50">
                  <c:v>50.77</c:v>
                </c:pt>
                <c:pt idx="51">
                  <c:v>49.34</c:v>
                </c:pt>
                <c:pt idx="52">
                  <c:v>47.54</c:v>
                </c:pt>
                <c:pt idx="53">
                  <c:v>45.47</c:v>
                </c:pt>
                <c:pt idx="54">
                  <c:v>43.28</c:v>
                </c:pt>
                <c:pt idx="55">
                  <c:v>41.17</c:v>
                </c:pt>
                <c:pt idx="56">
                  <c:v>39.520000000000003</c:v>
                </c:pt>
                <c:pt idx="57">
                  <c:v>38.47</c:v>
                </c:pt>
                <c:pt idx="58">
                  <c:v>37.770000000000003</c:v>
                </c:pt>
                <c:pt idx="59">
                  <c:v>37.25</c:v>
                </c:pt>
                <c:pt idx="60">
                  <c:v>36.840000000000003</c:v>
                </c:pt>
                <c:pt idx="61">
                  <c:v>36.479999999999997</c:v>
                </c:pt>
                <c:pt idx="62">
                  <c:v>36.14</c:v>
                </c:pt>
                <c:pt idx="63">
                  <c:v>35.75</c:v>
                </c:pt>
                <c:pt idx="64">
                  <c:v>35.31</c:v>
                </c:pt>
                <c:pt idx="65">
                  <c:v>34.82</c:v>
                </c:pt>
                <c:pt idx="66">
                  <c:v>34.299999999999997</c:v>
                </c:pt>
                <c:pt idx="67">
                  <c:v>33.79</c:v>
                </c:pt>
                <c:pt idx="68">
                  <c:v>33.32</c:v>
                </c:pt>
                <c:pt idx="69">
                  <c:v>32.85</c:v>
                </c:pt>
                <c:pt idx="70">
                  <c:v>32.42</c:v>
                </c:pt>
                <c:pt idx="71">
                  <c:v>32.03</c:v>
                </c:pt>
                <c:pt idx="72">
                  <c:v>31.68</c:v>
                </c:pt>
                <c:pt idx="73">
                  <c:v>31.35</c:v>
                </c:pt>
                <c:pt idx="74">
                  <c:v>31.04</c:v>
                </c:pt>
                <c:pt idx="75">
                  <c:v>30.73</c:v>
                </c:pt>
                <c:pt idx="76">
                  <c:v>30.41</c:v>
                </c:pt>
                <c:pt idx="77">
                  <c:v>30.09</c:v>
                </c:pt>
                <c:pt idx="78">
                  <c:v>29.76</c:v>
                </c:pt>
                <c:pt idx="79">
                  <c:v>29.43</c:v>
                </c:pt>
                <c:pt idx="80">
                  <c:v>29.1</c:v>
                </c:pt>
                <c:pt idx="81">
                  <c:v>28.78</c:v>
                </c:pt>
                <c:pt idx="82">
                  <c:v>28.47</c:v>
                </c:pt>
                <c:pt idx="83">
                  <c:v>28.17</c:v>
                </c:pt>
                <c:pt idx="84">
                  <c:v>27.88</c:v>
                </c:pt>
                <c:pt idx="85">
                  <c:v>27.61</c:v>
                </c:pt>
                <c:pt idx="86">
                  <c:v>27.34</c:v>
                </c:pt>
                <c:pt idx="87">
                  <c:v>27.1</c:v>
                </c:pt>
                <c:pt idx="88">
                  <c:v>26.86</c:v>
                </c:pt>
                <c:pt idx="89">
                  <c:v>26.64</c:v>
                </c:pt>
                <c:pt idx="90">
                  <c:v>26.43</c:v>
                </c:pt>
                <c:pt idx="91">
                  <c:v>26.23</c:v>
                </c:pt>
                <c:pt idx="92">
                  <c:v>26.04</c:v>
                </c:pt>
                <c:pt idx="93">
                  <c:v>25.86</c:v>
                </c:pt>
                <c:pt idx="94">
                  <c:v>25.7</c:v>
                </c:pt>
                <c:pt idx="95">
                  <c:v>25.54</c:v>
                </c:pt>
                <c:pt idx="96">
                  <c:v>25.38</c:v>
                </c:pt>
                <c:pt idx="97">
                  <c:v>25.23</c:v>
                </c:pt>
                <c:pt idx="98">
                  <c:v>25.09</c:v>
                </c:pt>
                <c:pt idx="99">
                  <c:v>24.95</c:v>
                </c:pt>
                <c:pt idx="100">
                  <c:v>24.82</c:v>
                </c:pt>
              </c:numCache>
            </c:numRef>
          </c:val>
          <c:smooth val="0"/>
          <c:extLst>
            <c:ext xmlns:c16="http://schemas.microsoft.com/office/drawing/2014/chart" uri="{C3380CC4-5D6E-409C-BE32-E72D297353CC}">
              <c16:uniqueId val="{00000000-EC7D-4B14-B8F6-BD6909B3F40C}"/>
            </c:ext>
          </c:extLst>
        </c:ser>
        <c:ser>
          <c:idx val="1"/>
          <c:order val="1"/>
          <c:tx>
            <c:strRef>
              <c:f>'Decision Analysis'!$C$2</c:f>
              <c:strCache>
                <c:ptCount val="1"/>
                <c:pt idx="0">
                  <c:v>Oil</c:v>
                </c:pt>
              </c:strCache>
            </c:strRef>
          </c:tx>
          <c:spPr>
            <a:ln w="28575" cap="rnd">
              <a:solidFill>
                <a:schemeClr val="accent2"/>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Analysis'!$C$3:$C$103</c:f>
              <c:numCache>
                <c:formatCode>General</c:formatCode>
                <c:ptCount val="101"/>
                <c:pt idx="0">
                  <c:v>148.44999999999999</c:v>
                </c:pt>
                <c:pt idx="1">
                  <c:v>151.06</c:v>
                </c:pt>
                <c:pt idx="2">
                  <c:v>152.94999999999999</c:v>
                </c:pt>
                <c:pt idx="3">
                  <c:v>154.55000000000001</c:v>
                </c:pt>
                <c:pt idx="4">
                  <c:v>156.57</c:v>
                </c:pt>
                <c:pt idx="5">
                  <c:v>159.22999999999999</c:v>
                </c:pt>
                <c:pt idx="6">
                  <c:v>162.16</c:v>
                </c:pt>
                <c:pt idx="7">
                  <c:v>165.47</c:v>
                </c:pt>
                <c:pt idx="8">
                  <c:v>168.76</c:v>
                </c:pt>
                <c:pt idx="9">
                  <c:v>170.68</c:v>
                </c:pt>
                <c:pt idx="10">
                  <c:v>171.38</c:v>
                </c:pt>
                <c:pt idx="11">
                  <c:v>173.66</c:v>
                </c:pt>
                <c:pt idx="12">
                  <c:v>176.25</c:v>
                </c:pt>
                <c:pt idx="13">
                  <c:v>178.61</c:v>
                </c:pt>
                <c:pt idx="14">
                  <c:v>180.91</c:v>
                </c:pt>
                <c:pt idx="15">
                  <c:v>183.27</c:v>
                </c:pt>
                <c:pt idx="16">
                  <c:v>185.56</c:v>
                </c:pt>
                <c:pt idx="17">
                  <c:v>187.9</c:v>
                </c:pt>
                <c:pt idx="18">
                  <c:v>190.46</c:v>
                </c:pt>
                <c:pt idx="19">
                  <c:v>192.91</c:v>
                </c:pt>
                <c:pt idx="20">
                  <c:v>193.71</c:v>
                </c:pt>
                <c:pt idx="21">
                  <c:v>192.7</c:v>
                </c:pt>
                <c:pt idx="22">
                  <c:v>194.59</c:v>
                </c:pt>
                <c:pt idx="23">
                  <c:v>196.55</c:v>
                </c:pt>
                <c:pt idx="24">
                  <c:v>198.12</c:v>
                </c:pt>
                <c:pt idx="25">
                  <c:v>197.65</c:v>
                </c:pt>
                <c:pt idx="26">
                  <c:v>196.29</c:v>
                </c:pt>
                <c:pt idx="27">
                  <c:v>194.72</c:v>
                </c:pt>
                <c:pt idx="28">
                  <c:v>192.83</c:v>
                </c:pt>
                <c:pt idx="29">
                  <c:v>190.57</c:v>
                </c:pt>
                <c:pt idx="30">
                  <c:v>187.89</c:v>
                </c:pt>
                <c:pt idx="31">
                  <c:v>184.76</c:v>
                </c:pt>
                <c:pt idx="32">
                  <c:v>181.17</c:v>
                </c:pt>
                <c:pt idx="33">
                  <c:v>177.12</c:v>
                </c:pt>
                <c:pt idx="34">
                  <c:v>172.61</c:v>
                </c:pt>
                <c:pt idx="35">
                  <c:v>168.74</c:v>
                </c:pt>
                <c:pt idx="36">
                  <c:v>165.12</c:v>
                </c:pt>
                <c:pt idx="37">
                  <c:v>161.25</c:v>
                </c:pt>
                <c:pt idx="38">
                  <c:v>157.22</c:v>
                </c:pt>
                <c:pt idx="39">
                  <c:v>153.15</c:v>
                </c:pt>
                <c:pt idx="40">
                  <c:v>149.1</c:v>
                </c:pt>
                <c:pt idx="41">
                  <c:v>145.08000000000001</c:v>
                </c:pt>
                <c:pt idx="42">
                  <c:v>141.11000000000001</c:v>
                </c:pt>
                <c:pt idx="43">
                  <c:v>137.19</c:v>
                </c:pt>
                <c:pt idx="44">
                  <c:v>133.35</c:v>
                </c:pt>
                <c:pt idx="45">
                  <c:v>129.6</c:v>
                </c:pt>
                <c:pt idx="46">
                  <c:v>125.96</c:v>
                </c:pt>
                <c:pt idx="47">
                  <c:v>122.47</c:v>
                </c:pt>
                <c:pt idx="48">
                  <c:v>119.12</c:v>
                </c:pt>
                <c:pt idx="49">
                  <c:v>115.89</c:v>
                </c:pt>
                <c:pt idx="50">
                  <c:v>112.75</c:v>
                </c:pt>
                <c:pt idx="51">
                  <c:v>109.7</c:v>
                </c:pt>
                <c:pt idx="52">
                  <c:v>106.72</c:v>
                </c:pt>
                <c:pt idx="53">
                  <c:v>103.84</c:v>
                </c:pt>
                <c:pt idx="54">
                  <c:v>101.04</c:v>
                </c:pt>
                <c:pt idx="55">
                  <c:v>98.35</c:v>
                </c:pt>
                <c:pt idx="56">
                  <c:v>95.77</c:v>
                </c:pt>
                <c:pt idx="57">
                  <c:v>93.31</c:v>
                </c:pt>
                <c:pt idx="58">
                  <c:v>90.95</c:v>
                </c:pt>
                <c:pt idx="59">
                  <c:v>88.68</c:v>
                </c:pt>
                <c:pt idx="60">
                  <c:v>86.48</c:v>
                </c:pt>
                <c:pt idx="61">
                  <c:v>84.36</c:v>
                </c:pt>
                <c:pt idx="62">
                  <c:v>82.3</c:v>
                </c:pt>
                <c:pt idx="63">
                  <c:v>80.33</c:v>
                </c:pt>
                <c:pt idx="64">
                  <c:v>78.44</c:v>
                </c:pt>
                <c:pt idx="65">
                  <c:v>76.63</c:v>
                </c:pt>
                <c:pt idx="66">
                  <c:v>74.88</c:v>
                </c:pt>
                <c:pt idx="67">
                  <c:v>73.209999999999994</c:v>
                </c:pt>
                <c:pt idx="68">
                  <c:v>71.599999999999994</c:v>
                </c:pt>
                <c:pt idx="69">
                  <c:v>70.06</c:v>
                </c:pt>
                <c:pt idx="70">
                  <c:v>68.59</c:v>
                </c:pt>
                <c:pt idx="71">
                  <c:v>67.180000000000007</c:v>
                </c:pt>
                <c:pt idx="72">
                  <c:v>65.84</c:v>
                </c:pt>
                <c:pt idx="73">
                  <c:v>64.55</c:v>
                </c:pt>
                <c:pt idx="74">
                  <c:v>63.33</c:v>
                </c:pt>
                <c:pt idx="75">
                  <c:v>62.16</c:v>
                </c:pt>
                <c:pt idx="76">
                  <c:v>61.04</c:v>
                </c:pt>
                <c:pt idx="77">
                  <c:v>59.98</c:v>
                </c:pt>
                <c:pt idx="78">
                  <c:v>58.96</c:v>
                </c:pt>
                <c:pt idx="79">
                  <c:v>57.99</c:v>
                </c:pt>
                <c:pt idx="80">
                  <c:v>57.07</c:v>
                </c:pt>
                <c:pt idx="81">
                  <c:v>56.19</c:v>
                </c:pt>
                <c:pt idx="82">
                  <c:v>55.35</c:v>
                </c:pt>
                <c:pt idx="83">
                  <c:v>54.55</c:v>
                </c:pt>
                <c:pt idx="84">
                  <c:v>53.78</c:v>
                </c:pt>
                <c:pt idx="85">
                  <c:v>53.06</c:v>
                </c:pt>
                <c:pt idx="86">
                  <c:v>52.37</c:v>
                </c:pt>
                <c:pt idx="87">
                  <c:v>51.71</c:v>
                </c:pt>
                <c:pt idx="88">
                  <c:v>51.09</c:v>
                </c:pt>
                <c:pt idx="89">
                  <c:v>50.49</c:v>
                </c:pt>
                <c:pt idx="90">
                  <c:v>49.93</c:v>
                </c:pt>
                <c:pt idx="91">
                  <c:v>49.39</c:v>
                </c:pt>
                <c:pt idx="92">
                  <c:v>48.88</c:v>
                </c:pt>
                <c:pt idx="93">
                  <c:v>48.39</c:v>
                </c:pt>
                <c:pt idx="94">
                  <c:v>47.93</c:v>
                </c:pt>
                <c:pt idx="95">
                  <c:v>47.49</c:v>
                </c:pt>
                <c:pt idx="96">
                  <c:v>47.07</c:v>
                </c:pt>
                <c:pt idx="97">
                  <c:v>46.68</c:v>
                </c:pt>
                <c:pt idx="98">
                  <c:v>46.3</c:v>
                </c:pt>
                <c:pt idx="99">
                  <c:v>45.94</c:v>
                </c:pt>
                <c:pt idx="100">
                  <c:v>45.6</c:v>
                </c:pt>
              </c:numCache>
            </c:numRef>
          </c:val>
          <c:smooth val="0"/>
          <c:extLst>
            <c:ext xmlns:c16="http://schemas.microsoft.com/office/drawing/2014/chart" uri="{C3380CC4-5D6E-409C-BE32-E72D297353CC}">
              <c16:uniqueId val="{00000001-EC7D-4B14-B8F6-BD6909B3F40C}"/>
            </c:ext>
          </c:extLst>
        </c:ser>
        <c:ser>
          <c:idx val="2"/>
          <c:order val="2"/>
          <c:tx>
            <c:strRef>
              <c:f>'Decision Analysis'!$D$2</c:f>
              <c:strCache>
                <c:ptCount val="1"/>
                <c:pt idx="0">
                  <c:v>Gas</c:v>
                </c:pt>
              </c:strCache>
            </c:strRef>
          </c:tx>
          <c:spPr>
            <a:ln w="28575" cap="rnd">
              <a:solidFill>
                <a:schemeClr val="accent3"/>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Analysis'!$D$3:$D$103</c:f>
              <c:numCache>
                <c:formatCode>General</c:formatCode>
                <c:ptCount val="101"/>
                <c:pt idx="0">
                  <c:v>89.73</c:v>
                </c:pt>
                <c:pt idx="1">
                  <c:v>92.44</c:v>
                </c:pt>
                <c:pt idx="2">
                  <c:v>94.83</c:v>
                </c:pt>
                <c:pt idx="3">
                  <c:v>97.15</c:v>
                </c:pt>
                <c:pt idx="4">
                  <c:v>99.84</c:v>
                </c:pt>
                <c:pt idx="5">
                  <c:v>103.08</c:v>
                </c:pt>
                <c:pt idx="6">
                  <c:v>106.64</c:v>
                </c:pt>
                <c:pt idx="7">
                  <c:v>110.61</c:v>
                </c:pt>
                <c:pt idx="8">
                  <c:v>114.61</c:v>
                </c:pt>
                <c:pt idx="9">
                  <c:v>117.41</c:v>
                </c:pt>
                <c:pt idx="10">
                  <c:v>119.06</c:v>
                </c:pt>
                <c:pt idx="11">
                  <c:v>121.98</c:v>
                </c:pt>
                <c:pt idx="12">
                  <c:v>125.06</c:v>
                </c:pt>
                <c:pt idx="13">
                  <c:v>128</c:v>
                </c:pt>
                <c:pt idx="14">
                  <c:v>130.97999999999999</c:v>
                </c:pt>
                <c:pt idx="15">
                  <c:v>134.06</c:v>
                </c:pt>
                <c:pt idx="16">
                  <c:v>137.01</c:v>
                </c:pt>
                <c:pt idx="17">
                  <c:v>139.91999999999999</c:v>
                </c:pt>
                <c:pt idx="18">
                  <c:v>142.93</c:v>
                </c:pt>
                <c:pt idx="19">
                  <c:v>145.71</c:v>
                </c:pt>
                <c:pt idx="20">
                  <c:v>146.72999999999999</c:v>
                </c:pt>
                <c:pt idx="21">
                  <c:v>146.11000000000001</c:v>
                </c:pt>
                <c:pt idx="22">
                  <c:v>148.16999999999999</c:v>
                </c:pt>
                <c:pt idx="23">
                  <c:v>150.29</c:v>
                </c:pt>
                <c:pt idx="24">
                  <c:v>152.16</c:v>
                </c:pt>
                <c:pt idx="25">
                  <c:v>151.11000000000001</c:v>
                </c:pt>
                <c:pt idx="26">
                  <c:v>149.04</c:v>
                </c:pt>
                <c:pt idx="27">
                  <c:v>146.52000000000001</c:v>
                </c:pt>
                <c:pt idx="28">
                  <c:v>143.29</c:v>
                </c:pt>
                <c:pt idx="29">
                  <c:v>139.28</c:v>
                </c:pt>
                <c:pt idx="30">
                  <c:v>134.47999999999999</c:v>
                </c:pt>
                <c:pt idx="31">
                  <c:v>128.9</c:v>
                </c:pt>
                <c:pt idx="32">
                  <c:v>122.67</c:v>
                </c:pt>
                <c:pt idx="33">
                  <c:v>115.95</c:v>
                </c:pt>
                <c:pt idx="34">
                  <c:v>108.96</c:v>
                </c:pt>
                <c:pt idx="35">
                  <c:v>102.88</c:v>
                </c:pt>
                <c:pt idx="36">
                  <c:v>97.44</c:v>
                </c:pt>
                <c:pt idx="37">
                  <c:v>92.22</c:v>
                </c:pt>
                <c:pt idx="38">
                  <c:v>87.57</c:v>
                </c:pt>
                <c:pt idx="39">
                  <c:v>83.97</c:v>
                </c:pt>
                <c:pt idx="40">
                  <c:v>81.28</c:v>
                </c:pt>
                <c:pt idx="41">
                  <c:v>79.27</c:v>
                </c:pt>
                <c:pt idx="42">
                  <c:v>77.87</c:v>
                </c:pt>
                <c:pt idx="43">
                  <c:v>76.98</c:v>
                </c:pt>
                <c:pt idx="44">
                  <c:v>76.45</c:v>
                </c:pt>
                <c:pt idx="45">
                  <c:v>76.08</c:v>
                </c:pt>
                <c:pt idx="46">
                  <c:v>75.95</c:v>
                </c:pt>
                <c:pt idx="47">
                  <c:v>76.2</c:v>
                </c:pt>
                <c:pt idx="48">
                  <c:v>76.53</c:v>
                </c:pt>
                <c:pt idx="49">
                  <c:v>76.5</c:v>
                </c:pt>
                <c:pt idx="50">
                  <c:v>75.819999999999993</c:v>
                </c:pt>
                <c:pt idx="51">
                  <c:v>74.37</c:v>
                </c:pt>
                <c:pt idx="52">
                  <c:v>72.150000000000006</c:v>
                </c:pt>
                <c:pt idx="53">
                  <c:v>69.33</c:v>
                </c:pt>
                <c:pt idx="54">
                  <c:v>66.209999999999994</c:v>
                </c:pt>
                <c:pt idx="55">
                  <c:v>63.15</c:v>
                </c:pt>
                <c:pt idx="56">
                  <c:v>60.39</c:v>
                </c:pt>
                <c:pt idx="57">
                  <c:v>58.24</c:v>
                </c:pt>
                <c:pt idx="58">
                  <c:v>56.58</c:v>
                </c:pt>
                <c:pt idx="59">
                  <c:v>55.21</c:v>
                </c:pt>
                <c:pt idx="60">
                  <c:v>54.03</c:v>
                </c:pt>
                <c:pt idx="61">
                  <c:v>53.02</c:v>
                </c:pt>
                <c:pt idx="62">
                  <c:v>52.11</c:v>
                </c:pt>
                <c:pt idx="63">
                  <c:v>51.27</c:v>
                </c:pt>
                <c:pt idx="64">
                  <c:v>50.47</c:v>
                </c:pt>
                <c:pt idx="65">
                  <c:v>49.68</c:v>
                </c:pt>
                <c:pt idx="66">
                  <c:v>48.92</c:v>
                </c:pt>
                <c:pt idx="67">
                  <c:v>48.18</c:v>
                </c:pt>
                <c:pt idx="68">
                  <c:v>47.46</c:v>
                </c:pt>
                <c:pt idx="69">
                  <c:v>46.76</c:v>
                </c:pt>
                <c:pt idx="70">
                  <c:v>46.08</c:v>
                </c:pt>
                <c:pt idx="71">
                  <c:v>45.43</c:v>
                </c:pt>
                <c:pt idx="72">
                  <c:v>44.81</c:v>
                </c:pt>
                <c:pt idx="73">
                  <c:v>44.21</c:v>
                </c:pt>
                <c:pt idx="74">
                  <c:v>43.64</c:v>
                </c:pt>
                <c:pt idx="75">
                  <c:v>43.1</c:v>
                </c:pt>
                <c:pt idx="76">
                  <c:v>42.59</c:v>
                </c:pt>
                <c:pt idx="77">
                  <c:v>42.1</c:v>
                </c:pt>
                <c:pt idx="78">
                  <c:v>41.64</c:v>
                </c:pt>
                <c:pt idx="79">
                  <c:v>41.21</c:v>
                </c:pt>
                <c:pt idx="80">
                  <c:v>40.79</c:v>
                </c:pt>
                <c:pt idx="81">
                  <c:v>40.409999999999997</c:v>
                </c:pt>
                <c:pt idx="82">
                  <c:v>40.04</c:v>
                </c:pt>
                <c:pt idx="83">
                  <c:v>39.69</c:v>
                </c:pt>
                <c:pt idx="84">
                  <c:v>39.369999999999997</c:v>
                </c:pt>
                <c:pt idx="85">
                  <c:v>39.06</c:v>
                </c:pt>
                <c:pt idx="86">
                  <c:v>38.76</c:v>
                </c:pt>
                <c:pt idx="87">
                  <c:v>38.479999999999997</c:v>
                </c:pt>
                <c:pt idx="88">
                  <c:v>38.21</c:v>
                </c:pt>
                <c:pt idx="89">
                  <c:v>37.94</c:v>
                </c:pt>
                <c:pt idx="90">
                  <c:v>37.69</c:v>
                </c:pt>
                <c:pt idx="91">
                  <c:v>37.450000000000003</c:v>
                </c:pt>
                <c:pt idx="92">
                  <c:v>37.22</c:v>
                </c:pt>
                <c:pt idx="93">
                  <c:v>36.99</c:v>
                </c:pt>
                <c:pt idx="94">
                  <c:v>36.78</c:v>
                </c:pt>
                <c:pt idx="95">
                  <c:v>36.57</c:v>
                </c:pt>
                <c:pt idx="96">
                  <c:v>36.369999999999997</c:v>
                </c:pt>
                <c:pt idx="97">
                  <c:v>36.18</c:v>
                </c:pt>
                <c:pt idx="98">
                  <c:v>35.99</c:v>
                </c:pt>
                <c:pt idx="99">
                  <c:v>35.82</c:v>
                </c:pt>
                <c:pt idx="100">
                  <c:v>35.64</c:v>
                </c:pt>
              </c:numCache>
            </c:numRef>
          </c:val>
          <c:smooth val="0"/>
          <c:extLst>
            <c:ext xmlns:c16="http://schemas.microsoft.com/office/drawing/2014/chart" uri="{C3380CC4-5D6E-409C-BE32-E72D297353CC}">
              <c16:uniqueId val="{00000002-EC7D-4B14-B8F6-BD6909B3F40C}"/>
            </c:ext>
          </c:extLst>
        </c:ser>
        <c:ser>
          <c:idx val="3"/>
          <c:order val="3"/>
          <c:tx>
            <c:strRef>
              <c:f>'Decision Analysis'!$E$2</c:f>
              <c:strCache>
                <c:ptCount val="1"/>
                <c:pt idx="0">
                  <c:v>Renewables</c:v>
                </c:pt>
              </c:strCache>
            </c:strRef>
          </c:tx>
          <c:spPr>
            <a:ln w="28575" cap="rnd">
              <a:solidFill>
                <a:schemeClr val="accent4"/>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Analysis'!$E$3:$E$103</c:f>
              <c:numCache>
                <c:formatCode>General</c:formatCode>
                <c:ptCount val="101"/>
                <c:pt idx="0">
                  <c:v>10.76</c:v>
                </c:pt>
                <c:pt idx="1">
                  <c:v>11.32</c:v>
                </c:pt>
                <c:pt idx="2">
                  <c:v>11.94</c:v>
                </c:pt>
                <c:pt idx="3">
                  <c:v>12.6</c:v>
                </c:pt>
                <c:pt idx="4">
                  <c:v>13.28</c:v>
                </c:pt>
                <c:pt idx="5">
                  <c:v>13.96</c:v>
                </c:pt>
                <c:pt idx="6">
                  <c:v>14.66</c:v>
                </c:pt>
                <c:pt idx="7">
                  <c:v>15.4</c:v>
                </c:pt>
                <c:pt idx="8">
                  <c:v>16.170000000000002</c:v>
                </c:pt>
                <c:pt idx="9">
                  <c:v>16.940000000000001</c:v>
                </c:pt>
                <c:pt idx="10">
                  <c:v>17.62</c:v>
                </c:pt>
                <c:pt idx="11">
                  <c:v>18.329999999999998</c:v>
                </c:pt>
                <c:pt idx="12">
                  <c:v>19.03</c:v>
                </c:pt>
                <c:pt idx="13">
                  <c:v>19.73</c:v>
                </c:pt>
                <c:pt idx="14">
                  <c:v>20.5</c:v>
                </c:pt>
                <c:pt idx="15">
                  <c:v>21.35</c:v>
                </c:pt>
                <c:pt idx="16">
                  <c:v>22.33</c:v>
                </c:pt>
                <c:pt idx="17">
                  <c:v>23.49</c:v>
                </c:pt>
                <c:pt idx="18">
                  <c:v>24.85</c:v>
                </c:pt>
                <c:pt idx="19">
                  <c:v>26.44</c:v>
                </c:pt>
                <c:pt idx="20">
                  <c:v>28.18</c:v>
                </c:pt>
                <c:pt idx="21">
                  <c:v>29.95</c:v>
                </c:pt>
                <c:pt idx="22">
                  <c:v>31.9</c:v>
                </c:pt>
                <c:pt idx="23">
                  <c:v>33.86</c:v>
                </c:pt>
                <c:pt idx="24">
                  <c:v>35.92</c:v>
                </c:pt>
                <c:pt idx="25">
                  <c:v>38.200000000000003</c:v>
                </c:pt>
                <c:pt idx="26">
                  <c:v>40.99</c:v>
                </c:pt>
                <c:pt idx="27">
                  <c:v>44.38</c:v>
                </c:pt>
                <c:pt idx="28">
                  <c:v>48.45</c:v>
                </c:pt>
                <c:pt idx="29">
                  <c:v>53.32</c:v>
                </c:pt>
                <c:pt idx="30">
                  <c:v>59.07</c:v>
                </c:pt>
                <c:pt idx="31">
                  <c:v>65.83</c:v>
                </c:pt>
                <c:pt idx="32">
                  <c:v>73.67</c:v>
                </c:pt>
                <c:pt idx="33">
                  <c:v>82.64</c:v>
                </c:pt>
                <c:pt idx="34">
                  <c:v>92.71</c:v>
                </c:pt>
                <c:pt idx="35">
                  <c:v>103.75</c:v>
                </c:pt>
                <c:pt idx="36">
                  <c:v>115.28</c:v>
                </c:pt>
                <c:pt idx="37">
                  <c:v>126.67</c:v>
                </c:pt>
                <c:pt idx="38">
                  <c:v>137.16</c:v>
                </c:pt>
                <c:pt idx="39">
                  <c:v>146.08000000000001</c:v>
                </c:pt>
                <c:pt idx="40">
                  <c:v>153.85</c:v>
                </c:pt>
                <c:pt idx="41">
                  <c:v>160.69</c:v>
                </c:pt>
                <c:pt idx="42">
                  <c:v>166.81</c:v>
                </c:pt>
                <c:pt idx="43">
                  <c:v>172.49</c:v>
                </c:pt>
                <c:pt idx="44">
                  <c:v>178.06</c:v>
                </c:pt>
                <c:pt idx="45">
                  <c:v>183.22</c:v>
                </c:pt>
                <c:pt idx="46">
                  <c:v>186.22</c:v>
                </c:pt>
                <c:pt idx="47">
                  <c:v>187.33</c:v>
                </c:pt>
                <c:pt idx="48">
                  <c:v>187.68</c:v>
                </c:pt>
                <c:pt idx="49">
                  <c:v>188.18</c:v>
                </c:pt>
                <c:pt idx="50">
                  <c:v>189.11</c:v>
                </c:pt>
                <c:pt idx="51">
                  <c:v>190.22</c:v>
                </c:pt>
                <c:pt idx="52">
                  <c:v>191.07</c:v>
                </c:pt>
                <c:pt idx="53">
                  <c:v>191.07</c:v>
                </c:pt>
                <c:pt idx="54">
                  <c:v>189.66</c:v>
                </c:pt>
                <c:pt idx="55">
                  <c:v>186.46</c:v>
                </c:pt>
                <c:pt idx="56">
                  <c:v>182.15</c:v>
                </c:pt>
                <c:pt idx="57">
                  <c:v>178.3</c:v>
                </c:pt>
                <c:pt idx="58">
                  <c:v>175.42</c:v>
                </c:pt>
                <c:pt idx="59">
                  <c:v>173.64</c:v>
                </c:pt>
                <c:pt idx="60">
                  <c:v>172.91</c:v>
                </c:pt>
                <c:pt idx="61">
                  <c:v>173.06</c:v>
                </c:pt>
                <c:pt idx="62">
                  <c:v>173.81</c:v>
                </c:pt>
                <c:pt idx="63">
                  <c:v>174.88</c:v>
                </c:pt>
                <c:pt idx="64">
                  <c:v>175.98</c:v>
                </c:pt>
                <c:pt idx="65">
                  <c:v>176.94</c:v>
                </c:pt>
                <c:pt idx="66">
                  <c:v>177.67</c:v>
                </c:pt>
                <c:pt idx="67">
                  <c:v>178.2</c:v>
                </c:pt>
                <c:pt idx="68">
                  <c:v>178.62</c:v>
                </c:pt>
                <c:pt idx="69">
                  <c:v>179.03</c:v>
                </c:pt>
                <c:pt idx="70">
                  <c:v>179.51</c:v>
                </c:pt>
                <c:pt idx="71">
                  <c:v>180.08</c:v>
                </c:pt>
                <c:pt idx="72">
                  <c:v>180.71</c:v>
                </c:pt>
                <c:pt idx="73">
                  <c:v>181.37</c:v>
                </c:pt>
                <c:pt idx="74">
                  <c:v>182.02</c:v>
                </c:pt>
                <c:pt idx="75">
                  <c:v>182.61</c:v>
                </c:pt>
                <c:pt idx="76">
                  <c:v>183.13</c:v>
                </c:pt>
                <c:pt idx="77">
                  <c:v>183.55</c:v>
                </c:pt>
                <c:pt idx="78">
                  <c:v>183.88</c:v>
                </c:pt>
                <c:pt idx="79">
                  <c:v>184.12</c:v>
                </c:pt>
                <c:pt idx="80">
                  <c:v>184.29</c:v>
                </c:pt>
                <c:pt idx="81">
                  <c:v>184.4</c:v>
                </c:pt>
                <c:pt idx="82">
                  <c:v>184.48</c:v>
                </c:pt>
                <c:pt idx="83">
                  <c:v>184.52</c:v>
                </c:pt>
                <c:pt idx="84">
                  <c:v>184.54</c:v>
                </c:pt>
                <c:pt idx="85">
                  <c:v>184.55</c:v>
                </c:pt>
                <c:pt idx="86">
                  <c:v>184.53</c:v>
                </c:pt>
                <c:pt idx="87">
                  <c:v>184.49</c:v>
                </c:pt>
                <c:pt idx="88">
                  <c:v>184.41</c:v>
                </c:pt>
                <c:pt idx="89">
                  <c:v>184.31</c:v>
                </c:pt>
                <c:pt idx="90">
                  <c:v>184.17</c:v>
                </c:pt>
                <c:pt idx="91">
                  <c:v>184.02</c:v>
                </c:pt>
                <c:pt idx="92">
                  <c:v>183.86</c:v>
                </c:pt>
                <c:pt idx="93">
                  <c:v>183.69</c:v>
                </c:pt>
                <c:pt idx="94">
                  <c:v>183.52</c:v>
                </c:pt>
                <c:pt idx="95">
                  <c:v>183.35</c:v>
                </c:pt>
                <c:pt idx="96">
                  <c:v>183.17</c:v>
                </c:pt>
                <c:pt idx="97">
                  <c:v>182.99</c:v>
                </c:pt>
                <c:pt idx="98">
                  <c:v>182.81</c:v>
                </c:pt>
                <c:pt idx="99">
                  <c:v>182.61</c:v>
                </c:pt>
                <c:pt idx="100">
                  <c:v>182.41</c:v>
                </c:pt>
              </c:numCache>
            </c:numRef>
          </c:val>
          <c:smooth val="0"/>
          <c:extLst>
            <c:ext xmlns:c16="http://schemas.microsoft.com/office/drawing/2014/chart" uri="{C3380CC4-5D6E-409C-BE32-E72D297353CC}">
              <c16:uniqueId val="{00000003-EC7D-4B14-B8F6-BD6909B3F40C}"/>
            </c:ext>
          </c:extLst>
        </c:ser>
        <c:ser>
          <c:idx val="4"/>
          <c:order val="4"/>
          <c:tx>
            <c:strRef>
              <c:f>'Decision Analysis'!$F$2</c:f>
              <c:strCache>
                <c:ptCount val="1"/>
                <c:pt idx="0">
                  <c:v>Bioenergy</c:v>
                </c:pt>
              </c:strCache>
            </c:strRef>
          </c:tx>
          <c:spPr>
            <a:ln w="28575" cap="rnd">
              <a:solidFill>
                <a:schemeClr val="accent5"/>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Analysis'!$F$3:$F$103</c:f>
              <c:numCache>
                <c:formatCode>General</c:formatCode>
                <c:ptCount val="101"/>
                <c:pt idx="0">
                  <c:v>42.4</c:v>
                </c:pt>
                <c:pt idx="1">
                  <c:v>43.17</c:v>
                </c:pt>
                <c:pt idx="2">
                  <c:v>43.71</c:v>
                </c:pt>
                <c:pt idx="3">
                  <c:v>44.19</c:v>
                </c:pt>
                <c:pt idx="4">
                  <c:v>44.82</c:v>
                </c:pt>
                <c:pt idx="5">
                  <c:v>45.67</c:v>
                </c:pt>
                <c:pt idx="6">
                  <c:v>46.61</c:v>
                </c:pt>
                <c:pt idx="7">
                  <c:v>47.7</c:v>
                </c:pt>
                <c:pt idx="8">
                  <c:v>48.77</c:v>
                </c:pt>
                <c:pt idx="9">
                  <c:v>49.37</c:v>
                </c:pt>
                <c:pt idx="10">
                  <c:v>49.58</c:v>
                </c:pt>
                <c:pt idx="11">
                  <c:v>50.28</c:v>
                </c:pt>
                <c:pt idx="12">
                  <c:v>51.06</c:v>
                </c:pt>
                <c:pt idx="13">
                  <c:v>51.78</c:v>
                </c:pt>
                <c:pt idx="14">
                  <c:v>52.49</c:v>
                </c:pt>
                <c:pt idx="15">
                  <c:v>53.23</c:v>
                </c:pt>
                <c:pt idx="16">
                  <c:v>53.98</c:v>
                </c:pt>
                <c:pt idx="17">
                  <c:v>54.76</c:v>
                </c:pt>
                <c:pt idx="18">
                  <c:v>55.62</c:v>
                </c:pt>
                <c:pt idx="19">
                  <c:v>56.43</c:v>
                </c:pt>
                <c:pt idx="20">
                  <c:v>56.69</c:v>
                </c:pt>
                <c:pt idx="21">
                  <c:v>56.42</c:v>
                </c:pt>
                <c:pt idx="22">
                  <c:v>57.07</c:v>
                </c:pt>
                <c:pt idx="23">
                  <c:v>57.73</c:v>
                </c:pt>
                <c:pt idx="24">
                  <c:v>58.27</c:v>
                </c:pt>
                <c:pt idx="25">
                  <c:v>58.72</c:v>
                </c:pt>
                <c:pt idx="26">
                  <c:v>59.33</c:v>
                </c:pt>
                <c:pt idx="27">
                  <c:v>59.98</c:v>
                </c:pt>
                <c:pt idx="28">
                  <c:v>60.6</c:v>
                </c:pt>
                <c:pt idx="29">
                  <c:v>61.14</c:v>
                </c:pt>
                <c:pt idx="30">
                  <c:v>61.57</c:v>
                </c:pt>
                <c:pt idx="31">
                  <c:v>61.84</c:v>
                </c:pt>
                <c:pt idx="32">
                  <c:v>61.9</c:v>
                </c:pt>
                <c:pt idx="33">
                  <c:v>61.75</c:v>
                </c:pt>
                <c:pt idx="34">
                  <c:v>61.41</c:v>
                </c:pt>
                <c:pt idx="35">
                  <c:v>60.98</c:v>
                </c:pt>
                <c:pt idx="36">
                  <c:v>60.45</c:v>
                </c:pt>
                <c:pt idx="37">
                  <c:v>59.84</c:v>
                </c:pt>
                <c:pt idx="38">
                  <c:v>59.23</c:v>
                </c:pt>
                <c:pt idx="39">
                  <c:v>58.72</c:v>
                </c:pt>
                <c:pt idx="40">
                  <c:v>58.31</c:v>
                </c:pt>
                <c:pt idx="41">
                  <c:v>57.96</c:v>
                </c:pt>
                <c:pt idx="42">
                  <c:v>57.63</c:v>
                </c:pt>
                <c:pt idx="43">
                  <c:v>57.32</c:v>
                </c:pt>
                <c:pt idx="44">
                  <c:v>57.01</c:v>
                </c:pt>
                <c:pt idx="45">
                  <c:v>56.69</c:v>
                </c:pt>
                <c:pt idx="46">
                  <c:v>56.38</c:v>
                </c:pt>
                <c:pt idx="47">
                  <c:v>56.13</c:v>
                </c:pt>
                <c:pt idx="48">
                  <c:v>55.89</c:v>
                </c:pt>
                <c:pt idx="49">
                  <c:v>55.6</c:v>
                </c:pt>
                <c:pt idx="50">
                  <c:v>55.22</c:v>
                </c:pt>
                <c:pt idx="51">
                  <c:v>54.74</c:v>
                </c:pt>
                <c:pt idx="52">
                  <c:v>54.17</c:v>
                </c:pt>
                <c:pt idx="53">
                  <c:v>53.53</c:v>
                </c:pt>
                <c:pt idx="54">
                  <c:v>52.85</c:v>
                </c:pt>
                <c:pt idx="55">
                  <c:v>52.15</c:v>
                </c:pt>
                <c:pt idx="56">
                  <c:v>51.47</c:v>
                </c:pt>
                <c:pt idx="57">
                  <c:v>50.84</c:v>
                </c:pt>
                <c:pt idx="58">
                  <c:v>50.24</c:v>
                </c:pt>
                <c:pt idx="59">
                  <c:v>49.66</c:v>
                </c:pt>
                <c:pt idx="60">
                  <c:v>49.09</c:v>
                </c:pt>
                <c:pt idx="61">
                  <c:v>48.52</c:v>
                </c:pt>
                <c:pt idx="62">
                  <c:v>47.96</c:v>
                </c:pt>
                <c:pt idx="63">
                  <c:v>47.41</c:v>
                </c:pt>
                <c:pt idx="64">
                  <c:v>46.86</c:v>
                </c:pt>
                <c:pt idx="65">
                  <c:v>46.31</c:v>
                </c:pt>
                <c:pt idx="66">
                  <c:v>45.77</c:v>
                </c:pt>
                <c:pt idx="67">
                  <c:v>45.23</c:v>
                </c:pt>
                <c:pt idx="68">
                  <c:v>44.71</c:v>
                </c:pt>
                <c:pt idx="69">
                  <c:v>44.2</c:v>
                </c:pt>
                <c:pt idx="70">
                  <c:v>43.7</c:v>
                </c:pt>
                <c:pt idx="71">
                  <c:v>43.21</c:v>
                </c:pt>
                <c:pt idx="72">
                  <c:v>42.74</c:v>
                </c:pt>
                <c:pt idx="73">
                  <c:v>42.28</c:v>
                </c:pt>
                <c:pt idx="74">
                  <c:v>41.83</c:v>
                </c:pt>
                <c:pt idx="75">
                  <c:v>41.41</c:v>
                </c:pt>
                <c:pt idx="76">
                  <c:v>41</c:v>
                </c:pt>
                <c:pt idx="77">
                  <c:v>40.6</c:v>
                </c:pt>
                <c:pt idx="78">
                  <c:v>40.22</c:v>
                </c:pt>
                <c:pt idx="79">
                  <c:v>39.85</c:v>
                </c:pt>
                <c:pt idx="80">
                  <c:v>39.49</c:v>
                </c:pt>
                <c:pt idx="81">
                  <c:v>39.15</c:v>
                </c:pt>
                <c:pt idx="82">
                  <c:v>38.82</c:v>
                </c:pt>
                <c:pt idx="83">
                  <c:v>38.5</c:v>
                </c:pt>
                <c:pt idx="84">
                  <c:v>38.19</c:v>
                </c:pt>
                <c:pt idx="85">
                  <c:v>37.89</c:v>
                </c:pt>
                <c:pt idx="86">
                  <c:v>37.61</c:v>
                </c:pt>
                <c:pt idx="87">
                  <c:v>37.340000000000003</c:v>
                </c:pt>
                <c:pt idx="88">
                  <c:v>37.07</c:v>
                </c:pt>
                <c:pt idx="89">
                  <c:v>36.82</c:v>
                </c:pt>
                <c:pt idx="90">
                  <c:v>36.58</c:v>
                </c:pt>
                <c:pt idx="91">
                  <c:v>36.340000000000003</c:v>
                </c:pt>
                <c:pt idx="92">
                  <c:v>36.11</c:v>
                </c:pt>
                <c:pt idx="93">
                  <c:v>35.9</c:v>
                </c:pt>
                <c:pt idx="94">
                  <c:v>35.69</c:v>
                </c:pt>
                <c:pt idx="95">
                  <c:v>35.49</c:v>
                </c:pt>
                <c:pt idx="96">
                  <c:v>35.299999999999997</c:v>
                </c:pt>
                <c:pt idx="97">
                  <c:v>35.119999999999997</c:v>
                </c:pt>
                <c:pt idx="98">
                  <c:v>34.950000000000003</c:v>
                </c:pt>
                <c:pt idx="99">
                  <c:v>34.78</c:v>
                </c:pt>
                <c:pt idx="100">
                  <c:v>34.619999999999997</c:v>
                </c:pt>
              </c:numCache>
            </c:numRef>
          </c:val>
          <c:smooth val="0"/>
          <c:extLst>
            <c:ext xmlns:c16="http://schemas.microsoft.com/office/drawing/2014/chart" uri="{C3380CC4-5D6E-409C-BE32-E72D297353CC}">
              <c16:uniqueId val="{00000004-EC7D-4B14-B8F6-BD6909B3F40C}"/>
            </c:ext>
          </c:extLst>
        </c:ser>
        <c:ser>
          <c:idx val="5"/>
          <c:order val="5"/>
          <c:tx>
            <c:strRef>
              <c:f>'Decision Analysis'!$G$2</c:f>
              <c:strCache>
                <c:ptCount val="1"/>
                <c:pt idx="0">
                  <c:v>Nuclear</c:v>
                </c:pt>
              </c:strCache>
            </c:strRef>
          </c:tx>
          <c:spPr>
            <a:ln w="28575" cap="rnd">
              <a:solidFill>
                <a:schemeClr val="accent6"/>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Analysis'!$G$3:$G$103</c:f>
              <c:numCache>
                <c:formatCode>General</c:formatCode>
                <c:ptCount val="101"/>
                <c:pt idx="0">
                  <c:v>6.93</c:v>
                </c:pt>
                <c:pt idx="1">
                  <c:v>7.01</c:v>
                </c:pt>
                <c:pt idx="2">
                  <c:v>7.17</c:v>
                </c:pt>
                <c:pt idx="3">
                  <c:v>7.39</c:v>
                </c:pt>
                <c:pt idx="4">
                  <c:v>7.67</c:v>
                </c:pt>
                <c:pt idx="5">
                  <c:v>7.98</c:v>
                </c:pt>
                <c:pt idx="6">
                  <c:v>8.32</c:v>
                </c:pt>
                <c:pt idx="7">
                  <c:v>8.69</c:v>
                </c:pt>
                <c:pt idx="8">
                  <c:v>9.07</c:v>
                </c:pt>
                <c:pt idx="9">
                  <c:v>9.4600000000000009</c:v>
                </c:pt>
                <c:pt idx="10">
                  <c:v>9.84</c:v>
                </c:pt>
                <c:pt idx="11">
                  <c:v>10.19</c:v>
                </c:pt>
                <c:pt idx="12">
                  <c:v>10.5</c:v>
                </c:pt>
                <c:pt idx="13">
                  <c:v>10.76</c:v>
                </c:pt>
                <c:pt idx="14">
                  <c:v>10.96</c:v>
                </c:pt>
                <c:pt idx="15">
                  <c:v>11.11</c:v>
                </c:pt>
                <c:pt idx="16">
                  <c:v>11.22</c:v>
                </c:pt>
                <c:pt idx="17">
                  <c:v>11.28</c:v>
                </c:pt>
                <c:pt idx="18">
                  <c:v>11.32</c:v>
                </c:pt>
                <c:pt idx="19">
                  <c:v>11.34</c:v>
                </c:pt>
                <c:pt idx="20">
                  <c:v>11.35</c:v>
                </c:pt>
                <c:pt idx="21">
                  <c:v>11.35</c:v>
                </c:pt>
                <c:pt idx="22">
                  <c:v>11.34</c:v>
                </c:pt>
                <c:pt idx="23">
                  <c:v>11.31</c:v>
                </c:pt>
                <c:pt idx="24">
                  <c:v>11.28</c:v>
                </c:pt>
                <c:pt idx="25">
                  <c:v>11.24</c:v>
                </c:pt>
                <c:pt idx="26">
                  <c:v>11.22</c:v>
                </c:pt>
                <c:pt idx="27">
                  <c:v>11.21</c:v>
                </c:pt>
                <c:pt idx="28">
                  <c:v>11.23</c:v>
                </c:pt>
                <c:pt idx="29">
                  <c:v>11.28</c:v>
                </c:pt>
                <c:pt idx="30">
                  <c:v>11.34</c:v>
                </c:pt>
                <c:pt idx="31">
                  <c:v>11.42</c:v>
                </c:pt>
                <c:pt idx="32">
                  <c:v>11.48</c:v>
                </c:pt>
                <c:pt idx="33">
                  <c:v>11.52</c:v>
                </c:pt>
                <c:pt idx="34">
                  <c:v>11.53</c:v>
                </c:pt>
                <c:pt idx="35">
                  <c:v>11.48</c:v>
                </c:pt>
                <c:pt idx="36">
                  <c:v>11.32</c:v>
                </c:pt>
                <c:pt idx="37">
                  <c:v>10.93</c:v>
                </c:pt>
                <c:pt idx="38">
                  <c:v>10.199999999999999</c:v>
                </c:pt>
                <c:pt idx="39">
                  <c:v>9.44</c:v>
                </c:pt>
                <c:pt idx="40">
                  <c:v>8.94</c:v>
                </c:pt>
                <c:pt idx="41">
                  <c:v>8.69</c:v>
                </c:pt>
                <c:pt idx="42">
                  <c:v>8.6</c:v>
                </c:pt>
                <c:pt idx="43">
                  <c:v>8.57</c:v>
                </c:pt>
                <c:pt idx="44">
                  <c:v>8.51</c:v>
                </c:pt>
                <c:pt idx="45">
                  <c:v>8.39</c:v>
                </c:pt>
                <c:pt idx="46">
                  <c:v>8.2799999999999994</c:v>
                </c:pt>
                <c:pt idx="47">
                  <c:v>8.15</c:v>
                </c:pt>
                <c:pt idx="48">
                  <c:v>7.95</c:v>
                </c:pt>
                <c:pt idx="49">
                  <c:v>7.69</c:v>
                </c:pt>
                <c:pt idx="50">
                  <c:v>7.41</c:v>
                </c:pt>
                <c:pt idx="51">
                  <c:v>7.12</c:v>
                </c:pt>
                <c:pt idx="52">
                  <c:v>6.81</c:v>
                </c:pt>
                <c:pt idx="53">
                  <c:v>6.46</c:v>
                </c:pt>
                <c:pt idx="54">
                  <c:v>6</c:v>
                </c:pt>
                <c:pt idx="55">
                  <c:v>5.35</c:v>
                </c:pt>
                <c:pt idx="56">
                  <c:v>4.6399999999999997</c:v>
                </c:pt>
                <c:pt idx="57">
                  <c:v>4.1100000000000003</c:v>
                </c:pt>
                <c:pt idx="58">
                  <c:v>3.74</c:v>
                </c:pt>
                <c:pt idx="59">
                  <c:v>3.48</c:v>
                </c:pt>
                <c:pt idx="60">
                  <c:v>3.29</c:v>
                </c:pt>
                <c:pt idx="61">
                  <c:v>3.15</c:v>
                </c:pt>
                <c:pt idx="62">
                  <c:v>3.03</c:v>
                </c:pt>
                <c:pt idx="63">
                  <c:v>2.92</c:v>
                </c:pt>
                <c:pt idx="64">
                  <c:v>2.81</c:v>
                </c:pt>
                <c:pt idx="65">
                  <c:v>2.69</c:v>
                </c:pt>
                <c:pt idx="66">
                  <c:v>2.57</c:v>
                </c:pt>
                <c:pt idx="67">
                  <c:v>2.4500000000000002</c:v>
                </c:pt>
                <c:pt idx="68">
                  <c:v>2.36</c:v>
                </c:pt>
                <c:pt idx="69">
                  <c:v>2.2799999999999998</c:v>
                </c:pt>
                <c:pt idx="70">
                  <c:v>2.2200000000000002</c:v>
                </c:pt>
                <c:pt idx="71">
                  <c:v>2.1800000000000002</c:v>
                </c:pt>
                <c:pt idx="72">
                  <c:v>2.15</c:v>
                </c:pt>
                <c:pt idx="73">
                  <c:v>2.13</c:v>
                </c:pt>
                <c:pt idx="74">
                  <c:v>2.11</c:v>
                </c:pt>
                <c:pt idx="75">
                  <c:v>2.1</c:v>
                </c:pt>
                <c:pt idx="76">
                  <c:v>2.09</c:v>
                </c:pt>
                <c:pt idx="77">
                  <c:v>2.08</c:v>
                </c:pt>
                <c:pt idx="78">
                  <c:v>2.08</c:v>
                </c:pt>
                <c:pt idx="79">
                  <c:v>2.0699999999999998</c:v>
                </c:pt>
                <c:pt idx="80">
                  <c:v>2.0699999999999998</c:v>
                </c:pt>
                <c:pt idx="81">
                  <c:v>2.0699999999999998</c:v>
                </c:pt>
                <c:pt idx="82">
                  <c:v>2.06</c:v>
                </c:pt>
                <c:pt idx="83">
                  <c:v>2.06</c:v>
                </c:pt>
                <c:pt idx="84">
                  <c:v>2.0499999999999998</c:v>
                </c:pt>
                <c:pt idx="85">
                  <c:v>2.0499999999999998</c:v>
                </c:pt>
                <c:pt idx="86">
                  <c:v>2.04</c:v>
                </c:pt>
                <c:pt idx="87">
                  <c:v>2.0299999999999998</c:v>
                </c:pt>
                <c:pt idx="88">
                  <c:v>2.02</c:v>
                </c:pt>
                <c:pt idx="89">
                  <c:v>2.0099999999999998</c:v>
                </c:pt>
                <c:pt idx="90">
                  <c:v>2</c:v>
                </c:pt>
                <c:pt idx="91">
                  <c:v>1.99</c:v>
                </c:pt>
                <c:pt idx="92">
                  <c:v>1.97</c:v>
                </c:pt>
                <c:pt idx="93">
                  <c:v>1.96</c:v>
                </c:pt>
                <c:pt idx="94">
                  <c:v>1.94</c:v>
                </c:pt>
                <c:pt idx="95">
                  <c:v>1.93</c:v>
                </c:pt>
                <c:pt idx="96">
                  <c:v>1.91</c:v>
                </c:pt>
                <c:pt idx="97">
                  <c:v>1.89</c:v>
                </c:pt>
                <c:pt idx="98">
                  <c:v>1.88</c:v>
                </c:pt>
                <c:pt idx="99">
                  <c:v>1.86</c:v>
                </c:pt>
                <c:pt idx="100">
                  <c:v>1.84</c:v>
                </c:pt>
              </c:numCache>
            </c:numRef>
          </c:val>
          <c:smooth val="0"/>
          <c:extLst>
            <c:ext xmlns:c16="http://schemas.microsoft.com/office/drawing/2014/chart" uri="{C3380CC4-5D6E-409C-BE32-E72D297353CC}">
              <c16:uniqueId val="{00000005-EC7D-4B14-B8F6-BD6909B3F40C}"/>
            </c:ext>
          </c:extLst>
        </c:ser>
        <c:ser>
          <c:idx val="6"/>
          <c:order val="6"/>
          <c:tx>
            <c:strRef>
              <c:f>'Decision Analysis'!$H$2</c:f>
              <c:strCache>
                <c:ptCount val="1"/>
                <c:pt idx="0">
                  <c:v>New Zero</c:v>
                </c:pt>
              </c:strCache>
            </c:strRef>
          </c:tx>
          <c:spPr>
            <a:ln w="28575" cap="rnd">
              <a:solidFill>
                <a:schemeClr val="accent1">
                  <a:lumMod val="60000"/>
                </a:schemeClr>
              </a:solidFill>
              <a:round/>
            </a:ln>
            <a:effectLst/>
          </c:spPr>
          <c:marker>
            <c:symbol val="none"/>
          </c:marker>
          <c:cat>
            <c:numRef>
              <c:f>'Decision Analysis'!$A$3:$A$103</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'Decision Analysis'!$H$3:$H$103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0.02</c:v>
                </c:pt>
                <c:pt idx="28">
                  <c:v>7.0000000000000007E-2</c:v>
                </c:pt>
                <c:pt idx="29">
                  <c:v>0.15</c:v>
                </c:pt>
                <c:pt idx="30">
                  <c:v>0.28000000000000003</c:v>
                </c:pt>
                <c:pt idx="31">
                  <c:v>0.46</c:v>
                </c:pt>
                <c:pt idx="32">
                  <c:v>0.7</c:v>
                </c:pt>
                <c:pt idx="33">
                  <c:v>0.99</c:v>
                </c:pt>
                <c:pt idx="34">
                  <c:v>1.32</c:v>
                </c:pt>
                <c:pt idx="35">
                  <c:v>1.71</c:v>
                </c:pt>
                <c:pt idx="36">
                  <c:v>2.14</c:v>
                </c:pt>
                <c:pt idx="37">
                  <c:v>2.62</c:v>
                </c:pt>
                <c:pt idx="38">
                  <c:v>3.12</c:v>
                </c:pt>
                <c:pt idx="39">
                  <c:v>3.65</c:v>
                </c:pt>
                <c:pt idx="40">
                  <c:v>4.22</c:v>
                </c:pt>
                <c:pt idx="41">
                  <c:v>4.83</c:v>
                </c:pt>
                <c:pt idx="42">
                  <c:v>5.44</c:v>
                </c:pt>
                <c:pt idx="43">
                  <c:v>6.03</c:v>
                </c:pt>
                <c:pt idx="44">
                  <c:v>6.58</c:v>
                </c:pt>
                <c:pt idx="45">
                  <c:v>7.17</c:v>
                </c:pt>
                <c:pt idx="46">
                  <c:v>8.16</c:v>
                </c:pt>
                <c:pt idx="47">
                  <c:v>9.41</c:v>
                </c:pt>
                <c:pt idx="48">
                  <c:v>11.15</c:v>
                </c:pt>
                <c:pt idx="49">
                  <c:v>13.66</c:v>
                </c:pt>
                <c:pt idx="50">
                  <c:v>17.18</c:v>
                </c:pt>
                <c:pt idx="51">
                  <c:v>21.92</c:v>
                </c:pt>
                <c:pt idx="52">
                  <c:v>27.99</c:v>
                </c:pt>
                <c:pt idx="53">
                  <c:v>35.4</c:v>
                </c:pt>
                <c:pt idx="54">
                  <c:v>43.98</c:v>
                </c:pt>
                <c:pt idx="55">
                  <c:v>53.39</c:v>
                </c:pt>
                <c:pt idx="56">
                  <c:v>62.16</c:v>
                </c:pt>
                <c:pt idx="57">
                  <c:v>69.63</c:v>
                </c:pt>
                <c:pt idx="58">
                  <c:v>75.760000000000005</c:v>
                </c:pt>
                <c:pt idx="59">
                  <c:v>80.61</c:v>
                </c:pt>
                <c:pt idx="60">
                  <c:v>84.26</c:v>
                </c:pt>
                <c:pt idx="61">
                  <c:v>86.92</c:v>
                </c:pt>
                <c:pt idx="62">
                  <c:v>88.92</c:v>
                </c:pt>
                <c:pt idx="63">
                  <c:v>90.6</c:v>
                </c:pt>
                <c:pt idx="64">
                  <c:v>92.22</c:v>
                </c:pt>
                <c:pt idx="65">
                  <c:v>93.9</c:v>
                </c:pt>
                <c:pt idx="66">
                  <c:v>95.65</c:v>
                </c:pt>
                <c:pt idx="67">
                  <c:v>97.4</c:v>
                </c:pt>
                <c:pt idx="68">
                  <c:v>99.03</c:v>
                </c:pt>
                <c:pt idx="69">
                  <c:v>100.47</c:v>
                </c:pt>
                <c:pt idx="70">
                  <c:v>101.65</c:v>
                </c:pt>
                <c:pt idx="71">
                  <c:v>102.6</c:v>
                </c:pt>
                <c:pt idx="72">
                  <c:v>103.35</c:v>
                </c:pt>
                <c:pt idx="73">
                  <c:v>103.94</c:v>
                </c:pt>
                <c:pt idx="74">
                  <c:v>104.43</c:v>
                </c:pt>
                <c:pt idx="75">
                  <c:v>104.85</c:v>
                </c:pt>
                <c:pt idx="76">
                  <c:v>105.23</c:v>
                </c:pt>
                <c:pt idx="77">
                  <c:v>105.58</c:v>
                </c:pt>
                <c:pt idx="78">
                  <c:v>105.9</c:v>
                </c:pt>
                <c:pt idx="79">
                  <c:v>106.2</c:v>
                </c:pt>
                <c:pt idx="80">
                  <c:v>106.46</c:v>
                </c:pt>
                <c:pt idx="81">
                  <c:v>106.67</c:v>
                </c:pt>
                <c:pt idx="82">
                  <c:v>106.84</c:v>
                </c:pt>
                <c:pt idx="83">
                  <c:v>106.95</c:v>
                </c:pt>
                <c:pt idx="84">
                  <c:v>107.03</c:v>
                </c:pt>
                <c:pt idx="85">
                  <c:v>107.06</c:v>
                </c:pt>
                <c:pt idx="86">
                  <c:v>107.06</c:v>
                </c:pt>
                <c:pt idx="87">
                  <c:v>107.04</c:v>
                </c:pt>
                <c:pt idx="88">
                  <c:v>107</c:v>
                </c:pt>
                <c:pt idx="89">
                  <c:v>106.94</c:v>
                </c:pt>
                <c:pt idx="90">
                  <c:v>106.86</c:v>
                </c:pt>
                <c:pt idx="91">
                  <c:v>106.77</c:v>
                </c:pt>
                <c:pt idx="92">
                  <c:v>106.66</c:v>
                </c:pt>
                <c:pt idx="93">
                  <c:v>106.55</c:v>
                </c:pt>
                <c:pt idx="94">
                  <c:v>106.42</c:v>
                </c:pt>
                <c:pt idx="95">
                  <c:v>106.28</c:v>
                </c:pt>
                <c:pt idx="96">
                  <c:v>106.14</c:v>
                </c:pt>
                <c:pt idx="97">
                  <c:v>105.99</c:v>
                </c:pt>
                <c:pt idx="98">
                  <c:v>105.84</c:v>
                </c:pt>
                <c:pt idx="99">
                  <c:v>105.69</c:v>
                </c:pt>
                <c:pt idx="100">
                  <c:v>105.54</c:v>
                </c:pt>
              </c:numCache>
            </c:numRef>
          </c:val>
          <c:smooth val="0"/>
          <c:extLst>
            <c:ext xmlns:c16="http://schemas.microsoft.com/office/drawing/2014/chart" uri="{C3380CC4-5D6E-409C-BE32-E72D297353CC}">
              <c16:uniqueId val="{00000006-EC7D-4B14-B8F6-BD6909B3F40C}"/>
            </c:ext>
          </c:extLst>
        </c:ser>
        <c:dLbls>
          <c:showLegendKey val="0"/>
          <c:showVal val="0"/>
          <c:showCatName val="0"/>
          <c:showSerName val="0"/>
          <c:showPercent val="0"/>
          <c:showBubbleSize val="0"/>
        </c:dLbls>
        <c:smooth val="0"/>
        <c:axId val="921934912"/>
        <c:axId val="921935872"/>
      </c:lineChart>
      <c:catAx>
        <c:axId val="92193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935872"/>
        <c:crosses val="autoZero"/>
        <c:auto val="1"/>
        <c:lblAlgn val="ctr"/>
        <c:lblOffset val="100"/>
        <c:noMultiLvlLbl val="0"/>
      </c:catAx>
      <c:valAx>
        <c:axId val="9219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93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Regression</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Current Scenario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Sheet1!$B$4:$B$104</c:f>
              <c:numCache>
                <c:formatCode>General</c:formatCode>
                <c:ptCount val="101"/>
                <c:pt idx="0">
                  <c:v>41.08</c:v>
                </c:pt>
                <c:pt idx="1">
                  <c:v>41.9</c:v>
                </c:pt>
                <c:pt idx="2">
                  <c:v>42.65</c:v>
                </c:pt>
                <c:pt idx="3">
                  <c:v>43.39</c:v>
                </c:pt>
                <c:pt idx="4">
                  <c:v>44.25</c:v>
                </c:pt>
                <c:pt idx="5">
                  <c:v>45.28</c:v>
                </c:pt>
                <c:pt idx="6">
                  <c:v>46.39</c:v>
                </c:pt>
                <c:pt idx="7">
                  <c:v>47.64</c:v>
                </c:pt>
                <c:pt idx="8">
                  <c:v>48.82</c:v>
                </c:pt>
                <c:pt idx="9">
                  <c:v>49.66</c:v>
                </c:pt>
                <c:pt idx="10">
                  <c:v>50.23</c:v>
                </c:pt>
                <c:pt idx="11">
                  <c:v>51.11</c:v>
                </c:pt>
                <c:pt idx="12">
                  <c:v>52.05</c:v>
                </c:pt>
                <c:pt idx="13">
                  <c:v>52.93</c:v>
                </c:pt>
                <c:pt idx="14">
                  <c:v>53.79</c:v>
                </c:pt>
                <c:pt idx="15">
                  <c:v>54.65</c:v>
                </c:pt>
                <c:pt idx="16">
                  <c:v>55.46</c:v>
                </c:pt>
                <c:pt idx="17">
                  <c:v>56.21</c:v>
                </c:pt>
                <c:pt idx="18">
                  <c:v>57.04</c:v>
                </c:pt>
                <c:pt idx="19">
                  <c:v>57.78</c:v>
                </c:pt>
                <c:pt idx="20">
                  <c:v>58.03</c:v>
                </c:pt>
                <c:pt idx="21">
                  <c:v>57.79</c:v>
                </c:pt>
                <c:pt idx="22">
                  <c:v>58.23</c:v>
                </c:pt>
                <c:pt idx="23">
                  <c:v>58.75</c:v>
                </c:pt>
                <c:pt idx="24">
                  <c:v>59.24</c:v>
                </c:pt>
                <c:pt idx="25">
                  <c:v>59.7</c:v>
                </c:pt>
                <c:pt idx="26">
                  <c:v>60.14</c:v>
                </c:pt>
                <c:pt idx="27">
                  <c:v>60.56</c:v>
                </c:pt>
                <c:pt idx="28">
                  <c:v>60.96</c:v>
                </c:pt>
                <c:pt idx="29">
                  <c:v>61.34</c:v>
                </c:pt>
                <c:pt idx="30">
                  <c:v>61.69</c:v>
                </c:pt>
                <c:pt idx="31">
                  <c:v>62.03</c:v>
                </c:pt>
                <c:pt idx="32">
                  <c:v>62.34</c:v>
                </c:pt>
                <c:pt idx="33">
                  <c:v>62.64</c:v>
                </c:pt>
                <c:pt idx="34">
                  <c:v>62.92</c:v>
                </c:pt>
                <c:pt idx="35">
                  <c:v>63.2</c:v>
                </c:pt>
                <c:pt idx="36">
                  <c:v>63.46</c:v>
                </c:pt>
                <c:pt idx="37">
                  <c:v>63.71</c:v>
                </c:pt>
                <c:pt idx="38">
                  <c:v>63.96</c:v>
                </c:pt>
                <c:pt idx="39">
                  <c:v>64.209999999999994</c:v>
                </c:pt>
                <c:pt idx="40">
                  <c:v>64.45</c:v>
                </c:pt>
                <c:pt idx="41">
                  <c:v>64.69</c:v>
                </c:pt>
                <c:pt idx="42">
                  <c:v>64.930000000000007</c:v>
                </c:pt>
                <c:pt idx="43">
                  <c:v>65.17</c:v>
                </c:pt>
                <c:pt idx="44">
                  <c:v>65.41</c:v>
                </c:pt>
                <c:pt idx="45">
                  <c:v>65.64</c:v>
                </c:pt>
                <c:pt idx="46">
                  <c:v>65.87</c:v>
                </c:pt>
                <c:pt idx="47">
                  <c:v>66.099999999999994</c:v>
                </c:pt>
                <c:pt idx="48">
                  <c:v>66.319999999999993</c:v>
                </c:pt>
                <c:pt idx="49">
                  <c:v>66.55</c:v>
                </c:pt>
                <c:pt idx="50">
                  <c:v>66.78</c:v>
                </c:pt>
                <c:pt idx="51">
                  <c:v>67.010000000000005</c:v>
                </c:pt>
                <c:pt idx="52">
                  <c:v>67.23</c:v>
                </c:pt>
                <c:pt idx="53">
                  <c:v>67.459999999999994</c:v>
                </c:pt>
                <c:pt idx="54">
                  <c:v>67.680000000000007</c:v>
                </c:pt>
                <c:pt idx="55">
                  <c:v>67.900000000000006</c:v>
                </c:pt>
                <c:pt idx="56">
                  <c:v>68.12</c:v>
                </c:pt>
                <c:pt idx="57">
                  <c:v>68.33</c:v>
                </c:pt>
                <c:pt idx="58">
                  <c:v>68.540000000000006</c:v>
                </c:pt>
                <c:pt idx="59">
                  <c:v>68.739999999999995</c:v>
                </c:pt>
                <c:pt idx="60">
                  <c:v>68.94</c:v>
                </c:pt>
                <c:pt idx="61">
                  <c:v>69.13</c:v>
                </c:pt>
                <c:pt idx="62">
                  <c:v>69.319999999999993</c:v>
                </c:pt>
                <c:pt idx="63">
                  <c:v>69.5</c:v>
                </c:pt>
                <c:pt idx="64">
                  <c:v>69.680000000000007</c:v>
                </c:pt>
                <c:pt idx="65">
                  <c:v>69.849999999999994</c:v>
                </c:pt>
                <c:pt idx="66">
                  <c:v>70.02</c:v>
                </c:pt>
                <c:pt idx="67">
                  <c:v>70.180000000000007</c:v>
                </c:pt>
                <c:pt idx="68">
                  <c:v>70.33</c:v>
                </c:pt>
                <c:pt idx="69">
                  <c:v>70.48</c:v>
                </c:pt>
                <c:pt idx="70">
                  <c:v>70.62</c:v>
                </c:pt>
                <c:pt idx="71">
                  <c:v>70.760000000000005</c:v>
                </c:pt>
                <c:pt idx="72">
                  <c:v>70.88</c:v>
                </c:pt>
                <c:pt idx="73">
                  <c:v>71</c:v>
                </c:pt>
                <c:pt idx="74">
                  <c:v>71.12</c:v>
                </c:pt>
                <c:pt idx="75">
                  <c:v>71.22</c:v>
                </c:pt>
                <c:pt idx="76">
                  <c:v>71.319999999999993</c:v>
                </c:pt>
                <c:pt idx="77">
                  <c:v>71.41</c:v>
                </c:pt>
                <c:pt idx="78">
                  <c:v>71.489999999999995</c:v>
                </c:pt>
                <c:pt idx="79">
                  <c:v>71.56</c:v>
                </c:pt>
                <c:pt idx="80">
                  <c:v>71.62</c:v>
                </c:pt>
                <c:pt idx="81">
                  <c:v>71.67</c:v>
                </c:pt>
                <c:pt idx="82">
                  <c:v>71.709999999999994</c:v>
                </c:pt>
                <c:pt idx="83">
                  <c:v>71.75</c:v>
                </c:pt>
                <c:pt idx="84">
                  <c:v>71.78</c:v>
                </c:pt>
                <c:pt idx="85">
                  <c:v>71.81</c:v>
                </c:pt>
                <c:pt idx="86">
                  <c:v>71.83</c:v>
                </c:pt>
                <c:pt idx="87">
                  <c:v>71.84</c:v>
                </c:pt>
                <c:pt idx="88">
                  <c:v>71.849999999999994</c:v>
                </c:pt>
                <c:pt idx="89">
                  <c:v>71.849999999999994</c:v>
                </c:pt>
                <c:pt idx="90">
                  <c:v>71.849999999999994</c:v>
                </c:pt>
                <c:pt idx="91">
                  <c:v>71.84</c:v>
                </c:pt>
                <c:pt idx="92">
                  <c:v>71.83</c:v>
                </c:pt>
                <c:pt idx="93">
                  <c:v>71.819999999999993</c:v>
                </c:pt>
                <c:pt idx="94">
                  <c:v>71.81</c:v>
                </c:pt>
                <c:pt idx="95">
                  <c:v>71.790000000000006</c:v>
                </c:pt>
                <c:pt idx="96">
                  <c:v>71.77</c:v>
                </c:pt>
                <c:pt idx="97">
                  <c:v>71.75</c:v>
                </c:pt>
                <c:pt idx="98">
                  <c:v>71.73</c:v>
                </c:pt>
                <c:pt idx="99">
                  <c:v>71.709999999999994</c:v>
                </c:pt>
                <c:pt idx="100">
                  <c:v>71.69</c:v>
                </c:pt>
              </c:numCache>
            </c:numRef>
          </c:xVal>
          <c:yVal>
            <c:numRef>
              <c:f>Sheet1!$C$4:$C$104</c:f>
              <c:numCache>
                <c:formatCode>General</c:formatCode>
                <c:ptCount val="101"/>
                <c:pt idx="0">
                  <c:v>41.08</c:v>
                </c:pt>
                <c:pt idx="1">
                  <c:v>41.9</c:v>
                </c:pt>
                <c:pt idx="2">
                  <c:v>42.65</c:v>
                </c:pt>
                <c:pt idx="3">
                  <c:v>43.39</c:v>
                </c:pt>
                <c:pt idx="4">
                  <c:v>44.25</c:v>
                </c:pt>
                <c:pt idx="5">
                  <c:v>45.28</c:v>
                </c:pt>
                <c:pt idx="6">
                  <c:v>46.39</c:v>
                </c:pt>
                <c:pt idx="7">
                  <c:v>47.64</c:v>
                </c:pt>
                <c:pt idx="8">
                  <c:v>48.82</c:v>
                </c:pt>
                <c:pt idx="9">
                  <c:v>49.66</c:v>
                </c:pt>
                <c:pt idx="10">
                  <c:v>50.23</c:v>
                </c:pt>
                <c:pt idx="11">
                  <c:v>51.11</c:v>
                </c:pt>
                <c:pt idx="12">
                  <c:v>52.05</c:v>
                </c:pt>
                <c:pt idx="13">
                  <c:v>52.93</c:v>
                </c:pt>
                <c:pt idx="14">
                  <c:v>53.79</c:v>
                </c:pt>
                <c:pt idx="15">
                  <c:v>54.65</c:v>
                </c:pt>
                <c:pt idx="16">
                  <c:v>55.46</c:v>
                </c:pt>
                <c:pt idx="17">
                  <c:v>56.21</c:v>
                </c:pt>
                <c:pt idx="18">
                  <c:v>57.04</c:v>
                </c:pt>
                <c:pt idx="19">
                  <c:v>57.78</c:v>
                </c:pt>
                <c:pt idx="20">
                  <c:v>58.03</c:v>
                </c:pt>
                <c:pt idx="21">
                  <c:v>57.79</c:v>
                </c:pt>
                <c:pt idx="22">
                  <c:v>58.23</c:v>
                </c:pt>
                <c:pt idx="23">
                  <c:v>58.74</c:v>
                </c:pt>
                <c:pt idx="24">
                  <c:v>59.21</c:v>
                </c:pt>
                <c:pt idx="25">
                  <c:v>58.75</c:v>
                </c:pt>
                <c:pt idx="26">
                  <c:v>57.82</c:v>
                </c:pt>
                <c:pt idx="27">
                  <c:v>56.79</c:v>
                </c:pt>
                <c:pt idx="28">
                  <c:v>55.63</c:v>
                </c:pt>
                <c:pt idx="29">
                  <c:v>54.33</c:v>
                </c:pt>
                <c:pt idx="30">
                  <c:v>52.92</c:v>
                </c:pt>
                <c:pt idx="31">
                  <c:v>51.39</c:v>
                </c:pt>
                <c:pt idx="32">
                  <c:v>49.73</c:v>
                </c:pt>
                <c:pt idx="33">
                  <c:v>47.96</c:v>
                </c:pt>
                <c:pt idx="34">
                  <c:v>46.09</c:v>
                </c:pt>
                <c:pt idx="35">
                  <c:v>44.39</c:v>
                </c:pt>
                <c:pt idx="36">
                  <c:v>42.8</c:v>
                </c:pt>
                <c:pt idx="37">
                  <c:v>41.24</c:v>
                </c:pt>
                <c:pt idx="38">
                  <c:v>39.729999999999997</c:v>
                </c:pt>
                <c:pt idx="39">
                  <c:v>38.33</c:v>
                </c:pt>
                <c:pt idx="40">
                  <c:v>37.08</c:v>
                </c:pt>
                <c:pt idx="41">
                  <c:v>35.950000000000003</c:v>
                </c:pt>
                <c:pt idx="42">
                  <c:v>34.97</c:v>
                </c:pt>
                <c:pt idx="43">
                  <c:v>34.119999999999997</c:v>
                </c:pt>
                <c:pt idx="44">
                  <c:v>33.340000000000003</c:v>
                </c:pt>
                <c:pt idx="45">
                  <c:v>32.56</c:v>
                </c:pt>
                <c:pt idx="46">
                  <c:v>31.82</c:v>
                </c:pt>
                <c:pt idx="47">
                  <c:v>31.15</c:v>
                </c:pt>
                <c:pt idx="48">
                  <c:v>30.55</c:v>
                </c:pt>
                <c:pt idx="49">
                  <c:v>29.95</c:v>
                </c:pt>
                <c:pt idx="50">
                  <c:v>29.33</c:v>
                </c:pt>
                <c:pt idx="51">
                  <c:v>28.66</c:v>
                </c:pt>
                <c:pt idx="52">
                  <c:v>27.96</c:v>
                </c:pt>
                <c:pt idx="53">
                  <c:v>27.23</c:v>
                </c:pt>
                <c:pt idx="54">
                  <c:v>26.48</c:v>
                </c:pt>
                <c:pt idx="55">
                  <c:v>25.81</c:v>
                </c:pt>
                <c:pt idx="56">
                  <c:v>25.22</c:v>
                </c:pt>
                <c:pt idx="57">
                  <c:v>24.68</c:v>
                </c:pt>
                <c:pt idx="58">
                  <c:v>24.17</c:v>
                </c:pt>
                <c:pt idx="59">
                  <c:v>23.68</c:v>
                </c:pt>
                <c:pt idx="60">
                  <c:v>23.2</c:v>
                </c:pt>
                <c:pt idx="61">
                  <c:v>22.74</c:v>
                </c:pt>
                <c:pt idx="62">
                  <c:v>22.29</c:v>
                </c:pt>
                <c:pt idx="63">
                  <c:v>21.85</c:v>
                </c:pt>
                <c:pt idx="64">
                  <c:v>21.43</c:v>
                </c:pt>
                <c:pt idx="65">
                  <c:v>21.02</c:v>
                </c:pt>
                <c:pt idx="66">
                  <c:v>20.61</c:v>
                </c:pt>
                <c:pt idx="67">
                  <c:v>20.22</c:v>
                </c:pt>
                <c:pt idx="68">
                  <c:v>19.84</c:v>
                </c:pt>
                <c:pt idx="69">
                  <c:v>19.47</c:v>
                </c:pt>
                <c:pt idx="70">
                  <c:v>19.12</c:v>
                </c:pt>
                <c:pt idx="71">
                  <c:v>18.77</c:v>
                </c:pt>
                <c:pt idx="72">
                  <c:v>18.43</c:v>
                </c:pt>
                <c:pt idx="73">
                  <c:v>18.100000000000001</c:v>
                </c:pt>
                <c:pt idx="74">
                  <c:v>17.78</c:v>
                </c:pt>
                <c:pt idx="75">
                  <c:v>17.47</c:v>
                </c:pt>
                <c:pt idx="76">
                  <c:v>17.16</c:v>
                </c:pt>
                <c:pt idx="77">
                  <c:v>16.87</c:v>
                </c:pt>
                <c:pt idx="78">
                  <c:v>16.59</c:v>
                </c:pt>
                <c:pt idx="79">
                  <c:v>16.32</c:v>
                </c:pt>
                <c:pt idx="80">
                  <c:v>16.059999999999999</c:v>
                </c:pt>
                <c:pt idx="81">
                  <c:v>15.8</c:v>
                </c:pt>
                <c:pt idx="82">
                  <c:v>15.55</c:v>
                </c:pt>
                <c:pt idx="83">
                  <c:v>15.31</c:v>
                </c:pt>
                <c:pt idx="84">
                  <c:v>15.07</c:v>
                </c:pt>
                <c:pt idx="85">
                  <c:v>14.84</c:v>
                </c:pt>
                <c:pt idx="86">
                  <c:v>14.62</c:v>
                </c:pt>
                <c:pt idx="87">
                  <c:v>14.4</c:v>
                </c:pt>
                <c:pt idx="88">
                  <c:v>14.19</c:v>
                </c:pt>
                <c:pt idx="89">
                  <c:v>13.98</c:v>
                </c:pt>
                <c:pt idx="90">
                  <c:v>13.78</c:v>
                </c:pt>
                <c:pt idx="91">
                  <c:v>13.59</c:v>
                </c:pt>
                <c:pt idx="92">
                  <c:v>13.4</c:v>
                </c:pt>
                <c:pt idx="93">
                  <c:v>13.22</c:v>
                </c:pt>
                <c:pt idx="94">
                  <c:v>13.04</c:v>
                </c:pt>
                <c:pt idx="95">
                  <c:v>12.88</c:v>
                </c:pt>
                <c:pt idx="96">
                  <c:v>12.71</c:v>
                </c:pt>
                <c:pt idx="97">
                  <c:v>12.55</c:v>
                </c:pt>
                <c:pt idx="98">
                  <c:v>12.4</c:v>
                </c:pt>
                <c:pt idx="99">
                  <c:v>12.25</c:v>
                </c:pt>
                <c:pt idx="100">
                  <c:v>12.1</c:v>
                </c:pt>
              </c:numCache>
            </c:numRef>
          </c:yVal>
          <c:smooth val="0"/>
          <c:extLst>
            <c:ext xmlns:c16="http://schemas.microsoft.com/office/drawing/2014/chart" uri="{C3380CC4-5D6E-409C-BE32-E72D297353CC}">
              <c16:uniqueId val="{00000005-D16A-4C14-8136-7FE327D716DC}"/>
            </c:ext>
          </c:extLst>
        </c:ser>
        <c:dLbls>
          <c:showLegendKey val="0"/>
          <c:showVal val="0"/>
          <c:showCatName val="0"/>
          <c:showSerName val="0"/>
          <c:showPercent val="0"/>
          <c:showBubbleSize val="0"/>
        </c:dLbls>
        <c:axId val="648189328"/>
        <c:axId val="648182880"/>
      </c:scatterChart>
      <c:valAx>
        <c:axId val="64818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Baseline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82880"/>
        <c:crosses val="autoZero"/>
        <c:crossBetween val="midCat"/>
      </c:valAx>
      <c:valAx>
        <c:axId val="64818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Scenario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8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r>
              <a:rPr lang="en-US" baseline="0"/>
              <a:t>2 Reduction(3yrs)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Forecasting!$B$1</c:f>
              <c:strCache>
                <c:ptCount val="1"/>
                <c:pt idx="0">
                  <c:v>CO2 Reduction (Gt)</c:v>
                </c:pt>
              </c:strCache>
            </c:strRef>
          </c:tx>
          <c:spPr>
            <a:ln w="28575" cap="rnd">
              <a:solidFill>
                <a:schemeClr val="accent1"/>
              </a:solidFill>
              <a:round/>
            </a:ln>
            <a:effectLst/>
          </c:spPr>
          <c:marker>
            <c:symbol val="none"/>
          </c:marker>
          <c:cat>
            <c:numRef>
              <c:f>Forecasting!$A$2:$A$32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Forecasting!$B$2:$B$32</c:f>
              <c:numCache>
                <c:formatCode>General</c:formatCode>
                <c:ptCount val="31"/>
                <c:pt idx="0">
                  <c:v>0.4</c:v>
                </c:pt>
                <c:pt idx="1">
                  <c:v>0.42</c:v>
                </c:pt>
                <c:pt idx="2">
                  <c:v>0.44</c:v>
                </c:pt>
                <c:pt idx="3">
                  <c:v>0.43</c:v>
                </c:pt>
                <c:pt idx="4">
                  <c:v>0.45</c:v>
                </c:pt>
                <c:pt idx="5">
                  <c:v>0.46</c:v>
                </c:pt>
                <c:pt idx="6">
                  <c:v>0.47</c:v>
                </c:pt>
                <c:pt idx="7">
                  <c:v>0.48</c:v>
                </c:pt>
                <c:pt idx="8">
                  <c:v>0.49</c:v>
                </c:pt>
                <c:pt idx="9">
                  <c:v>0.5</c:v>
                </c:pt>
                <c:pt idx="10">
                  <c:v>0.52</c:v>
                </c:pt>
                <c:pt idx="11">
                  <c:v>0.54</c:v>
                </c:pt>
                <c:pt idx="12">
                  <c:v>0.55000000000000004</c:v>
                </c:pt>
                <c:pt idx="13">
                  <c:v>0.56000000000000005</c:v>
                </c:pt>
                <c:pt idx="14">
                  <c:v>0.56999999999999995</c:v>
                </c:pt>
                <c:pt idx="15">
                  <c:v>0.57999999999999996</c:v>
                </c:pt>
                <c:pt idx="16">
                  <c:v>0.59</c:v>
                </c:pt>
                <c:pt idx="17">
                  <c:v>0.6</c:v>
                </c:pt>
                <c:pt idx="18">
                  <c:v>0.62</c:v>
                </c:pt>
                <c:pt idx="19">
                  <c:v>0.63</c:v>
                </c:pt>
                <c:pt idx="20">
                  <c:v>0.64</c:v>
                </c:pt>
                <c:pt idx="21">
                  <c:v>0.65</c:v>
                </c:pt>
                <c:pt idx="22">
                  <c:v>0.66</c:v>
                </c:pt>
                <c:pt idx="23">
                  <c:v>0.67</c:v>
                </c:pt>
                <c:pt idx="24">
                  <c:v>0.68</c:v>
                </c:pt>
                <c:pt idx="25">
                  <c:v>0.69</c:v>
                </c:pt>
                <c:pt idx="26">
                  <c:v>0.7</c:v>
                </c:pt>
                <c:pt idx="27">
                  <c:v>0.71</c:v>
                </c:pt>
                <c:pt idx="28">
                  <c:v>0.72</c:v>
                </c:pt>
                <c:pt idx="29">
                  <c:v>0.73</c:v>
                </c:pt>
                <c:pt idx="30">
                  <c:v>0.74</c:v>
                </c:pt>
              </c:numCache>
            </c:numRef>
          </c:val>
          <c:smooth val="0"/>
          <c:extLst>
            <c:ext xmlns:c16="http://schemas.microsoft.com/office/drawing/2014/chart" uri="{C3380CC4-5D6E-409C-BE32-E72D297353CC}">
              <c16:uniqueId val="{00000000-7336-443A-B956-E3D0A0ACDD2B}"/>
            </c:ext>
          </c:extLst>
        </c:ser>
        <c:ser>
          <c:idx val="1"/>
          <c:order val="1"/>
          <c:tx>
            <c:strRef>
              <c:f>Forecasting!$C$1</c:f>
              <c:strCache>
                <c:ptCount val="1"/>
                <c:pt idx="0">
                  <c:v>SMA (3-year)</c:v>
                </c:pt>
              </c:strCache>
            </c:strRef>
          </c:tx>
          <c:spPr>
            <a:ln w="28575" cap="rnd">
              <a:solidFill>
                <a:schemeClr val="accent2"/>
              </a:solidFill>
              <a:round/>
            </a:ln>
            <a:effectLst/>
          </c:spPr>
          <c:marker>
            <c:symbol val="none"/>
          </c:marker>
          <c:cat>
            <c:numRef>
              <c:f>Forecasting!$A$2:$A$32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Forecasting!$C$2:$C$32</c:f>
              <c:numCache>
                <c:formatCode>General</c:formatCode>
                <c:ptCount val="31"/>
                <c:pt idx="3">
                  <c:v>0.42</c:v>
                </c:pt>
                <c:pt idx="4">
                  <c:v>0.43</c:v>
                </c:pt>
                <c:pt idx="5">
                  <c:v>0.44</c:v>
                </c:pt>
                <c:pt idx="6">
                  <c:v>0.44666666666666671</c:v>
                </c:pt>
                <c:pt idx="7">
                  <c:v>0.45999999999999996</c:v>
                </c:pt>
                <c:pt idx="8">
                  <c:v>0.47</c:v>
                </c:pt>
                <c:pt idx="9">
                  <c:v>0.48</c:v>
                </c:pt>
                <c:pt idx="10">
                  <c:v>0.49</c:v>
                </c:pt>
                <c:pt idx="11">
                  <c:v>0.5033333333333333</c:v>
                </c:pt>
                <c:pt idx="12">
                  <c:v>0.52</c:v>
                </c:pt>
                <c:pt idx="13">
                  <c:v>0.53666666666666674</c:v>
                </c:pt>
                <c:pt idx="14">
                  <c:v>0.55000000000000004</c:v>
                </c:pt>
                <c:pt idx="15">
                  <c:v>0.56000000000000005</c:v>
                </c:pt>
                <c:pt idx="16">
                  <c:v>0.56999999999999995</c:v>
                </c:pt>
                <c:pt idx="17">
                  <c:v>0.57999999999999996</c:v>
                </c:pt>
                <c:pt idx="18">
                  <c:v>0.59</c:v>
                </c:pt>
                <c:pt idx="19">
                  <c:v>0.60333333333333339</c:v>
                </c:pt>
                <c:pt idx="20">
                  <c:v>0.6166666666666667</c:v>
                </c:pt>
                <c:pt idx="21">
                  <c:v>0.63</c:v>
                </c:pt>
                <c:pt idx="22">
                  <c:v>0.64</c:v>
                </c:pt>
                <c:pt idx="23">
                  <c:v>0.65</c:v>
                </c:pt>
                <c:pt idx="24">
                  <c:v>0.66</c:v>
                </c:pt>
                <c:pt idx="25">
                  <c:v>0.67</c:v>
                </c:pt>
                <c:pt idx="26">
                  <c:v>0.68</c:v>
                </c:pt>
                <c:pt idx="27">
                  <c:v>0.69000000000000006</c:v>
                </c:pt>
                <c:pt idx="28">
                  <c:v>0.69999999999999984</c:v>
                </c:pt>
                <c:pt idx="29">
                  <c:v>0.71</c:v>
                </c:pt>
                <c:pt idx="30">
                  <c:v>0.72000000000000008</c:v>
                </c:pt>
              </c:numCache>
            </c:numRef>
          </c:val>
          <c:smooth val="0"/>
          <c:extLst>
            <c:ext xmlns:c16="http://schemas.microsoft.com/office/drawing/2014/chart" uri="{C3380CC4-5D6E-409C-BE32-E72D297353CC}">
              <c16:uniqueId val="{00000001-7336-443A-B956-E3D0A0ACDD2B}"/>
            </c:ext>
          </c:extLst>
        </c:ser>
        <c:dLbls>
          <c:showLegendKey val="0"/>
          <c:showVal val="0"/>
          <c:showCatName val="0"/>
          <c:showSerName val="0"/>
          <c:showPercent val="0"/>
          <c:showBubbleSize val="0"/>
        </c:dLbls>
        <c:smooth val="0"/>
        <c:axId val="1104782415"/>
        <c:axId val="1104784335"/>
      </c:lineChart>
      <c:catAx>
        <c:axId val="1104782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784335"/>
        <c:crosses val="autoZero"/>
        <c:auto val="1"/>
        <c:lblAlgn val="ctr"/>
        <c:lblOffset val="100"/>
        <c:noMultiLvlLbl val="0"/>
      </c:catAx>
      <c:valAx>
        <c:axId val="1104784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782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Reduction(5 yrs)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Forecasting!$B$35</c:f>
              <c:strCache>
                <c:ptCount val="1"/>
                <c:pt idx="0">
                  <c:v>CO2 Reduction (Gt)</c:v>
                </c:pt>
              </c:strCache>
            </c:strRef>
          </c:tx>
          <c:spPr>
            <a:ln w="28575" cap="rnd">
              <a:solidFill>
                <a:schemeClr val="accent1"/>
              </a:solidFill>
              <a:round/>
            </a:ln>
            <a:effectLst/>
          </c:spPr>
          <c:marker>
            <c:symbol val="none"/>
          </c:marker>
          <c:cat>
            <c:numRef>
              <c:f>Forecasting!$A$36:$A$66</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Forecasting!$B$36:$B$66</c:f>
              <c:numCache>
                <c:formatCode>General</c:formatCode>
                <c:ptCount val="31"/>
                <c:pt idx="0">
                  <c:v>0.4</c:v>
                </c:pt>
                <c:pt idx="1">
                  <c:v>0.42</c:v>
                </c:pt>
                <c:pt idx="2">
                  <c:v>0.44</c:v>
                </c:pt>
                <c:pt idx="3">
                  <c:v>0.43</c:v>
                </c:pt>
                <c:pt idx="4">
                  <c:v>0.45</c:v>
                </c:pt>
                <c:pt idx="5">
                  <c:v>0.46</c:v>
                </c:pt>
                <c:pt idx="6">
                  <c:v>0.47</c:v>
                </c:pt>
                <c:pt idx="7">
                  <c:v>0.48</c:v>
                </c:pt>
                <c:pt idx="8">
                  <c:v>0.49</c:v>
                </c:pt>
                <c:pt idx="9">
                  <c:v>0.5</c:v>
                </c:pt>
                <c:pt idx="10">
                  <c:v>0.52</c:v>
                </c:pt>
                <c:pt idx="11">
                  <c:v>0.54</c:v>
                </c:pt>
                <c:pt idx="12">
                  <c:v>0.55000000000000004</c:v>
                </c:pt>
                <c:pt idx="13">
                  <c:v>0.56000000000000005</c:v>
                </c:pt>
                <c:pt idx="14">
                  <c:v>0.56999999999999995</c:v>
                </c:pt>
                <c:pt idx="15">
                  <c:v>0.57999999999999996</c:v>
                </c:pt>
                <c:pt idx="16">
                  <c:v>0.59</c:v>
                </c:pt>
                <c:pt idx="17">
                  <c:v>0.6</c:v>
                </c:pt>
                <c:pt idx="18">
                  <c:v>0.62</c:v>
                </c:pt>
                <c:pt idx="19">
                  <c:v>0.63</c:v>
                </c:pt>
                <c:pt idx="20">
                  <c:v>0.64</c:v>
                </c:pt>
                <c:pt idx="21">
                  <c:v>0.65</c:v>
                </c:pt>
                <c:pt idx="22">
                  <c:v>0.66</c:v>
                </c:pt>
                <c:pt idx="23">
                  <c:v>0.67</c:v>
                </c:pt>
                <c:pt idx="24">
                  <c:v>0.68</c:v>
                </c:pt>
                <c:pt idx="25">
                  <c:v>0.69</c:v>
                </c:pt>
                <c:pt idx="26">
                  <c:v>0.7</c:v>
                </c:pt>
                <c:pt idx="27">
                  <c:v>0.71</c:v>
                </c:pt>
                <c:pt idx="28">
                  <c:v>0.72</c:v>
                </c:pt>
                <c:pt idx="29">
                  <c:v>0.73</c:v>
                </c:pt>
                <c:pt idx="30">
                  <c:v>0.74</c:v>
                </c:pt>
              </c:numCache>
            </c:numRef>
          </c:val>
          <c:smooth val="0"/>
          <c:extLst>
            <c:ext xmlns:c16="http://schemas.microsoft.com/office/drawing/2014/chart" uri="{C3380CC4-5D6E-409C-BE32-E72D297353CC}">
              <c16:uniqueId val="{00000000-1294-496C-8BD3-50CBD2A48E03}"/>
            </c:ext>
          </c:extLst>
        </c:ser>
        <c:ser>
          <c:idx val="1"/>
          <c:order val="1"/>
          <c:tx>
            <c:strRef>
              <c:f>Forecasting!$C$35</c:f>
              <c:strCache>
                <c:ptCount val="1"/>
                <c:pt idx="0">
                  <c:v>WMA (5-year)</c:v>
                </c:pt>
              </c:strCache>
            </c:strRef>
          </c:tx>
          <c:spPr>
            <a:ln w="28575" cap="rnd">
              <a:solidFill>
                <a:schemeClr val="accent2"/>
              </a:solidFill>
              <a:round/>
            </a:ln>
            <a:effectLst/>
          </c:spPr>
          <c:marker>
            <c:symbol val="none"/>
          </c:marker>
          <c:cat>
            <c:numRef>
              <c:f>Forecasting!$A$36:$A$66</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Forecasting!$C$36:$C$66</c:f>
              <c:numCache>
                <c:formatCode>General</c:formatCode>
                <c:ptCount val="31"/>
                <c:pt idx="4">
                  <c:v>0.42249999999999999</c:v>
                </c:pt>
                <c:pt idx="5">
                  <c:v>0.435</c:v>
                </c:pt>
                <c:pt idx="6">
                  <c:v>0.44500000000000001</c:v>
                </c:pt>
                <c:pt idx="7">
                  <c:v>0.45250000000000001</c:v>
                </c:pt>
                <c:pt idx="8">
                  <c:v>0.46499999999999997</c:v>
                </c:pt>
                <c:pt idx="9">
                  <c:v>0.47499999999999998</c:v>
                </c:pt>
                <c:pt idx="10">
                  <c:v>0.48499999999999999</c:v>
                </c:pt>
                <c:pt idx="11">
                  <c:v>0.4975</c:v>
                </c:pt>
                <c:pt idx="12">
                  <c:v>0.51249999999999996</c:v>
                </c:pt>
                <c:pt idx="13">
                  <c:v>0.52750000000000008</c:v>
                </c:pt>
                <c:pt idx="14">
                  <c:v>0.54249999999999998</c:v>
                </c:pt>
                <c:pt idx="15">
                  <c:v>0.55500000000000005</c:v>
                </c:pt>
                <c:pt idx="16">
                  <c:v>0.56500000000000006</c:v>
                </c:pt>
                <c:pt idx="17">
                  <c:v>0.57499999999999996</c:v>
                </c:pt>
                <c:pt idx="18">
                  <c:v>0.58499999999999996</c:v>
                </c:pt>
                <c:pt idx="19">
                  <c:v>0.59750000000000003</c:v>
                </c:pt>
                <c:pt idx="20">
                  <c:v>0.61</c:v>
                </c:pt>
                <c:pt idx="21">
                  <c:v>0.62250000000000005</c:v>
                </c:pt>
                <c:pt idx="22">
                  <c:v>0.63500000000000001</c:v>
                </c:pt>
                <c:pt idx="23">
                  <c:v>0.64500000000000002</c:v>
                </c:pt>
                <c:pt idx="24">
                  <c:v>0.65500000000000003</c:v>
                </c:pt>
                <c:pt idx="25">
                  <c:v>0.66500000000000004</c:v>
                </c:pt>
                <c:pt idx="26">
                  <c:v>0.67500000000000004</c:v>
                </c:pt>
                <c:pt idx="27">
                  <c:v>0.68500000000000005</c:v>
                </c:pt>
                <c:pt idx="28">
                  <c:v>0.69500000000000006</c:v>
                </c:pt>
                <c:pt idx="29">
                  <c:v>0.70499999999999985</c:v>
                </c:pt>
                <c:pt idx="30">
                  <c:v>0.71499999999999997</c:v>
                </c:pt>
              </c:numCache>
            </c:numRef>
          </c:val>
          <c:smooth val="0"/>
          <c:extLst>
            <c:ext xmlns:c16="http://schemas.microsoft.com/office/drawing/2014/chart" uri="{C3380CC4-5D6E-409C-BE32-E72D297353CC}">
              <c16:uniqueId val="{00000001-1294-496C-8BD3-50CBD2A48E03}"/>
            </c:ext>
          </c:extLst>
        </c:ser>
        <c:dLbls>
          <c:showLegendKey val="0"/>
          <c:showVal val="0"/>
          <c:showCatName val="0"/>
          <c:showSerName val="0"/>
          <c:showPercent val="0"/>
          <c:showBubbleSize val="0"/>
        </c:dLbls>
        <c:smooth val="0"/>
        <c:axId val="1216361583"/>
        <c:axId val="1283799871"/>
      </c:lineChart>
      <c:catAx>
        <c:axId val="121636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799871"/>
        <c:crosses val="autoZero"/>
        <c:auto val="1"/>
        <c:lblAlgn val="ctr"/>
        <c:lblOffset val="100"/>
        <c:noMultiLvlLbl val="0"/>
      </c:catAx>
      <c:valAx>
        <c:axId val="128379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361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Reduction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forecasting!$B$71</c:f>
              <c:strCache>
                <c:ptCount val="1"/>
                <c:pt idx="0">
                  <c:v>CO2 Reduction (Gt)</c:v>
                </c:pt>
              </c:strCache>
            </c:strRef>
          </c:tx>
          <c:spPr>
            <a:ln w="28575" cap="rnd">
              <a:solidFill>
                <a:schemeClr val="accent1"/>
              </a:solidFill>
              <a:round/>
            </a:ln>
            <a:effectLst/>
          </c:spPr>
          <c:marker>
            <c:symbol val="none"/>
          </c:marker>
          <c:cat>
            <c:numRef>
              <c:f>forecasting!$A$72:$A$102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forecasting!$B$72:$B$102</c:f>
              <c:numCache>
                <c:formatCode>General</c:formatCode>
                <c:ptCount val="31"/>
                <c:pt idx="0">
                  <c:v>0.4</c:v>
                </c:pt>
                <c:pt idx="1">
                  <c:v>0.42</c:v>
                </c:pt>
                <c:pt idx="2">
                  <c:v>0.44</c:v>
                </c:pt>
                <c:pt idx="3">
                  <c:v>0.43</c:v>
                </c:pt>
                <c:pt idx="4">
                  <c:v>0.45</c:v>
                </c:pt>
                <c:pt idx="5">
                  <c:v>0.46</c:v>
                </c:pt>
                <c:pt idx="6">
                  <c:v>0.47</c:v>
                </c:pt>
                <c:pt idx="7">
                  <c:v>0.48</c:v>
                </c:pt>
                <c:pt idx="8">
                  <c:v>0.49</c:v>
                </c:pt>
                <c:pt idx="9">
                  <c:v>0.5</c:v>
                </c:pt>
                <c:pt idx="10">
                  <c:v>0.52</c:v>
                </c:pt>
                <c:pt idx="11">
                  <c:v>0.54</c:v>
                </c:pt>
                <c:pt idx="12">
                  <c:v>0.55000000000000004</c:v>
                </c:pt>
                <c:pt idx="13">
                  <c:v>0.56000000000000005</c:v>
                </c:pt>
                <c:pt idx="14">
                  <c:v>0.56999999999999995</c:v>
                </c:pt>
                <c:pt idx="15">
                  <c:v>0.57999999999999996</c:v>
                </c:pt>
                <c:pt idx="16">
                  <c:v>0.59</c:v>
                </c:pt>
                <c:pt idx="17">
                  <c:v>0.6</c:v>
                </c:pt>
                <c:pt idx="18">
                  <c:v>0.62</c:v>
                </c:pt>
                <c:pt idx="19">
                  <c:v>0.63</c:v>
                </c:pt>
                <c:pt idx="20">
                  <c:v>0.64</c:v>
                </c:pt>
                <c:pt idx="21">
                  <c:v>0.65</c:v>
                </c:pt>
                <c:pt idx="22">
                  <c:v>0.66</c:v>
                </c:pt>
                <c:pt idx="23">
                  <c:v>0.67</c:v>
                </c:pt>
              </c:numCache>
            </c:numRef>
          </c:val>
          <c:smooth val="0"/>
          <c:extLst>
            <c:ext xmlns:c16="http://schemas.microsoft.com/office/drawing/2014/chart" uri="{C3380CC4-5D6E-409C-BE32-E72D297353CC}">
              <c16:uniqueId val="{00000000-CBFF-4E36-B19F-71C721DDE7CC}"/>
            </c:ext>
          </c:extLst>
        </c:ser>
        <c:ser>
          <c:idx val="1"/>
          <c:order val="1"/>
          <c:tx>
            <c:strRef>
              <c:f>forecasting!$C$71</c:f>
              <c:strCache>
                <c:ptCount val="1"/>
                <c:pt idx="0">
                  <c:v>Forecast(Current Scenario)</c:v>
                </c:pt>
              </c:strCache>
            </c:strRef>
          </c:tx>
          <c:spPr>
            <a:ln w="28575" cap="rnd">
              <a:solidFill>
                <a:schemeClr val="accent2"/>
              </a:solidFill>
              <a:round/>
            </a:ln>
            <a:effectLst/>
          </c:spPr>
          <c:marker>
            <c:symbol val="none"/>
          </c:marker>
          <c:cat>
            <c:numRef>
              <c:f>forecasting!$A$72:$A$102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forecasting!$C$72:$C$102</c:f>
              <c:numCache>
                <c:formatCode>General</c:formatCode>
                <c:ptCount val="31"/>
                <c:pt idx="23">
                  <c:v>0.67</c:v>
                </c:pt>
                <c:pt idx="24">
                  <c:v>0.68564278255208622</c:v>
                </c:pt>
                <c:pt idx="25">
                  <c:v>0.69745642660259377</c:v>
                </c:pt>
                <c:pt idx="26">
                  <c:v>0.70927007065310133</c:v>
                </c:pt>
                <c:pt idx="27">
                  <c:v>0.72108371470360888</c:v>
                </c:pt>
                <c:pt idx="28">
                  <c:v>0.73289735875411655</c:v>
                </c:pt>
                <c:pt idx="29">
                  <c:v>0.74471100280462399</c:v>
                </c:pt>
                <c:pt idx="30">
                  <c:v>0.75652464685513165</c:v>
                </c:pt>
              </c:numCache>
            </c:numRef>
          </c:val>
          <c:smooth val="0"/>
          <c:extLst>
            <c:ext xmlns:c16="http://schemas.microsoft.com/office/drawing/2014/chart" uri="{C3380CC4-5D6E-409C-BE32-E72D297353CC}">
              <c16:uniqueId val="{00000001-CBFF-4E36-B19F-71C721DDE7CC}"/>
            </c:ext>
          </c:extLst>
        </c:ser>
        <c:ser>
          <c:idx val="2"/>
          <c:order val="2"/>
          <c:tx>
            <c:strRef>
              <c:f>forecasting!$D$71</c:f>
              <c:strCache>
                <c:ptCount val="1"/>
                <c:pt idx="0">
                  <c:v>Lower Confidence Bound(Current Scenario)</c:v>
                </c:pt>
              </c:strCache>
            </c:strRef>
          </c:tx>
          <c:spPr>
            <a:ln w="28575" cap="rnd">
              <a:solidFill>
                <a:schemeClr val="accent3"/>
              </a:solidFill>
              <a:round/>
            </a:ln>
            <a:effectLst/>
          </c:spPr>
          <c:marker>
            <c:symbol val="none"/>
          </c:marker>
          <c:cat>
            <c:numRef>
              <c:f>forecasting!$A$72:$A$102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forecasting!$D$72:$D$102</c:f>
              <c:numCache>
                <c:formatCode>General</c:formatCode>
                <c:ptCount val="31"/>
                <c:pt idx="23">
                  <c:v>0.67</c:v>
                </c:pt>
                <c:pt idx="24">
                  <c:v>0.67476329867765761</c:v>
                </c:pt>
                <c:pt idx="25">
                  <c:v>0.68652159271886537</c:v>
                </c:pt>
                <c:pt idx="26">
                  <c:v>0.69827907240549425</c:v>
                </c:pt>
                <c:pt idx="27">
                  <c:v>0.71003573944373477</c:v>
                </c:pt>
                <c:pt idx="28">
                  <c:v>0.72179159568340689</c:v>
                </c:pt>
                <c:pt idx="29">
                  <c:v>0.73354664311294948</c:v>
                </c:pt>
                <c:pt idx="30">
                  <c:v>0.74530088385441873</c:v>
                </c:pt>
              </c:numCache>
            </c:numRef>
          </c:val>
          <c:smooth val="0"/>
          <c:extLst>
            <c:ext xmlns:c16="http://schemas.microsoft.com/office/drawing/2014/chart" uri="{C3380CC4-5D6E-409C-BE32-E72D297353CC}">
              <c16:uniqueId val="{00000002-CBFF-4E36-B19F-71C721DDE7CC}"/>
            </c:ext>
          </c:extLst>
        </c:ser>
        <c:ser>
          <c:idx val="3"/>
          <c:order val="3"/>
          <c:tx>
            <c:strRef>
              <c:f>forecasting!$E$71</c:f>
              <c:strCache>
                <c:ptCount val="1"/>
                <c:pt idx="0">
                  <c:v>Upper Confidence Bound(Current Scenario)</c:v>
                </c:pt>
              </c:strCache>
            </c:strRef>
          </c:tx>
          <c:spPr>
            <a:ln w="28575" cap="rnd">
              <a:solidFill>
                <a:schemeClr val="accent4"/>
              </a:solidFill>
              <a:round/>
            </a:ln>
            <a:effectLst/>
          </c:spPr>
          <c:marker>
            <c:symbol val="none"/>
          </c:marker>
          <c:cat>
            <c:numRef>
              <c:f>forecasting!$A$72:$A$102</c:f>
              <c:numCache>
                <c:formatCode>General</c:formatCode>
                <c:ptCount val="3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numCache>
            </c:numRef>
          </c:cat>
          <c:val>
            <c:numRef>
              <c:f>forecasting!$E$72:$E$102</c:f>
              <c:numCache>
                <c:formatCode>General</c:formatCode>
                <c:ptCount val="31"/>
                <c:pt idx="23">
                  <c:v>0.67</c:v>
                </c:pt>
                <c:pt idx="24">
                  <c:v>0.69652226642651482</c:v>
                </c:pt>
                <c:pt idx="25">
                  <c:v>0.70839126048632217</c:v>
                </c:pt>
                <c:pt idx="26">
                  <c:v>0.7202610689007084</c:v>
                </c:pt>
                <c:pt idx="27">
                  <c:v>0.73213168996348299</c:v>
                </c:pt>
                <c:pt idx="28">
                  <c:v>0.7440031218248262</c:v>
                </c:pt>
                <c:pt idx="29">
                  <c:v>0.7558753624962985</c:v>
                </c:pt>
                <c:pt idx="30">
                  <c:v>0.76774840985584458</c:v>
                </c:pt>
              </c:numCache>
            </c:numRef>
          </c:val>
          <c:smooth val="0"/>
          <c:extLst>
            <c:ext xmlns:c16="http://schemas.microsoft.com/office/drawing/2014/chart" uri="{C3380CC4-5D6E-409C-BE32-E72D297353CC}">
              <c16:uniqueId val="{00000003-CBFF-4E36-B19F-71C721DDE7CC}"/>
            </c:ext>
          </c:extLst>
        </c:ser>
        <c:dLbls>
          <c:showLegendKey val="0"/>
          <c:showVal val="0"/>
          <c:showCatName val="0"/>
          <c:showSerName val="0"/>
          <c:showPercent val="0"/>
          <c:showBubbleSize val="0"/>
        </c:dLbls>
        <c:smooth val="0"/>
        <c:axId val="1656364639"/>
        <c:axId val="1656366559"/>
      </c:lineChart>
      <c:catAx>
        <c:axId val="1656364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366559"/>
        <c:crosses val="autoZero"/>
        <c:auto val="1"/>
        <c:lblAlgn val="ctr"/>
        <c:lblOffset val="100"/>
        <c:noMultiLvlLbl val="0"/>
      </c:catAx>
      <c:valAx>
        <c:axId val="165636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36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D5E9-89E8-45E1-ABAD-90B8FE4C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4491</Words>
  <Characters>26452</Characters>
  <Application>Microsoft Office Word</Application>
  <DocSecurity>0</DocSecurity>
  <Lines>696</Lines>
  <Paragraphs>448</Paragraphs>
  <ScaleCrop>false</ScaleCrop>
  <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Hock, Emilie Ann</dc:creator>
  <cp:keywords/>
  <dc:description/>
  <cp:lastModifiedBy>Hock, Emilie Ann</cp:lastModifiedBy>
  <cp:revision>2</cp:revision>
  <dcterms:created xsi:type="dcterms:W3CDTF">2024-06-20T23:21:00Z</dcterms:created>
  <dcterms:modified xsi:type="dcterms:W3CDTF">2024-06-20T23:21:00Z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f0746eda-0a45-40b2-ae80-4259b308a4d0</vt:lpwstr>
  </property>
</Properties>
</file>