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Evaluation results — 19 October 2026</w:t>
      </w:r>
    </w:p>
    <w:p>
      <w:pPr>
        <w:pStyle w:val="BodyText"/>
        <w:bidi w:val="0"/>
        <w:rPr/>
      </w:pPr>
      <w:r>
        <w:rPr/>
        <w:t>These are measured pilot results, not full-corpus benchmarks or deployment certification.</w:t>
      </w:r>
    </w:p>
    <w:p>
      <w:pPr>
        <w:pStyle w:val="Heading2"/>
        <w:bidi w:val="0"/>
        <w:rPr/>
      </w:pPr>
      <w:r>
        <w:rPr/>
        <w:t>Speaker calibration</w:t>
      </w:r>
    </w:p>
    <w:p>
      <w:pPr>
        <w:pStyle w:val="BodyText"/>
        <w:bidi w:val="0"/>
        <w:rPr/>
      </w:pPr>
      <w:r>
        <w:rPr/>
        <w:t xml:space="preserve">Development: two 120-second AMI excerpts; held-out: two different meeting groups. Minimum pooled development DER selected threshold 0.9. Full protocol and individual results are in </w:t>
      </w:r>
      <w:r>
        <w:rPr>
          <w:rStyle w:val="SourceText"/>
        </w:rPr>
        <w:t>evaluation/audio_protocol.json</w:t>
      </w:r>
      <w:r>
        <w:rPr/>
        <w:t xml:space="preserve"> and </w:t>
      </w:r>
      <w:r>
        <w:rPr>
          <w:rStyle w:val="SourceText"/>
        </w:rPr>
        <w:t>evaluation/ami_*.json</w:t>
      </w:r>
      <w:r>
        <w:rPr/>
        <w:t>.</w:t>
      </w:r>
    </w:p>
    <w:tbl>
      <w:tblPr>
        <w:tblW w:w="6488" w:type="dxa"/>
        <w:jc w:val="start"/>
        <w:tblInd w:w="0" w:type="dxa"/>
        <w:tblLayout w:type="fixed"/>
        <w:tblCellMar>
          <w:top w:w="28" w:type="dxa"/>
          <w:start w:w="28" w:type="dxa"/>
          <w:bottom w:w="28" w:type="dxa"/>
          <w:end w:w="28" w:type="dxa"/>
        </w:tblCellMar>
      </w:tblPr>
      <w:tblGrid>
        <w:gridCol w:w="1038"/>
        <w:gridCol w:w="1271"/>
        <w:gridCol w:w="938"/>
        <w:gridCol w:w="2330"/>
        <w:gridCol w:w="911"/>
      </w:tblGrid>
      <w:tr>
        <w:trPr>
          <w:tblHeader w:val="true"/>
        </w:trPr>
        <w:tc>
          <w:tcPr>
            <w:tcW w:w="1038" w:type="dxa"/>
            <w:tcBorders/>
            <w:vAlign w:val="center"/>
          </w:tcPr>
          <w:p>
            <w:pPr>
              <w:pStyle w:val="TableHeading"/>
              <w:suppressLineNumbers/>
              <w:bidi w:val="0"/>
              <w:spacing w:before="0" w:after="283"/>
              <w:jc w:val="center"/>
              <w:rPr/>
            </w:pPr>
            <w:r>
              <w:rPr/>
              <w:t>Meeting</w:t>
            </w:r>
          </w:p>
        </w:tc>
        <w:tc>
          <w:tcPr>
            <w:tcW w:w="1271" w:type="dxa"/>
            <w:tcBorders/>
            <w:vAlign w:val="center"/>
          </w:tcPr>
          <w:p>
            <w:pPr>
              <w:pStyle w:val="TableHeading"/>
              <w:suppressLineNumbers/>
              <w:bidi w:val="0"/>
              <w:spacing w:before="0" w:after="283"/>
              <w:jc w:val="center"/>
              <w:rPr/>
            </w:pPr>
            <w:r>
              <w:rPr/>
              <w:t>Threshold</w:t>
            </w:r>
          </w:p>
        </w:tc>
        <w:tc>
          <w:tcPr>
            <w:tcW w:w="938" w:type="dxa"/>
            <w:tcBorders/>
            <w:vAlign w:val="center"/>
          </w:tcPr>
          <w:p>
            <w:pPr>
              <w:pStyle w:val="TableHeading"/>
              <w:suppressLineNumbers/>
              <w:bidi w:val="0"/>
              <w:spacing w:before="0" w:after="283"/>
              <w:jc w:val="center"/>
              <w:rPr/>
            </w:pPr>
            <w:r>
              <w:rPr/>
              <w:t>Groups</w:t>
            </w:r>
          </w:p>
        </w:tc>
        <w:tc>
          <w:tcPr>
            <w:tcW w:w="2330" w:type="dxa"/>
            <w:tcBorders/>
            <w:vAlign w:val="center"/>
          </w:tcPr>
          <w:p>
            <w:pPr>
              <w:pStyle w:val="TableHeading"/>
              <w:suppressLineNumbers/>
              <w:bidi w:val="0"/>
              <w:spacing w:before="0" w:after="283"/>
              <w:jc w:val="center"/>
              <w:rPr/>
            </w:pPr>
            <w:r>
              <w:rPr/>
              <w:t>Reference speakers</w:t>
            </w:r>
          </w:p>
        </w:tc>
        <w:tc>
          <w:tcPr>
            <w:tcW w:w="911" w:type="dxa"/>
            <w:tcBorders/>
            <w:vAlign w:val="center"/>
          </w:tcPr>
          <w:p>
            <w:pPr>
              <w:pStyle w:val="TableHeading"/>
              <w:suppressLineNumbers/>
              <w:bidi w:val="0"/>
              <w:spacing w:before="0" w:after="283"/>
              <w:jc w:val="center"/>
              <w:rPr/>
            </w:pPr>
            <w:r>
              <w:rPr/>
              <w:t>DER</w:t>
            </w:r>
          </w:p>
        </w:tc>
      </w:tr>
      <w:tr>
        <w:trPr/>
        <w:tc>
          <w:tcPr>
            <w:tcW w:w="1038" w:type="dxa"/>
            <w:tcBorders/>
            <w:vAlign w:val="center"/>
          </w:tcPr>
          <w:p>
            <w:pPr>
              <w:pStyle w:val="TableContents"/>
              <w:bidi w:val="0"/>
              <w:spacing w:before="0" w:after="283"/>
              <w:rPr/>
            </w:pPr>
            <w:r>
              <w:rPr/>
              <w:t>IS1001b</w:t>
            </w:r>
          </w:p>
        </w:tc>
        <w:tc>
          <w:tcPr>
            <w:tcW w:w="1271" w:type="dxa"/>
            <w:tcBorders/>
            <w:vAlign w:val="center"/>
          </w:tcPr>
          <w:p>
            <w:pPr>
              <w:pStyle w:val="TableContents"/>
              <w:bidi w:val="0"/>
              <w:spacing w:before="0" w:after="283"/>
              <w:rPr/>
            </w:pPr>
            <w:r>
              <w:rPr/>
              <w:t>0.5</w:t>
            </w:r>
          </w:p>
        </w:tc>
        <w:tc>
          <w:tcPr>
            <w:tcW w:w="938" w:type="dxa"/>
            <w:tcBorders/>
            <w:vAlign w:val="center"/>
          </w:tcPr>
          <w:p>
            <w:pPr>
              <w:pStyle w:val="TableContents"/>
              <w:bidi w:val="0"/>
              <w:spacing w:before="0" w:after="283"/>
              <w:rPr/>
            </w:pPr>
            <w:r>
              <w:rPr/>
              <w:t>12</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46.01%</w:t>
            </w:r>
          </w:p>
        </w:tc>
      </w:tr>
      <w:tr>
        <w:trPr/>
        <w:tc>
          <w:tcPr>
            <w:tcW w:w="1038" w:type="dxa"/>
            <w:tcBorders/>
            <w:vAlign w:val="center"/>
          </w:tcPr>
          <w:p>
            <w:pPr>
              <w:pStyle w:val="TableContents"/>
              <w:bidi w:val="0"/>
              <w:spacing w:before="0" w:after="283"/>
              <w:rPr/>
            </w:pPr>
            <w:r>
              <w:rPr/>
              <w:t>TS3007d</w:t>
            </w:r>
          </w:p>
        </w:tc>
        <w:tc>
          <w:tcPr>
            <w:tcW w:w="1271" w:type="dxa"/>
            <w:tcBorders/>
            <w:vAlign w:val="center"/>
          </w:tcPr>
          <w:p>
            <w:pPr>
              <w:pStyle w:val="TableContents"/>
              <w:bidi w:val="0"/>
              <w:spacing w:before="0" w:after="283"/>
              <w:rPr/>
            </w:pPr>
            <w:r>
              <w:rPr/>
              <w:t>0.5</w:t>
            </w:r>
          </w:p>
        </w:tc>
        <w:tc>
          <w:tcPr>
            <w:tcW w:w="938" w:type="dxa"/>
            <w:tcBorders/>
            <w:vAlign w:val="center"/>
          </w:tcPr>
          <w:p>
            <w:pPr>
              <w:pStyle w:val="TableContents"/>
              <w:bidi w:val="0"/>
              <w:spacing w:before="0" w:after="283"/>
              <w:rPr/>
            </w:pPr>
            <w:r>
              <w:rPr/>
              <w:t>13</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83.54%</w:t>
            </w:r>
          </w:p>
        </w:tc>
      </w:tr>
      <w:tr>
        <w:trPr/>
        <w:tc>
          <w:tcPr>
            <w:tcW w:w="1038" w:type="dxa"/>
            <w:tcBorders/>
            <w:vAlign w:val="center"/>
          </w:tcPr>
          <w:p>
            <w:pPr>
              <w:pStyle w:val="TableContents"/>
              <w:bidi w:val="0"/>
              <w:spacing w:before="0" w:after="283"/>
              <w:rPr/>
            </w:pPr>
            <w:r>
              <w:rPr/>
              <w:t>IS1001b</w:t>
            </w:r>
          </w:p>
        </w:tc>
        <w:tc>
          <w:tcPr>
            <w:tcW w:w="1271" w:type="dxa"/>
            <w:tcBorders/>
            <w:vAlign w:val="center"/>
          </w:tcPr>
          <w:p>
            <w:pPr>
              <w:pStyle w:val="TableContents"/>
              <w:bidi w:val="0"/>
              <w:spacing w:before="0" w:after="283"/>
              <w:rPr/>
            </w:pPr>
            <w:r>
              <w:rPr/>
              <w:t>0.9</w:t>
            </w:r>
          </w:p>
        </w:tc>
        <w:tc>
          <w:tcPr>
            <w:tcW w:w="938" w:type="dxa"/>
            <w:tcBorders/>
            <w:vAlign w:val="center"/>
          </w:tcPr>
          <w:p>
            <w:pPr>
              <w:pStyle w:val="TableContents"/>
              <w:bidi w:val="0"/>
              <w:spacing w:before="0" w:after="283"/>
              <w:rPr/>
            </w:pPr>
            <w:r>
              <w:rPr/>
              <w:t>4</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26.90%</w:t>
            </w:r>
          </w:p>
        </w:tc>
      </w:tr>
      <w:tr>
        <w:trPr/>
        <w:tc>
          <w:tcPr>
            <w:tcW w:w="1038" w:type="dxa"/>
            <w:tcBorders/>
            <w:vAlign w:val="center"/>
          </w:tcPr>
          <w:p>
            <w:pPr>
              <w:pStyle w:val="TableContents"/>
              <w:bidi w:val="0"/>
              <w:spacing w:before="0" w:after="283"/>
              <w:rPr/>
            </w:pPr>
            <w:r>
              <w:rPr/>
              <w:t>TS3007d</w:t>
            </w:r>
          </w:p>
        </w:tc>
        <w:tc>
          <w:tcPr>
            <w:tcW w:w="1271" w:type="dxa"/>
            <w:tcBorders/>
            <w:vAlign w:val="center"/>
          </w:tcPr>
          <w:p>
            <w:pPr>
              <w:pStyle w:val="TableContents"/>
              <w:bidi w:val="0"/>
              <w:spacing w:before="0" w:after="283"/>
              <w:rPr/>
            </w:pPr>
            <w:r>
              <w:rPr/>
              <w:t>0.9</w:t>
            </w:r>
          </w:p>
        </w:tc>
        <w:tc>
          <w:tcPr>
            <w:tcW w:w="938" w:type="dxa"/>
            <w:tcBorders/>
            <w:vAlign w:val="center"/>
          </w:tcPr>
          <w:p>
            <w:pPr>
              <w:pStyle w:val="TableContents"/>
              <w:bidi w:val="0"/>
              <w:spacing w:before="0" w:after="283"/>
              <w:rPr/>
            </w:pPr>
            <w:r>
              <w:rPr/>
              <w:t>7</w:t>
            </w:r>
          </w:p>
        </w:tc>
        <w:tc>
          <w:tcPr>
            <w:tcW w:w="2330" w:type="dxa"/>
            <w:tcBorders/>
            <w:vAlign w:val="center"/>
          </w:tcPr>
          <w:p>
            <w:pPr>
              <w:pStyle w:val="TableContents"/>
              <w:bidi w:val="0"/>
              <w:spacing w:before="0" w:after="283"/>
              <w:rPr/>
            </w:pPr>
            <w:r>
              <w:rPr/>
              <w:t>4</w:t>
            </w:r>
          </w:p>
        </w:tc>
        <w:tc>
          <w:tcPr>
            <w:tcW w:w="911" w:type="dxa"/>
            <w:tcBorders/>
            <w:vAlign w:val="center"/>
          </w:tcPr>
          <w:p>
            <w:pPr>
              <w:pStyle w:val="TableContents"/>
              <w:bidi w:val="0"/>
              <w:spacing w:before="0" w:after="283"/>
              <w:rPr/>
            </w:pPr>
            <w:r>
              <w:rPr/>
              <w:t>56.01%</w:t>
            </w:r>
          </w:p>
        </w:tc>
      </w:tr>
    </w:tbl>
    <w:p>
      <w:pPr>
        <w:pStyle w:val="BodyText"/>
        <w:bidi w:val="0"/>
        <w:rPr/>
      </w:pPr>
      <w:r>
        <w:rPr/>
        <w:t>The 42-minute private recording fell from 139 groups to 37 in a separate diagnostic. Its true count remains unknown. This reduces fragmentation but does not establish correct attribution. Original saved meeting data was not overwritten. Diagnostic processing took 1047.6 seconds with other evaluation workloads active; peak process RSS was 1108.2 MiB.</w:t>
      </w:r>
    </w:p>
    <w:p>
      <w:pPr>
        <w:pStyle w:val="Heading2"/>
        <w:bidi w:val="0"/>
        <w:rPr/>
      </w:pPr>
      <w:r>
        <w:rPr/>
        <w:t>Speech recognition</w:t>
      </w:r>
    </w:p>
    <w:tbl>
      <w:tblPr>
        <w:tblW w:w="4823" w:type="dxa"/>
        <w:jc w:val="start"/>
        <w:tblInd w:w="0" w:type="dxa"/>
        <w:tblLayout w:type="fixed"/>
        <w:tblCellMar>
          <w:top w:w="28" w:type="dxa"/>
          <w:start w:w="28" w:type="dxa"/>
          <w:bottom w:w="28" w:type="dxa"/>
          <w:end w:w="28" w:type="dxa"/>
        </w:tblCellMar>
      </w:tblPr>
      <w:tblGrid>
        <w:gridCol w:w="1019"/>
        <w:gridCol w:w="973"/>
        <w:gridCol w:w="1054"/>
        <w:gridCol w:w="866"/>
        <w:gridCol w:w="911"/>
      </w:tblGrid>
      <w:tr>
        <w:trPr>
          <w:tblHeader w:val="true"/>
        </w:trPr>
        <w:tc>
          <w:tcPr>
            <w:tcW w:w="1019" w:type="dxa"/>
            <w:tcBorders/>
            <w:vAlign w:val="center"/>
          </w:tcPr>
          <w:p>
            <w:pPr>
              <w:pStyle w:val="TableHeading"/>
              <w:suppressLineNumbers/>
              <w:bidi w:val="0"/>
              <w:spacing w:before="0" w:after="283"/>
              <w:jc w:val="center"/>
              <w:rPr/>
            </w:pPr>
            <w:r>
              <w:rPr/>
              <w:t>Model</w:t>
            </w:r>
          </w:p>
        </w:tc>
        <w:tc>
          <w:tcPr>
            <w:tcW w:w="973" w:type="dxa"/>
            <w:tcBorders/>
            <w:vAlign w:val="center"/>
          </w:tcPr>
          <w:p>
            <w:pPr>
              <w:pStyle w:val="TableHeading"/>
              <w:suppressLineNumbers/>
              <w:bidi w:val="0"/>
              <w:spacing w:before="0" w:after="283"/>
              <w:jc w:val="center"/>
              <w:rPr/>
            </w:pPr>
            <w:r>
              <w:rPr/>
              <w:t>Corpus</w:t>
            </w:r>
          </w:p>
        </w:tc>
        <w:tc>
          <w:tcPr>
            <w:tcW w:w="1054" w:type="dxa"/>
            <w:tcBorders/>
            <w:vAlign w:val="center"/>
          </w:tcPr>
          <w:p>
            <w:pPr>
              <w:pStyle w:val="TableHeading"/>
              <w:suppressLineNumbers/>
              <w:bidi w:val="0"/>
              <w:spacing w:before="0" w:after="283"/>
              <w:jc w:val="center"/>
              <w:rPr/>
            </w:pPr>
            <w:r>
              <w:rPr/>
              <w:t>Samples</w:t>
            </w:r>
          </w:p>
        </w:tc>
        <w:tc>
          <w:tcPr>
            <w:tcW w:w="866" w:type="dxa"/>
            <w:tcBorders/>
            <w:vAlign w:val="center"/>
          </w:tcPr>
          <w:p>
            <w:pPr>
              <w:pStyle w:val="TableHeading"/>
              <w:suppressLineNumbers/>
              <w:bidi w:val="0"/>
              <w:spacing w:before="0" w:after="283"/>
              <w:jc w:val="center"/>
              <w:rPr/>
            </w:pPr>
            <w:r>
              <w:rPr/>
              <w:t>WER</w:t>
            </w:r>
          </w:p>
        </w:tc>
        <w:tc>
          <w:tcPr>
            <w:tcW w:w="911" w:type="dxa"/>
            <w:tcBorders/>
            <w:vAlign w:val="center"/>
          </w:tcPr>
          <w:p>
            <w:pPr>
              <w:pStyle w:val="TableHeading"/>
              <w:suppressLineNumbers/>
              <w:bidi w:val="0"/>
              <w:spacing w:before="0" w:after="283"/>
              <w:jc w:val="center"/>
              <w:rPr/>
            </w:pPr>
            <w:r>
              <w:rPr/>
              <w:t>CER</w:t>
            </w:r>
          </w:p>
        </w:tc>
      </w:tr>
      <w:tr>
        <w:trPr/>
        <w:tc>
          <w:tcPr>
            <w:tcW w:w="1019" w:type="dxa"/>
            <w:tcBorders/>
            <w:vAlign w:val="center"/>
          </w:tcPr>
          <w:p>
            <w:pPr>
              <w:pStyle w:val="TableContents"/>
              <w:bidi w:val="0"/>
              <w:spacing w:before="0" w:after="283"/>
              <w:rPr/>
            </w:pPr>
            <w:r>
              <w:rPr/>
              <w:t>small</w:t>
            </w:r>
          </w:p>
        </w:tc>
        <w:tc>
          <w:tcPr>
            <w:tcW w:w="973" w:type="dxa"/>
            <w:tcBorders/>
            <w:vAlign w:val="center"/>
          </w:tcPr>
          <w:p>
            <w:pPr>
              <w:pStyle w:val="TableContents"/>
              <w:bidi w:val="0"/>
              <w:spacing w:before="0" w:after="283"/>
              <w:rPr/>
            </w:pPr>
            <w:r>
              <w:rPr/>
              <w:t>hindi</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50.96%</w:t>
            </w:r>
          </w:p>
        </w:tc>
        <w:tc>
          <w:tcPr>
            <w:tcW w:w="911" w:type="dxa"/>
            <w:tcBorders/>
            <w:vAlign w:val="center"/>
          </w:tcPr>
          <w:p>
            <w:pPr>
              <w:pStyle w:val="TableContents"/>
              <w:bidi w:val="0"/>
              <w:spacing w:before="0" w:after="283"/>
              <w:rPr/>
            </w:pPr>
            <w:r>
              <w:rPr/>
              <w:t>20.09%</w:t>
            </w:r>
          </w:p>
        </w:tc>
      </w:tr>
      <w:tr>
        <w:trPr/>
        <w:tc>
          <w:tcPr>
            <w:tcW w:w="1019" w:type="dxa"/>
            <w:tcBorders/>
            <w:vAlign w:val="center"/>
          </w:tcPr>
          <w:p>
            <w:pPr>
              <w:pStyle w:val="TableContents"/>
              <w:bidi w:val="0"/>
              <w:spacing w:before="0" w:after="283"/>
              <w:rPr/>
            </w:pPr>
            <w:r>
              <w:rPr/>
              <w:t>small</w:t>
            </w:r>
          </w:p>
        </w:tc>
        <w:tc>
          <w:tcPr>
            <w:tcW w:w="973" w:type="dxa"/>
            <w:tcBorders/>
            <w:vAlign w:val="center"/>
          </w:tcPr>
          <w:p>
            <w:pPr>
              <w:pStyle w:val="TableContents"/>
              <w:bidi w:val="0"/>
              <w:spacing w:before="0" w:after="283"/>
              <w:rPr/>
            </w:pPr>
            <w:r>
              <w:rPr/>
              <w:t>hinglish</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66.13%</w:t>
            </w:r>
          </w:p>
        </w:tc>
        <w:tc>
          <w:tcPr>
            <w:tcW w:w="911" w:type="dxa"/>
            <w:tcBorders/>
            <w:vAlign w:val="center"/>
          </w:tcPr>
          <w:p>
            <w:pPr>
              <w:pStyle w:val="TableContents"/>
              <w:bidi w:val="0"/>
              <w:spacing w:before="0" w:after="283"/>
              <w:rPr/>
            </w:pPr>
            <w:r>
              <w:rPr/>
              <w:t>50.00%</w:t>
            </w:r>
          </w:p>
        </w:tc>
      </w:tr>
      <w:tr>
        <w:trPr/>
        <w:tc>
          <w:tcPr>
            <w:tcW w:w="1019" w:type="dxa"/>
            <w:tcBorders/>
            <w:vAlign w:val="center"/>
          </w:tcPr>
          <w:p>
            <w:pPr>
              <w:pStyle w:val="TableContents"/>
              <w:bidi w:val="0"/>
              <w:spacing w:before="0" w:after="283"/>
              <w:rPr/>
            </w:pPr>
            <w:r>
              <w:rPr/>
              <w:t>medium</w:t>
            </w:r>
          </w:p>
        </w:tc>
        <w:tc>
          <w:tcPr>
            <w:tcW w:w="973" w:type="dxa"/>
            <w:tcBorders/>
            <w:vAlign w:val="center"/>
          </w:tcPr>
          <w:p>
            <w:pPr>
              <w:pStyle w:val="TableContents"/>
              <w:bidi w:val="0"/>
              <w:spacing w:before="0" w:after="283"/>
              <w:rPr/>
            </w:pPr>
            <w:r>
              <w:rPr/>
              <w:t>hindi</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37.02%</w:t>
            </w:r>
          </w:p>
        </w:tc>
        <w:tc>
          <w:tcPr>
            <w:tcW w:w="911" w:type="dxa"/>
            <w:tcBorders/>
            <w:vAlign w:val="center"/>
          </w:tcPr>
          <w:p>
            <w:pPr>
              <w:pStyle w:val="TableContents"/>
              <w:bidi w:val="0"/>
              <w:spacing w:before="0" w:after="283"/>
              <w:rPr/>
            </w:pPr>
            <w:r>
              <w:rPr/>
              <w:t>14.98%</w:t>
            </w:r>
          </w:p>
        </w:tc>
      </w:tr>
      <w:tr>
        <w:trPr/>
        <w:tc>
          <w:tcPr>
            <w:tcW w:w="1019" w:type="dxa"/>
            <w:tcBorders/>
            <w:vAlign w:val="center"/>
          </w:tcPr>
          <w:p>
            <w:pPr>
              <w:pStyle w:val="TableContents"/>
              <w:bidi w:val="0"/>
              <w:spacing w:before="0" w:after="283"/>
              <w:rPr/>
            </w:pPr>
            <w:r>
              <w:rPr/>
              <w:t>medium</w:t>
            </w:r>
          </w:p>
        </w:tc>
        <w:tc>
          <w:tcPr>
            <w:tcW w:w="973" w:type="dxa"/>
            <w:tcBorders/>
            <w:vAlign w:val="center"/>
          </w:tcPr>
          <w:p>
            <w:pPr>
              <w:pStyle w:val="TableContents"/>
              <w:bidi w:val="0"/>
              <w:spacing w:before="0" w:after="283"/>
              <w:rPr/>
            </w:pPr>
            <w:r>
              <w:rPr/>
              <w:t>hinglish</w:t>
            </w:r>
          </w:p>
        </w:tc>
        <w:tc>
          <w:tcPr>
            <w:tcW w:w="1054" w:type="dxa"/>
            <w:tcBorders/>
            <w:vAlign w:val="center"/>
          </w:tcPr>
          <w:p>
            <w:pPr>
              <w:pStyle w:val="TableContents"/>
              <w:bidi w:val="0"/>
              <w:spacing w:before="0" w:after="283"/>
              <w:rPr/>
            </w:pPr>
            <w:r>
              <w:rPr/>
              <w:t>8</w:t>
            </w:r>
          </w:p>
        </w:tc>
        <w:tc>
          <w:tcPr>
            <w:tcW w:w="866" w:type="dxa"/>
            <w:tcBorders/>
            <w:vAlign w:val="center"/>
          </w:tcPr>
          <w:p>
            <w:pPr>
              <w:pStyle w:val="TableContents"/>
              <w:bidi w:val="0"/>
              <w:spacing w:before="0" w:after="283"/>
              <w:rPr/>
            </w:pPr>
            <w:r>
              <w:rPr/>
              <w:t>57.26%</w:t>
            </w:r>
          </w:p>
        </w:tc>
        <w:tc>
          <w:tcPr>
            <w:tcW w:w="911" w:type="dxa"/>
            <w:tcBorders/>
            <w:vAlign w:val="center"/>
          </w:tcPr>
          <w:p>
            <w:pPr>
              <w:pStyle w:val="TableContents"/>
              <w:bidi w:val="0"/>
              <w:spacing w:before="0" w:after="283"/>
              <w:rPr/>
            </w:pPr>
            <w:r>
              <w:rPr/>
              <w:t>52.25%</w:t>
            </w:r>
          </w:p>
        </w:tc>
      </w:tr>
    </w:tbl>
    <w:p>
      <w:pPr>
        <w:pStyle w:val="BodyText"/>
        <w:bidi w:val="0"/>
        <w:rPr/>
      </w:pPr>
      <w:r>
        <w:rPr/>
        <w:t>English AMI held-out WER: IS1001b 41.59%; TS3007d 81.00%. Distant audio, overlap, spelling and reference conventions matter. Hindi/Hinglish measurements use eight samples each. Hinglish samples are consecutive technical-lecture segments; some hypotheses include neighbouring speech, so boundary/reference mismatch requires manual audit. Keep these strict scores; do not silently fix references after seeing predictions. Medium improves this small pilot but does not deliver reliable accuracy. The small default remains a latency trade-off.</w:t>
      </w:r>
    </w:p>
    <w:p>
      <w:pPr>
        <w:pStyle w:val="Heading2"/>
        <w:bidi w:val="0"/>
        <w:rPr/>
      </w:pPr>
      <w:r>
        <w:rPr/>
        <w:t>Functional evidence</w:t>
      </w:r>
    </w:p>
    <w:p>
      <w:pPr>
        <w:pStyle w:val="BodyText"/>
        <w:bidi w:val="0"/>
        <w:rPr/>
      </w:pPr>
      <w:r>
        <w:rPr/>
        <w:t xml:space="preserve">Final complete suite: 560 passed, seven dependency warnings. Earlier focused metric tests: 89 passed. Final regression log is </w:t>
      </w:r>
      <w:r>
        <w:rPr>
          <w:rStyle w:val="SourceText"/>
        </w:rPr>
        <w:t>evaluation/final_pytest.log</w:t>
      </w:r>
      <w:r>
        <w:rPr/>
        <w:t xml:space="preserve">. Browser test verifies synthetic microphone previews, recovery, pause/resume, uploads, search, edits, evidence and responsive layouts. Real local preview inference is recorded separately in </w:t>
      </w:r>
      <w:r>
        <w:rPr>
          <w:rStyle w:val="SourceText"/>
        </w:rPr>
        <w:t>evaluation/live_preview_real_model.json</w:t>
      </w:r>
      <w:r>
        <w:rPr/>
        <w:t>. Android Java tests and APK build completed; no physical-phone accuracy or thermal certification is implied.</w:t>
      </w:r>
    </w:p>
    <w:p>
      <w:pPr>
        <w:pStyle w:val="Heading2"/>
        <w:bidi w:val="0"/>
        <w:rPr/>
      </w:pPr>
      <w:r>
        <w:rPr/>
        <w:t>Downstream evaluation</w:t>
      </w:r>
    </w:p>
    <w:p>
      <w:pPr>
        <w:pStyle w:val="BodyText"/>
        <w:bidi w:val="0"/>
        <w:rPr/>
      </w:pPr>
      <w:r>
        <w:rPr/>
        <w:t xml:space="preserve">Eight ablation variants ran against the existing long meeting. Human influence rankings and event/decision/slide references are missing, so those accuracy metrics remain unavailable. The outputs under </w:t>
      </w:r>
      <w:r>
        <w:rPr>
          <w:rStyle w:val="SourceText"/>
        </w:rPr>
        <w:t>evaluation/downstream/</w:t>
      </w:r>
      <w:r>
        <w:rPr/>
        <w:t xml:space="preserve"> include private source-derived content: review before sharing. Score differences are sensitivity analysis, not proof of improved influence accuracy.</w:t>
      </w:r>
    </w:p>
    <w:p>
      <w:pPr>
        <w:pStyle w:val="Heading2"/>
        <w:bidi w:val="0"/>
        <w:rPr/>
      </w:pPr>
      <w:r>
        <w:rPr/>
        <w:t>Limits</w:t>
      </w:r>
    </w:p>
    <w:p>
      <w:pPr>
        <w:pStyle w:val="BodyText"/>
        <w:bidi w:val="0"/>
        <w:spacing w:before="0" w:after="283"/>
        <w:rPr/>
      </w:pPr>
      <w:r>
        <w:rPr/>
        <w:t>No training/fine-tuning was performed. Public dataset provenance and SHA-256 values are in the two manifests. Neither benchmark contamination nor generalisation to Indian meetings has been ruled out. Timing with concurrent evaluation jobs is not a controlled latency comparison. Full recordings, additional languages, independent human labels, physical Android tests and confidence intervals remain future validation.</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Liberation Serif">
    <w:altName w:val="Times New Roman"/>
    <w:charset w:val="01"/>
    <w:family w:val="auto"/>
    <w:pitch w:val="default"/>
  </w:font>
  <w:font w:name="Noto Sans Mono">
    <w:charset w:val="01"/>
    <w:family w:val="modern"/>
    <w:pitch w:val="fixed"/>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beration Serif" w:cs="Liberation Serif"/>
      <w:color w:val="auto"/>
      <w:sz w:val="22"/>
      <w:szCs w:val="22"/>
      <w:lang w:val="en-US" w:eastAsia="zh-CN" w:bidi="hi-IN"/>
    </w:rPr>
  </w:style>
  <w:style w:type="paragraph" w:styleId="Heading1">
    <w:name w:val="heading 1"/>
    <w:basedOn w:val="Heading"/>
    <w:next w:val="BodyText"/>
    <w:qFormat/>
    <w:pPr>
      <w:keepNext w:val="true"/>
    </w:pPr>
    <w:rPr>
      <w:b/>
      <w:bCs/>
      <w:sz w:val="48"/>
      <w:szCs w:val="48"/>
    </w:rPr>
  </w:style>
  <w:style w:type="paragraph" w:styleId="Heading2">
    <w:name w:val="heading 2"/>
    <w:basedOn w:val="Heading"/>
    <w:next w:val="BodyText"/>
    <w:qFormat/>
    <w:pPr>
      <w:keepNext w:val="true"/>
      <w:spacing w:before="200" w:after="120"/>
      <w:outlineLvl w:val="1"/>
    </w:pPr>
    <w:rPr>
      <w:rFonts w:ascii="Noto Serif" w:hAnsi="Noto Serif" w:eastAsia="Noto Sans" w:cs="FreeSans"/>
      <w:b/>
      <w:bCs/>
      <w:sz w:val="36"/>
      <w:szCs w:val="36"/>
    </w:rPr>
  </w:style>
  <w:style w:type="paragraph" w:styleId="Heading3">
    <w:name w:val="heading 3"/>
    <w:basedOn w:val="Heading"/>
    <w:next w:val="BodyText"/>
    <w:qFormat/>
    <w:pPr>
      <w:keepNext w:val="true"/>
      <w:spacing w:before="140" w:after="120"/>
      <w:outlineLvl w:val="2"/>
    </w:pPr>
    <w:rPr>
      <w:rFonts w:ascii="Noto Serif" w:hAnsi="Noto Serif" w:eastAsia="Noto Sans" w:cs="Free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Noto Sans Mono" w:hAnsi="Noto Sans Mono" w:eastAsia="Noto Sans Mono" w:cs="Noto Sans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Noto Sans Mono" w:hAnsi="Noto Sans Mono" w:eastAsia="Noto Sans Mono" w:cs="Noto Sans Mono"/>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